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80" w:line="3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 PLANO FINANCEIRO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9.1 ÁRVORE DE DIRECIONADORES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receita da luderia depende de quatro grandezas físicas e de dois preços. As pessoas atendidas saem das mesas, do tamanho do grupo, do giro e da taxa de ocupação, e a receita sai dessas pessoas multiplicadas pela taxa de entrada e pelo gasto com alimentos e bebidas (A&amp;B). A ocupação separa-se em dia útil (segunda a quinta) e fim de semana (sexta a domingo), porque a taxa de entrada também muda. Cada folha da árvore corresponde a uma linha do registro de premissas (Quadro 9.1).</w:t>
      </w:r>
    </w:p>
    <w:p>
      <w:pPr>
        <w:keepNext/>
        <w:spacing w:after="0" w:before="240" w:line="2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9.1 – Árvore de direcionadores do modelo financeiro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5"/>
        <w:gridCol w:w="5241"/>
        <w:gridCol w:w="1815"/>
      </w:tblGrid>
      <w:tr>
        <w:trPr>
          <w:cantSplit/>
          <w:tblHeader/>
        </w:trPr>
        <w:tc>
          <w:tcPr>
            <w:tcW w:type="dxa" w:w="201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Direcionador</w:t>
            </w:r>
          </w:p>
        </w:tc>
        <w:tc>
          <w:tcPr>
            <w:tcW w:type="dxa" w:w="524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Cálculo</w:t>
            </w:r>
          </w:p>
        </w:tc>
        <w:tc>
          <w:tcPr>
            <w:tcW w:type="dxa" w:w="181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Premissas</w:t>
            </w:r>
          </w:p>
        </w:tc>
      </w:tr>
      <w:tr>
        <w:trPr>
          <w:cantSplit/>
          <w:tblHeader w:val="false"/>
        </w:trPr>
        <w:tc>
          <w:tcPr>
            <w:tcW w:type="dxa" w:w="201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Pessoas por mês</w:t>
            </w:r>
          </w:p>
        </w:tc>
        <w:tc>
          <w:tcPr>
            <w:tcW w:type="dxa" w:w="524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mesas × pessoas por grupo × giro semanal × taxa de ocupação × fator de rampa × semanas por mês, em separado para dia útil e fim de semana</w:t>
            </w:r>
          </w:p>
        </w:tc>
        <w:tc>
          <w:tcPr>
            <w:tcW w:type="dxa" w:w="181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R01 a R05, R11 a R14, M02</w:t>
            </w:r>
          </w:p>
        </w:tc>
      </w:tr>
      <w:tr>
        <w:trPr>
          <w:cantSplit/>
          <w:tblHeader w:val="false"/>
        </w:trPr>
        <w:tc>
          <w:tcPr>
            <w:tcW w:type="dxa" w:w="201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Receita de taxa de entrada</w:t>
            </w:r>
          </w:p>
        </w:tc>
        <w:tc>
          <w:tcPr>
            <w:tcW w:type="dxa" w:w="524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pessoas × taxa do dia (útil ou fim de semana)</w:t>
            </w:r>
          </w:p>
        </w:tc>
        <w:tc>
          <w:tcPr>
            <w:tcW w:type="dxa" w:w="181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R06, R07</w:t>
            </w:r>
          </w:p>
        </w:tc>
      </w:tr>
      <w:tr>
        <w:trPr>
          <w:cantSplit/>
          <w:tblHeader w:val="false"/>
        </w:trPr>
        <w:tc>
          <w:tcPr>
            <w:tcW w:type="dxa" w:w="201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Receita de A&amp;B</w:t>
            </w:r>
          </w:p>
        </w:tc>
        <w:tc>
          <w:tcPr>
            <w:tcW w:type="dxa" w:w="524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pessoas × gasto por pessoa</w:t>
            </w:r>
          </w:p>
        </w:tc>
        <w:tc>
          <w:tcPr>
            <w:tcW w:type="dxa" w:w="181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R08</w:t>
            </w:r>
          </w:p>
        </w:tc>
      </w:tr>
      <w:tr>
        <w:trPr>
          <w:cantSplit/>
          <w:tblHeader w:val="false"/>
        </w:trPr>
        <w:tc>
          <w:tcPr>
            <w:tcW w:type="dxa" w:w="201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Receita de aluguel de jogos</w:t>
            </w:r>
          </w:p>
        </w:tc>
        <w:tc>
          <w:tcPr>
            <w:tcW w:type="dxa" w:w="524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aluguéis por mês × preço médio × fator de rampa</w:t>
            </w:r>
          </w:p>
        </w:tc>
        <w:tc>
          <w:tcPr>
            <w:tcW w:type="dxa" w:w="181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R09, R10</w:t>
            </w:r>
          </w:p>
        </w:tc>
      </w:tr>
      <w:tr>
        <w:trPr>
          <w:cantSplit/>
          <w:tblHeader w:val="false"/>
        </w:trPr>
        <w:tc>
          <w:tcPr>
            <w:tcW w:type="dxa" w:w="201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Custos variáveis</w:t>
            </w:r>
          </w:p>
        </w:tc>
        <w:tc>
          <w:tcPr>
            <w:tcW w:type="dxa" w:w="524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Simples Nacional sobre a receita; CMV sobre o A&amp;B; taxa de cartão</w:t>
            </w:r>
          </w:p>
        </w:tc>
        <w:tc>
          <w:tcPr>
            <w:tcW w:type="dxa" w:w="181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C01, C02, aba simples</w:t>
            </w:r>
          </w:p>
        </w:tc>
      </w:tr>
      <w:tr>
        <w:trPr>
          <w:cantSplit/>
          <w:tblHeader w:val="false"/>
        </w:trPr>
        <w:tc>
          <w:tcPr>
            <w:tcW w:type="dxa" w:w="201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Custos fixos</w:t>
            </w:r>
          </w:p>
        </w:tc>
        <w:tc>
          <w:tcPr>
            <w:tcW w:type="dxa" w:w="524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aluguel e condomínio; pessoal com encargos; pró-labore; utilidades; marketing; contabilidade; sistemas; reposição do acervo</w:t>
            </w:r>
          </w:p>
        </w:tc>
        <w:tc>
          <w:tcPr>
            <w:tcW w:type="dxa" w:w="181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C03 a C13</w:t>
            </w:r>
          </w:p>
        </w:tc>
      </w:tr>
      <w:tr>
        <w:trPr>
          <w:cantSplit/>
          <w:tblHeader w:val="false"/>
        </w:trPr>
        <w:tc>
          <w:tcPr>
            <w:tcW w:type="dxa" w:w="201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Investimento</w:t>
            </w:r>
          </w:p>
        </w:tc>
        <w:tc>
          <w:tcPr>
            <w:tcW w:type="dxa" w:w="524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reforma; mobiliário; cozinha e bar; caixa; acervo; pré-operacional; caução; capital de giro</w:t>
            </w:r>
          </w:p>
        </w:tc>
        <w:tc>
          <w:tcPr>
            <w:tcW w:type="dxa" w:w="181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I01 a I08</w:t>
            </w:r>
          </w:p>
        </w:tc>
      </w:tr>
    </w:tbl>
    <w:p>
      <w:pPr>
        <w:keepNext w:val="false"/>
        <w:spacing w:after="240" w:before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Fonte: elaboração própria.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modelo usa preços constantes de outubro de 2026 e taxa mínima de atratividade (TMA) real. A projeção é mensal nos 60 meses, para capturar a rampa do ano 1, e anual nos demonstrativos.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9.2 REGISTRO DE PREMISSAS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modelo tem 38 premissas, cada uma com faixa pessimista, provável e otimista, fonte e nível de evidência (Apêndice </w:t>
      </w:r>
      <w:r>
        <w:rPr>
          <w:rFonts w:ascii="Arial" w:cs="Arial" w:eastAsia="Arial" w:hAnsi="Arial"/>
          <w:sz w:val="24"/>
          <w:szCs w:val="24"/>
        </w:rPr>
        <w:t xml:space="preserve">[letra]</w:t>
      </w:r>
      <w:r>
        <w:rPr>
          <w:rFonts w:ascii="Arial" w:cs="Arial" w:eastAsia="Arial" w:hAnsi="Arial"/>
          <w:sz w:val="24"/>
          <w:szCs w:val="24"/>
        </w:rPr>
        <w:t xml:space="preserve">). O Quadro 9.2 traz as que movem o VPL em mais de R$ 100 mil entre os extremos da faixa.</w:t>
      </w:r>
    </w:p>
    <w:p>
      <w:pPr>
        <w:keepNext/>
        <w:spacing w:after="0" w:before="240" w:line="2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9.2 – Premissas de maior impacto no VPL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3"/>
        <w:gridCol w:w="2286"/>
        <w:gridCol w:w="1067"/>
        <w:gridCol w:w="1067"/>
        <w:gridCol w:w="1067"/>
        <w:gridCol w:w="2286"/>
        <w:gridCol w:w="765"/>
      </w:tblGrid>
      <w:tr>
        <w:trPr>
          <w:cantSplit/>
          <w:tblHeader/>
        </w:trPr>
        <w:tc>
          <w:tcPr>
            <w:tcW w:type="dxa" w:w="533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286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Premissa</w:t>
            </w:r>
          </w:p>
        </w:tc>
        <w:tc>
          <w:tcPr>
            <w:tcW w:type="dxa" w:w="1067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Pessimista</w:t>
            </w:r>
          </w:p>
        </w:tc>
        <w:tc>
          <w:tcPr>
            <w:tcW w:type="dxa" w:w="1067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Provável</w:t>
            </w:r>
          </w:p>
        </w:tc>
        <w:tc>
          <w:tcPr>
            <w:tcW w:type="dxa" w:w="1067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Otimista</w:t>
            </w:r>
          </w:p>
        </w:tc>
        <w:tc>
          <w:tcPr>
            <w:tcW w:type="dxa" w:w="2286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Fonte</w:t>
            </w:r>
          </w:p>
        </w:tc>
        <w:tc>
          <w:tcPr>
            <w:tcW w:type="dxa" w:w="765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Nível</w:t>
            </w:r>
          </w:p>
        </w:tc>
      </w:tr>
      <w:tr>
        <w:trPr>
          <w:cantSplit/>
          <w:tblHeader w:val="false"/>
        </w:trPr>
        <w:tc>
          <w:tcPr>
            <w:tcW w:type="dxa" w:w="5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R03</w:t>
            </w:r>
          </w:p>
        </w:tc>
        <w:tc>
          <w:tcPr>
            <w:tcW w:type="dxa" w:w="22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Permanência média (min)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137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109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83</w:t>
            </w:r>
          </w:p>
        </w:tc>
        <w:tc>
          <w:tcPr>
            <w:tcW w:type="dxa" w:w="22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B3, 4 visitas</w:t>
            </w:r>
          </w:p>
        </w:tc>
        <w:tc>
          <w:tcPr>
            <w:tcW w:type="dxa" w:w="76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N5</w:t>
            </w:r>
          </w:p>
        </w:tc>
      </w:tr>
      <w:tr>
        <w:trPr>
          <w:cantSplit/>
          <w:tblHeader w:val="false"/>
        </w:trPr>
        <w:tc>
          <w:tcPr>
            <w:tcW w:type="dxa" w:w="5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R02</w:t>
            </w:r>
          </w:p>
        </w:tc>
        <w:tc>
          <w:tcPr>
            <w:tcW w:type="dxa" w:w="22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Pessoas por grupo de mesa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2,8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3,6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4,4</w:t>
            </w:r>
          </w:p>
        </w:tc>
        <w:tc>
          <w:tcPr>
            <w:tcW w:type="dxa" w:w="22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B3, 4 visitas</w:t>
            </w:r>
          </w:p>
        </w:tc>
        <w:tc>
          <w:tcPr>
            <w:tcW w:type="dxa" w:w="76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N5</w:t>
            </w:r>
          </w:p>
        </w:tc>
      </w:tr>
      <w:tr>
        <w:trPr>
          <w:cantSplit/>
          <w:tblHeader w:val="false"/>
        </w:trPr>
        <w:tc>
          <w:tcPr>
            <w:tcW w:type="dxa" w:w="5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R04</w:t>
            </w:r>
          </w:p>
        </w:tc>
        <w:tc>
          <w:tcPr>
            <w:tcW w:type="dxa" w:w="22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Taxa de ocupação, fim de semana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25%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35%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45%</w:t>
            </w:r>
          </w:p>
        </w:tc>
        <w:tc>
          <w:tcPr>
            <w:tcW w:type="dxa" w:w="22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B3, noites de sexta e sábado</w:t>
            </w:r>
          </w:p>
        </w:tc>
        <w:tc>
          <w:tcPr>
            <w:tcW w:type="dxa" w:w="76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N5 + N6</w:t>
            </w:r>
          </w:p>
        </w:tc>
      </w:tr>
      <w:tr>
        <w:trPr>
          <w:cantSplit/>
          <w:tblHeader w:val="false"/>
        </w:trPr>
        <w:tc>
          <w:tcPr>
            <w:tcW w:type="dxa" w:w="5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R05</w:t>
            </w:r>
          </w:p>
        </w:tc>
        <w:tc>
          <w:tcPr>
            <w:tcW w:type="dxa" w:w="22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Taxa de ocupação, dia útil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10%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18%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25%</w:t>
            </w:r>
          </w:p>
        </w:tc>
        <w:tc>
          <w:tcPr>
            <w:tcW w:type="dxa" w:w="22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Estimativa do autor</w:t>
            </w:r>
          </w:p>
        </w:tc>
        <w:tc>
          <w:tcPr>
            <w:tcW w:type="dxa" w:w="76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N6</w:t>
            </w:r>
          </w:p>
        </w:tc>
      </w:tr>
      <w:tr>
        <w:trPr>
          <w:cantSplit/>
          <w:tblHeader w:val="false"/>
        </w:trPr>
        <w:tc>
          <w:tcPr>
            <w:tcW w:type="dxa" w:w="5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R01</w:t>
            </w:r>
          </w:p>
        </w:tc>
        <w:tc>
          <w:tcPr>
            <w:tcW w:type="dxa" w:w="22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Mesas do salão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22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B3, unidades da São Jogue</w:t>
            </w:r>
          </w:p>
        </w:tc>
        <w:tc>
          <w:tcPr>
            <w:tcW w:type="dxa" w:w="76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N5</w:t>
            </w:r>
          </w:p>
        </w:tc>
      </w:tr>
      <w:tr>
        <w:trPr>
          <w:cantSplit/>
          <w:tblHeader w:val="false"/>
        </w:trPr>
        <w:tc>
          <w:tcPr>
            <w:tcW w:type="dxa" w:w="5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R08</w:t>
            </w:r>
          </w:p>
        </w:tc>
        <w:tc>
          <w:tcPr>
            <w:tcW w:type="dxa" w:w="22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Gasto com A&amp;B por pessoa (R$)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18,00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24,00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32,00</w:t>
            </w:r>
          </w:p>
        </w:tc>
        <w:tc>
          <w:tcPr>
            <w:tcW w:type="dxa" w:w="22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B3, NFC-e; cardápio (B1)</w:t>
            </w:r>
          </w:p>
        </w:tc>
        <w:tc>
          <w:tcPr>
            <w:tcW w:type="dxa" w:w="76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N3 + N5</w:t>
            </w:r>
          </w:p>
        </w:tc>
      </w:tr>
      <w:tr>
        <w:trPr>
          <w:cantSplit/>
          <w:tblHeader w:val="false"/>
        </w:trPr>
        <w:tc>
          <w:tcPr>
            <w:tcW w:type="dxa" w:w="5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C06</w:t>
            </w:r>
          </w:p>
        </w:tc>
        <w:tc>
          <w:tcPr>
            <w:tcW w:type="dxa" w:w="22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Quadro de pessoal (pessoas)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2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CAGED (salários); autor (quadro)</w:t>
            </w:r>
          </w:p>
        </w:tc>
        <w:tc>
          <w:tcPr>
            <w:tcW w:type="dxa" w:w="76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N2 + N6</w:t>
            </w:r>
          </w:p>
        </w:tc>
      </w:tr>
      <w:tr>
        <w:trPr>
          <w:cantSplit/>
          <w:tblHeader w:val="false"/>
        </w:trPr>
        <w:tc>
          <w:tcPr>
            <w:tcW w:type="dxa" w:w="5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C03</w:t>
            </w:r>
          </w:p>
        </w:tc>
        <w:tc>
          <w:tcPr>
            <w:tcW w:type="dxa" w:w="22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Área do ponto (m²)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220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180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150</w:t>
            </w:r>
          </w:p>
        </w:tc>
        <w:tc>
          <w:tcPr>
            <w:tcW w:type="dxa" w:w="22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Estimativa do autor</w:t>
            </w:r>
          </w:p>
        </w:tc>
        <w:tc>
          <w:tcPr>
            <w:tcW w:type="dxa" w:w="76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N6</w:t>
            </w:r>
          </w:p>
        </w:tc>
      </w:tr>
      <w:tr>
        <w:trPr>
          <w:cantSplit/>
          <w:tblHeader w:val="false"/>
        </w:trPr>
        <w:tc>
          <w:tcPr>
            <w:tcW w:type="dxa" w:w="5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C04</w:t>
            </w:r>
          </w:p>
        </w:tc>
        <w:tc>
          <w:tcPr>
            <w:tcW w:type="dxa" w:w="22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Aluguel comercial (R$/m² ao mês)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64,36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54,15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45,00</w:t>
            </w:r>
          </w:p>
        </w:tc>
        <w:tc>
          <w:tcPr>
            <w:tcW w:type="dxa" w:w="22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FipeZap, Salvador, jul/2026</w:t>
            </w:r>
          </w:p>
        </w:tc>
        <w:tc>
          <w:tcPr>
            <w:tcW w:type="dxa" w:w="76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N2</w:t>
            </w:r>
          </w:p>
        </w:tc>
      </w:tr>
      <w:tr>
        <w:trPr>
          <w:cantSplit/>
          <w:tblHeader w:val="false"/>
        </w:trPr>
        <w:tc>
          <w:tcPr>
            <w:tcW w:type="dxa" w:w="5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I01</w:t>
            </w:r>
          </w:p>
        </w:tc>
        <w:tc>
          <w:tcPr>
            <w:tcW w:type="dxa" w:w="22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Reforma (R$/m²)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1.400,00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1.000,00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600,00</w:t>
            </w:r>
          </w:p>
        </w:tc>
        <w:tc>
          <w:tcPr>
            <w:tcW w:type="dxa" w:w="22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Estimativa do autor</w:t>
            </w:r>
          </w:p>
        </w:tc>
        <w:tc>
          <w:tcPr>
            <w:tcW w:type="dxa" w:w="76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N6</w:t>
            </w:r>
          </w:p>
        </w:tc>
      </w:tr>
      <w:tr>
        <w:trPr>
          <w:cantSplit/>
          <w:tblHeader w:val="false"/>
        </w:trPr>
        <w:tc>
          <w:tcPr>
            <w:tcW w:type="dxa" w:w="5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R06</w:t>
            </w:r>
          </w:p>
        </w:tc>
        <w:tc>
          <w:tcPr>
            <w:tcW w:type="dxa" w:w="22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Taxa de entrada, fim de semana (R$)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25,00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28,00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30,00</w:t>
            </w:r>
          </w:p>
        </w:tc>
        <w:tc>
          <w:tcPr>
            <w:tcW w:type="dxa" w:w="22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São Jogue</w:t>
            </w:r>
          </w:p>
        </w:tc>
        <w:tc>
          <w:tcPr>
            <w:tcW w:type="dxa" w:w="76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N3 + N5</w:t>
            </w:r>
          </w:p>
        </w:tc>
      </w:tr>
      <w:tr>
        <w:trPr>
          <w:cantSplit/>
          <w:tblHeader w:val="false"/>
        </w:trPr>
        <w:tc>
          <w:tcPr>
            <w:tcW w:type="dxa" w:w="5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C07</w:t>
            </w:r>
          </w:p>
        </w:tc>
        <w:tc>
          <w:tcPr>
            <w:tcW w:type="dxa" w:w="22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Encargos sobre a folha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45%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37%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30%</w:t>
            </w:r>
          </w:p>
        </w:tc>
        <w:tc>
          <w:tcPr>
            <w:tcW w:type="dxa" w:w="22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CLT; estimativa do autor</w:t>
            </w:r>
          </w:p>
        </w:tc>
        <w:tc>
          <w:tcPr>
            <w:tcW w:type="dxa" w:w="76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N1 + N6</w:t>
            </w:r>
          </w:p>
        </w:tc>
      </w:tr>
      <w:tr>
        <w:trPr>
          <w:cantSplit/>
          <w:tblHeader w:val="false"/>
        </w:trPr>
        <w:tc>
          <w:tcPr>
            <w:tcW w:type="dxa" w:w="533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C01</w:t>
            </w:r>
          </w:p>
        </w:tc>
        <w:tc>
          <w:tcPr>
            <w:tcW w:type="dxa" w:w="2286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CMV de A&amp;B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35%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30%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26%</w:t>
            </w:r>
          </w:p>
        </w:tc>
        <w:tc>
          <w:tcPr>
            <w:tcW w:type="dxa" w:w="2286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IBGE, PAS 2023</w:t>
            </w:r>
          </w:p>
        </w:tc>
        <w:tc>
          <w:tcPr>
            <w:tcW w:type="dxa" w:w="765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N2</w:t>
            </w:r>
          </w:p>
        </w:tc>
      </w:tr>
    </w:tbl>
    <w:p>
      <w:pPr>
        <w:keepNext w:val="false"/>
        <w:spacing w:after="240" w:before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Fonte: elaboração própria, com dados dos Blocos B1, B3 e B4 (out/2026).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As premissas de demanda vêm da contagem direta na São Jogue (B3): grupos de 3,6 pessoas em média, permanência média de 109 minutos e taxa de ocupação média de 46,1% nas quatro noites. As visitas mediram o pico da semana. Por isso, a ocupação de fim de semana do dia inteiro entra abaixo da noite (35% no provável), e a de dia útil é estimativa do autor (N6), em cerca de metade da de fim de semana.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Os preços seguem os da São Jogue (6.3): R$ 28,00 por pessoa de sexta a domingo e R$ 22,00 de segunda a quinta, por um turno de 3 horas. O gasto com A&amp;B de R$ 24,00 parte das NFC-e das mesas dos observadores (6.3). O valor fica abaixo do consumo por pessoa nos cardápios (R$ 50,25 na mediana dos concorrentes), porque os grupos fizeram de 0,5 a 1,7 pedidos por mesa (B3); o consumo de cardápio fica como teto, acima do otimista.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Os custos vêm de bases públicas sempre que possível: o aluguel do FipeZap, os salários das medianas de admissão em Salvador no Novo CAGED, quase todas no piso de R$ 1.625,09, e o CMV de 30% da PAS 2023. Área, reforma, mobiliário, cozinha e despesas gerais não têm cotação e ficam em N6.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TMA real provável é de 15% ao ano. A Selic meta de 14,0% (BCB, set/2026), descontado o IPCA esperado de 4,3% para 2027 (Focus), dá juro real de 9,3%, somado a um prêmio de 3 a 9 pontos percentuais pelo risco de pequeno negócio novo.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9.3 INVESTIMENTO INICIAL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investimento inicial provável é de R$ 503 mil, com a reforma (36%) e o capital de giro (20%) como maiores itens (Tabela 9.1). O acervo de 322 títulos custa R$ 61 mil.</w:t>
      </w:r>
    </w:p>
    <w:p>
      <w:pPr>
        <w:keepNext/>
        <w:spacing w:after="0" w:before="240" w:line="2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Tabela 9.1 – Investimento inicial por cenário (R$)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8"/>
        <w:gridCol w:w="1984"/>
        <w:gridCol w:w="1984"/>
        <w:gridCol w:w="1985"/>
      </w:tblGrid>
      <w:tr>
        <w:trPr>
          <w:cantSplit/>
          <w:tblHeader/>
        </w:trPr>
        <w:tc>
          <w:tcPr>
            <w:tcW w:type="dxa" w:w="3118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1984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Pessimista</w:t>
            </w:r>
          </w:p>
        </w:tc>
        <w:tc>
          <w:tcPr>
            <w:tcW w:type="dxa" w:w="1984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Provável</w:t>
            </w:r>
          </w:p>
        </w:tc>
        <w:tc>
          <w:tcPr>
            <w:tcW w:type="dxa" w:w="1985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Otimista</w:t>
            </w:r>
          </w:p>
        </w:tc>
      </w:tr>
      <w:tr>
        <w:trPr>
          <w:cantSplit/>
          <w:tblHeader w:val="false"/>
        </w:trPr>
        <w:tc>
          <w:tcPr>
            <w:tcW w:type="dxa" w:w="31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Reforma e instalações</w:t>
            </w:r>
          </w:p>
        </w:tc>
        <w:tc>
          <w:tcPr>
            <w:tcW w:type="dxa" w:w="19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308.000,00</w:t>
            </w:r>
          </w:p>
        </w:tc>
        <w:tc>
          <w:tcPr>
            <w:tcW w:type="dxa" w:w="19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180.000,00</w:t>
            </w:r>
          </w:p>
        </w:tc>
        <w:tc>
          <w:tcPr>
            <w:tcW w:type="dxa" w:w="19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90.000,00</w:t>
            </w:r>
          </w:p>
        </w:tc>
      </w:tr>
      <w:tr>
        <w:trPr>
          <w:cantSplit/>
          <w:tblHeader w:val="false"/>
        </w:trPr>
        <w:tc>
          <w:tcPr>
            <w:tcW w:type="dxa" w:w="31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Mobiliário</w:t>
            </w:r>
          </w:p>
        </w:tc>
        <w:tc>
          <w:tcPr>
            <w:tcW w:type="dxa" w:w="19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60.000,00</w:t>
            </w:r>
          </w:p>
        </w:tc>
        <w:tc>
          <w:tcPr>
            <w:tcW w:type="dxa" w:w="19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45.000,00</w:t>
            </w:r>
          </w:p>
        </w:tc>
        <w:tc>
          <w:tcPr>
            <w:tcW w:type="dxa" w:w="19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30.000,00</w:t>
            </w:r>
          </w:p>
        </w:tc>
      </w:tr>
      <w:tr>
        <w:trPr>
          <w:cantSplit/>
          <w:tblHeader w:val="false"/>
        </w:trPr>
        <w:tc>
          <w:tcPr>
            <w:tcW w:type="dxa" w:w="31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Cozinha e bar</w:t>
            </w:r>
          </w:p>
        </w:tc>
        <w:tc>
          <w:tcPr>
            <w:tcW w:type="dxa" w:w="19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80.000,00</w:t>
            </w:r>
          </w:p>
        </w:tc>
        <w:tc>
          <w:tcPr>
            <w:tcW w:type="dxa" w:w="19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60.000,00</w:t>
            </w:r>
          </w:p>
        </w:tc>
        <w:tc>
          <w:tcPr>
            <w:tcW w:type="dxa" w:w="19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40.000,00</w:t>
            </w:r>
          </w:p>
        </w:tc>
      </w:tr>
      <w:tr>
        <w:trPr>
          <w:cantSplit/>
          <w:tblHeader w:val="false"/>
        </w:trPr>
        <w:tc>
          <w:tcPr>
            <w:tcW w:type="dxa" w:w="31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Caixa e informática</w:t>
            </w:r>
          </w:p>
        </w:tc>
        <w:tc>
          <w:tcPr>
            <w:tcW w:type="dxa" w:w="19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8.000,00</w:t>
            </w:r>
          </w:p>
        </w:tc>
        <w:tc>
          <w:tcPr>
            <w:tcW w:type="dxa" w:w="19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6.000,00</w:t>
            </w:r>
          </w:p>
        </w:tc>
        <w:tc>
          <w:tcPr>
            <w:tcW w:type="dxa" w:w="19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4.000,00</w:t>
            </w:r>
          </w:p>
        </w:tc>
      </w:tr>
      <w:tr>
        <w:trPr>
          <w:cantSplit/>
          <w:tblHeader w:val="false"/>
        </w:trPr>
        <w:tc>
          <w:tcPr>
            <w:tcW w:type="dxa" w:w="31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Acervo inicial de jogos</w:t>
            </w:r>
          </w:p>
        </w:tc>
        <w:tc>
          <w:tcPr>
            <w:tcW w:type="dxa" w:w="19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114.750,94</w:t>
            </w:r>
          </w:p>
        </w:tc>
        <w:tc>
          <w:tcPr>
            <w:tcW w:type="dxa" w:w="19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60.884,32</w:t>
            </w:r>
          </w:p>
        </w:tc>
        <w:tc>
          <w:tcPr>
            <w:tcW w:type="dxa" w:w="19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42.928,78</w:t>
            </w:r>
          </w:p>
        </w:tc>
      </w:tr>
      <w:tr>
        <w:trPr>
          <w:cantSplit/>
          <w:tblHeader w:val="false"/>
        </w:trPr>
        <w:tc>
          <w:tcPr>
            <w:tcW w:type="dxa" w:w="31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Gastos pré-operacionais</w:t>
            </w:r>
          </w:p>
        </w:tc>
        <w:tc>
          <w:tcPr>
            <w:tcW w:type="dxa" w:w="19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30.000,00</w:t>
            </w:r>
          </w:p>
        </w:tc>
        <w:tc>
          <w:tcPr>
            <w:tcW w:type="dxa" w:w="19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20.000,00</w:t>
            </w:r>
          </w:p>
        </w:tc>
        <w:tc>
          <w:tcPr>
            <w:tcW w:type="dxa" w:w="19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12.000,00</w:t>
            </w:r>
          </w:p>
        </w:tc>
      </w:tr>
      <w:tr>
        <w:trPr>
          <w:cantSplit/>
          <w:tblHeader w:val="false"/>
        </w:trPr>
        <w:tc>
          <w:tcPr>
            <w:tcW w:type="dxa" w:w="31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Caução do aluguel</w:t>
            </w:r>
          </w:p>
        </w:tc>
        <w:tc>
          <w:tcPr>
            <w:tcW w:type="dxa" w:w="19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42.471,00</w:t>
            </w:r>
          </w:p>
        </w:tc>
        <w:tc>
          <w:tcPr>
            <w:tcW w:type="dxa" w:w="19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29.241,00</w:t>
            </w:r>
          </w:p>
        </w:tc>
        <w:tc>
          <w:tcPr>
            <w:tcW w:type="dxa" w:w="19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13.500,00</w:t>
            </w:r>
          </w:p>
        </w:tc>
      </w:tr>
      <w:tr>
        <w:trPr>
          <w:cantSplit/>
          <w:tblHeader w:val="false"/>
        </w:trPr>
        <w:tc>
          <w:tcPr>
            <w:tcW w:type="dxa" w:w="31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Capital de giro</w:t>
            </w:r>
          </w:p>
        </w:tc>
        <w:tc>
          <w:tcPr>
            <w:tcW w:type="dxa" w:w="19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206.274,85</w:t>
            </w:r>
          </w:p>
        </w:tc>
        <w:tc>
          <w:tcPr>
            <w:tcW w:type="dxa" w:w="19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102.105,31</w:t>
            </w:r>
          </w:p>
        </w:tc>
        <w:tc>
          <w:tcPr>
            <w:tcW w:type="dxa" w:w="19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56.403,39</w:t>
            </w:r>
          </w:p>
        </w:tc>
      </w:tr>
      <w:tr>
        <w:trPr>
          <w:cantSplit/>
          <w:tblHeader w:val="false"/>
        </w:trPr>
        <w:tc>
          <w:tcPr>
            <w:tcW w:type="dxa" w:w="3118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</w:t>
            </w:r>
          </w:p>
        </w:tc>
        <w:tc>
          <w:tcPr>
            <w:tcW w:type="dxa" w:w="1984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849.496,78</w:t>
            </w:r>
          </w:p>
        </w:tc>
        <w:tc>
          <w:tcPr>
            <w:tcW w:type="dxa" w:w="1984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503.230,63</w:t>
            </w:r>
          </w:p>
        </w:tc>
        <w:tc>
          <w:tcPr>
            <w:tcW w:type="dxa" w:w="1985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288.832,17</w:t>
            </w:r>
          </w:p>
        </w:tc>
      </w:tr>
    </w:tbl>
    <w:p>
      <w:pPr>
        <w:keepNext w:val="false"/>
        <w:spacing w:after="240" w:before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Fonte: elaboração própria (aba investimento do modelo).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capital de giro cobre dois meses de custos fixos. No ano 1, o EBITDA provável é negativo em R$ 114 mil: a reserva de R$ 102 mil não cobre o déficit inteiro, e o plano precisa de aporte adicional ou de rampa mais curta. O modelo supõe capital próprio, sem financiamento.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9.4 RECEITAS, CUSTOS E DESPESAS PROJETADOS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Na maturidade, o cenário provável atende 1.460 pessoas por mês, cerca de 48 por dia, e a receita bruta mensal chega a R$ 73,1 mil (Tabela 9.2). A rampa começa em 40% da ocupação madura e chega a 100% no mês 9.</w:t>
      </w:r>
    </w:p>
    <w:p>
      <w:pPr>
        <w:keepNext/>
        <w:spacing w:after="0" w:before="240" w:line="2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Tabela 9.2 – Receita e custos mensais no cenário provável, mês maduro (R$)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74"/>
        <w:gridCol w:w="2048"/>
        <w:gridCol w:w="2049"/>
      </w:tblGrid>
      <w:tr>
        <w:trPr>
          <w:cantSplit/>
          <w:tblHeader/>
        </w:trPr>
        <w:tc>
          <w:tcPr>
            <w:tcW w:type="dxa" w:w="4974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Conta</w:t>
            </w:r>
          </w:p>
        </w:tc>
        <w:tc>
          <w:tcPr>
            <w:tcW w:type="dxa" w:w="2048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Valor mensal</w:t>
            </w:r>
          </w:p>
        </w:tc>
        <w:tc>
          <w:tcPr>
            <w:tcW w:type="dxa" w:w="2049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% da receita bruta</w:t>
            </w:r>
          </w:p>
        </w:tc>
      </w:tr>
      <w:tr>
        <w:trPr>
          <w:cantSplit/>
          <w:tblHeader w:val="false"/>
        </w:trPr>
        <w:tc>
          <w:tcPr>
            <w:tcW w:type="dxa" w:w="49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Taxa de entrada</w:t>
            </w:r>
          </w:p>
        </w:tc>
        <w:tc>
          <w:tcPr>
            <w:tcW w:type="dxa" w:w="20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37.165,22</w:t>
            </w:r>
          </w:p>
        </w:tc>
        <w:tc>
          <w:tcPr>
            <w:tcW w:type="dxa" w:w="20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50,8%</w:t>
            </w:r>
          </w:p>
        </w:tc>
      </w:tr>
      <w:tr>
        <w:trPr>
          <w:cantSplit/>
          <w:tblHeader w:val="false"/>
        </w:trPr>
        <w:tc>
          <w:tcPr>
            <w:tcW w:type="dxa" w:w="49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Alimentos e bebidas</w:t>
            </w:r>
          </w:p>
        </w:tc>
        <w:tc>
          <w:tcPr>
            <w:tcW w:type="dxa" w:w="20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35.035,60</w:t>
            </w:r>
          </w:p>
        </w:tc>
        <w:tc>
          <w:tcPr>
            <w:tcW w:type="dxa" w:w="20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47,9%</w:t>
            </w:r>
          </w:p>
        </w:tc>
      </w:tr>
      <w:tr>
        <w:trPr>
          <w:cantSplit/>
          <w:tblHeader w:val="false"/>
        </w:trPr>
        <w:tc>
          <w:tcPr>
            <w:tcW w:type="dxa" w:w="49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Aluguel de jogos</w:t>
            </w:r>
          </w:p>
        </w:tc>
        <w:tc>
          <w:tcPr>
            <w:tcW w:type="dxa" w:w="20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900,00</w:t>
            </w:r>
          </w:p>
        </w:tc>
        <w:tc>
          <w:tcPr>
            <w:tcW w:type="dxa" w:w="20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1,2%</w:t>
            </w:r>
          </w:p>
        </w:tc>
      </w:tr>
      <w:tr>
        <w:trPr>
          <w:cantSplit/>
          <w:tblHeader w:val="false"/>
        </w:trPr>
        <w:tc>
          <w:tcPr>
            <w:tcW w:type="dxa" w:w="49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Receita bruta</w:t>
            </w:r>
          </w:p>
        </w:tc>
        <w:tc>
          <w:tcPr>
            <w:tcW w:type="dxa" w:w="20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73.100,81</w:t>
            </w:r>
          </w:p>
        </w:tc>
        <w:tc>
          <w:tcPr>
            <w:tcW w:type="dxa" w:w="20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100,0%</w:t>
            </w:r>
          </w:p>
        </w:tc>
      </w:tr>
      <w:tr>
        <w:trPr>
          <w:cantSplit/>
          <w:tblHeader w:val="false"/>
        </w:trPr>
        <w:tc>
          <w:tcPr>
            <w:tcW w:type="dxa" w:w="49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Simples Nacional</w:t>
            </w:r>
          </w:p>
        </w:tc>
        <w:tc>
          <w:tcPr>
            <w:tcW w:type="dxa" w:w="20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7.394,05</w:t>
            </w:r>
          </w:p>
        </w:tc>
        <w:tc>
          <w:tcPr>
            <w:tcW w:type="dxa" w:w="20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10,1%</w:t>
            </w:r>
          </w:p>
        </w:tc>
      </w:tr>
      <w:tr>
        <w:trPr>
          <w:cantSplit/>
          <w:tblHeader w:val="false"/>
        </w:trPr>
        <w:tc>
          <w:tcPr>
            <w:tcW w:type="dxa" w:w="49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CMV de A&amp;B</w:t>
            </w:r>
          </w:p>
        </w:tc>
        <w:tc>
          <w:tcPr>
            <w:tcW w:type="dxa" w:w="20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10.510,68</w:t>
            </w:r>
          </w:p>
        </w:tc>
        <w:tc>
          <w:tcPr>
            <w:tcW w:type="dxa" w:w="20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14,4%</w:t>
            </w:r>
          </w:p>
        </w:tc>
      </w:tr>
      <w:tr>
        <w:trPr>
          <w:cantSplit/>
          <w:tblHeader w:val="false"/>
        </w:trPr>
        <w:tc>
          <w:tcPr>
            <w:tcW w:type="dxa" w:w="49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Taxa de cartão</w:t>
            </w:r>
          </w:p>
        </w:tc>
        <w:tc>
          <w:tcPr>
            <w:tcW w:type="dxa" w:w="20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2.193,02</w:t>
            </w:r>
          </w:p>
        </w:tc>
        <w:tc>
          <w:tcPr>
            <w:tcW w:type="dxa" w:w="20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3,0%</w:t>
            </w:r>
          </w:p>
        </w:tc>
      </w:tr>
      <w:tr>
        <w:trPr>
          <w:cantSplit/>
          <w:tblHeader w:val="false"/>
        </w:trPr>
        <w:tc>
          <w:tcPr>
            <w:tcW w:type="dxa" w:w="49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Pessoal com encargos (12 pessoas)</w:t>
            </w:r>
          </w:p>
        </w:tc>
        <w:tc>
          <w:tcPr>
            <w:tcW w:type="dxa" w:w="20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28.198,89</w:t>
            </w:r>
          </w:p>
        </w:tc>
        <w:tc>
          <w:tcPr>
            <w:tcW w:type="dxa" w:w="20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38,6%</w:t>
            </w:r>
          </w:p>
        </w:tc>
      </w:tr>
      <w:tr>
        <w:trPr>
          <w:cantSplit/>
          <w:tblHeader w:val="false"/>
        </w:trPr>
        <w:tc>
          <w:tcPr>
            <w:tcW w:type="dxa" w:w="49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Aluguel, condomínio e IPTU</w:t>
            </w:r>
          </w:p>
        </w:tc>
        <w:tc>
          <w:tcPr>
            <w:tcW w:type="dxa" w:w="20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11.696,40</w:t>
            </w:r>
          </w:p>
        </w:tc>
        <w:tc>
          <w:tcPr>
            <w:tcW w:type="dxa" w:w="20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16,0%</w:t>
            </w:r>
          </w:p>
        </w:tc>
      </w:tr>
      <w:tr>
        <w:trPr>
          <w:cantSplit/>
          <w:tblHeader w:val="false"/>
        </w:trPr>
        <w:tc>
          <w:tcPr>
            <w:tcW w:type="dxa" w:w="49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Pró-labore e despesas gerais</w:t>
            </w:r>
          </w:p>
        </w:tc>
        <w:tc>
          <w:tcPr>
            <w:tcW w:type="dxa" w:w="20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11.157,37</w:t>
            </w:r>
          </w:p>
        </w:tc>
        <w:tc>
          <w:tcPr>
            <w:tcW w:type="dxa" w:w="20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15,3%</w:t>
            </w:r>
          </w:p>
        </w:tc>
      </w:tr>
      <w:tr>
        <w:trPr>
          <w:cantSplit/>
          <w:tblHeader w:val="false"/>
        </w:trPr>
        <w:tc>
          <w:tcPr>
            <w:tcW w:type="dxa" w:w="4974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Resultado operacional (EBITDA)</w:t>
            </w:r>
          </w:p>
        </w:tc>
        <w:tc>
          <w:tcPr>
            <w:tcW w:type="dxa" w:w="2048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1.950,40</w:t>
            </w:r>
          </w:p>
        </w:tc>
        <w:tc>
          <w:tcPr>
            <w:tcW w:type="dxa" w:w="2049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2,7%</w:t>
            </w:r>
          </w:p>
        </w:tc>
      </w:tr>
    </w:tbl>
    <w:p>
      <w:pPr>
        <w:keepNext w:val="false"/>
        <w:spacing w:after="240" w:before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Fonte: elaboração própria (abas receitas e custos do modelo).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pessoal é o maior custo: 12 pessoas em dois turnos, com folha de R$ 20,6 mil e encargos de 37%. O Simples Nacional custa 10,1% da receita, com o enquadramento do cap. 8.1.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9.5 DEMONSTRATIVOS PROJETADOS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cenário provável dá prejuízo contábil em todos os anos: o EBITDA é de R$ 23 mil por ano a partir do ano 2, menor que a depreciação de R$ 64 mil (Tabela 9.3).</w:t>
      </w:r>
    </w:p>
    <w:p>
      <w:pPr>
        <w:keepNext/>
        <w:spacing w:after="0" w:before="240" w:line="2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Tabela 9.3 – Demonstração do resultado projetada, cenário provável (R$)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74"/>
        <w:gridCol w:w="2048"/>
        <w:gridCol w:w="2049"/>
      </w:tblGrid>
      <w:tr>
        <w:trPr>
          <w:cantSplit/>
          <w:tblHeader/>
        </w:trPr>
        <w:tc>
          <w:tcPr>
            <w:tcW w:type="dxa" w:w="4974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Conta</w:t>
            </w:r>
          </w:p>
        </w:tc>
        <w:tc>
          <w:tcPr>
            <w:tcW w:type="dxa" w:w="2048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Ano 1</w:t>
            </w:r>
          </w:p>
        </w:tc>
        <w:tc>
          <w:tcPr>
            <w:tcW w:type="dxa" w:w="2049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Anos 2 a 5 (cada)</w:t>
            </w:r>
          </w:p>
        </w:tc>
      </w:tr>
      <w:tr>
        <w:trPr>
          <w:cantSplit/>
          <w:tblHeader w:val="false"/>
        </w:trPr>
        <w:tc>
          <w:tcPr>
            <w:tcW w:type="dxa" w:w="49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Receita bruta</w:t>
            </w:r>
          </w:p>
        </w:tc>
        <w:tc>
          <w:tcPr>
            <w:tcW w:type="dxa" w:w="20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679.838,00</w:t>
            </w:r>
          </w:p>
        </w:tc>
        <w:tc>
          <w:tcPr>
            <w:tcW w:type="dxa" w:w="20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877.210,00</w:t>
            </w:r>
          </w:p>
        </w:tc>
      </w:tr>
      <w:tr>
        <w:trPr>
          <w:cantSplit/>
          <w:tblHeader w:val="false"/>
        </w:trPr>
        <w:tc>
          <w:tcPr>
            <w:tcW w:type="dxa" w:w="49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(-) Simples Nacional</w:t>
            </w:r>
          </w:p>
        </w:tc>
        <w:tc>
          <w:tcPr>
            <w:tcW w:type="dxa" w:w="20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-62.916,00</w:t>
            </w:r>
          </w:p>
        </w:tc>
        <w:tc>
          <w:tcPr>
            <w:tcW w:type="dxa" w:w="20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-88.729,00</w:t>
            </w:r>
          </w:p>
        </w:tc>
      </w:tr>
      <w:tr>
        <w:trPr>
          <w:cantSplit/>
          <w:tblHeader w:val="false"/>
        </w:trPr>
        <w:tc>
          <w:tcPr>
            <w:tcW w:type="dxa" w:w="49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(-) CMV e taxa de cartão</w:t>
            </w:r>
          </w:p>
        </w:tc>
        <w:tc>
          <w:tcPr>
            <w:tcW w:type="dxa" w:w="20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-118.144,00</w:t>
            </w:r>
          </w:p>
        </w:tc>
        <w:tc>
          <w:tcPr>
            <w:tcW w:type="dxa" w:w="20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-152.444,00</w:t>
            </w:r>
          </w:p>
        </w:tc>
      </w:tr>
      <w:tr>
        <w:trPr>
          <w:cantSplit/>
          <w:tblHeader w:val="false"/>
        </w:trPr>
        <w:tc>
          <w:tcPr>
            <w:tcW w:type="dxa" w:w="49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Margem de contribuição</w:t>
            </w:r>
          </w:p>
        </w:tc>
        <w:tc>
          <w:tcPr>
            <w:tcW w:type="dxa" w:w="20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498.777,00</w:t>
            </w:r>
          </w:p>
        </w:tc>
        <w:tc>
          <w:tcPr>
            <w:tcW w:type="dxa" w:w="20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636.037,00</w:t>
            </w:r>
          </w:p>
        </w:tc>
      </w:tr>
      <w:tr>
        <w:trPr>
          <w:cantSplit/>
          <w:tblHeader w:val="false"/>
        </w:trPr>
        <w:tc>
          <w:tcPr>
            <w:tcW w:type="dxa" w:w="49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(-) Custos fixos</w:t>
            </w:r>
          </w:p>
        </w:tc>
        <w:tc>
          <w:tcPr>
            <w:tcW w:type="dxa" w:w="20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-612.632,00</w:t>
            </w:r>
          </w:p>
        </w:tc>
        <w:tc>
          <w:tcPr>
            <w:tcW w:type="dxa" w:w="20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-612.632,00</w:t>
            </w:r>
          </w:p>
        </w:tc>
      </w:tr>
      <w:tr>
        <w:trPr>
          <w:cantSplit/>
          <w:tblHeader w:val="false"/>
        </w:trPr>
        <w:tc>
          <w:tcPr>
            <w:tcW w:type="dxa" w:w="49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EBITDA</w:t>
            </w:r>
          </w:p>
        </w:tc>
        <w:tc>
          <w:tcPr>
            <w:tcW w:type="dxa" w:w="20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-113.855,00</w:t>
            </w:r>
          </w:p>
        </w:tc>
        <w:tc>
          <w:tcPr>
            <w:tcW w:type="dxa" w:w="20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23.405,00</w:t>
            </w:r>
          </w:p>
        </w:tc>
      </w:tr>
      <w:tr>
        <w:trPr>
          <w:cantSplit/>
          <w:tblHeader w:val="false"/>
        </w:trPr>
        <w:tc>
          <w:tcPr>
            <w:tcW w:type="dxa" w:w="49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(-) Depreciação e amortização</w:t>
            </w:r>
          </w:p>
        </w:tc>
        <w:tc>
          <w:tcPr>
            <w:tcW w:type="dxa" w:w="20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-63.877,00</w:t>
            </w:r>
          </w:p>
        </w:tc>
        <w:tc>
          <w:tcPr>
            <w:tcW w:type="dxa" w:w="20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-63.877,00</w:t>
            </w:r>
          </w:p>
        </w:tc>
      </w:tr>
      <w:tr>
        <w:trPr>
          <w:cantSplit/>
          <w:tblHeader w:val="false"/>
        </w:trPr>
        <w:tc>
          <w:tcPr>
            <w:tcW w:type="dxa" w:w="4974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Lucro líquido</w:t>
            </w:r>
          </w:p>
        </w:tc>
        <w:tc>
          <w:tcPr>
            <w:tcW w:type="dxa" w:w="2048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-177.732,00</w:t>
            </w:r>
          </w:p>
        </w:tc>
        <w:tc>
          <w:tcPr>
            <w:tcW w:type="dxa" w:w="2049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-40.472,00</w:t>
            </w:r>
          </w:p>
        </w:tc>
      </w:tr>
    </w:tbl>
    <w:p>
      <w:pPr>
        <w:keepNext w:val="false"/>
        <w:spacing w:after="240" w:before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Fonte: elaboração própria (aba dre do modelo).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fluxo de caixa repete o EBITDA, com o investimento no ano 0 e o retorno da caução e do capital de giro no ano 5, sem valor residual dos demais ativos.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9.6 INDICADORES DE VIABILIDADE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negócio não é viável no cenário provável. O VPL a 15% real é negativo em R$ 479 mil, a TIR real é de -21,0% ao ano, e o investimento não se paga em 5 anos (Tabela 9.4). A receita madura fica só 3,8% acima do ponto de equilíbrio operacional, de R$ 70,4 mil por mês: o negócio cobre os custos, mas não remunera o investimento. Mesmo à TMA otimista de 12%, o VPL provável segue negativo em R$ 467 mil.</w:t>
      </w:r>
    </w:p>
    <w:p>
      <w:pPr>
        <w:keepNext/>
        <w:spacing w:after="0" w:before="240" w:line="2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Tabela 9.4 – Indicadores de viabilidade por cenário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58"/>
        <w:gridCol w:w="1670"/>
        <w:gridCol w:w="1670"/>
        <w:gridCol w:w="1673"/>
      </w:tblGrid>
      <w:tr>
        <w:trPr>
          <w:cantSplit/>
          <w:tblHeader/>
        </w:trPr>
        <w:tc>
          <w:tcPr>
            <w:tcW w:type="dxa" w:w="4058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Indicador</w:t>
            </w:r>
          </w:p>
        </w:tc>
        <w:tc>
          <w:tcPr>
            <w:tcW w:type="dxa" w:w="167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Pessimista</w:t>
            </w:r>
          </w:p>
        </w:tc>
        <w:tc>
          <w:tcPr>
            <w:tcW w:type="dxa" w:w="167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Provável</w:t>
            </w:r>
          </w:p>
        </w:tc>
        <w:tc>
          <w:tcPr>
            <w:tcW w:type="dxa" w:w="1673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Otimista</w:t>
            </w:r>
          </w:p>
        </w:tc>
      </w:tr>
      <w:tr>
        <w:trPr>
          <w:cantSplit/>
          <w:tblHeader w:val="false"/>
        </w:trPr>
        <w:tc>
          <w:tcPr>
            <w:tcW w:type="dxa" w:w="40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Investimento inicial (R$)</w:t>
            </w:r>
          </w:p>
        </w:tc>
        <w:tc>
          <w:tcPr>
            <w:tcW w:type="dxa" w:w="16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849.496,78</w:t>
            </w:r>
          </w:p>
        </w:tc>
        <w:tc>
          <w:tcPr>
            <w:tcW w:type="dxa" w:w="16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503.230,63</w:t>
            </w:r>
          </w:p>
        </w:tc>
        <w:tc>
          <w:tcPr>
            <w:tcW w:type="dxa" w:w="16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288.832,17</w:t>
            </w:r>
          </w:p>
        </w:tc>
      </w:tr>
      <w:tr>
        <w:trPr>
          <w:cantSplit/>
          <w:tblHeader w:val="false"/>
        </w:trPr>
        <w:tc>
          <w:tcPr>
            <w:tcW w:type="dxa" w:w="40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Receita bruta mensal madura (R$)</w:t>
            </w:r>
          </w:p>
        </w:tc>
        <w:tc>
          <w:tcPr>
            <w:tcW w:type="dxa" w:w="16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19.407,00</w:t>
            </w:r>
          </w:p>
        </w:tc>
        <w:tc>
          <w:tcPr>
            <w:tcW w:type="dxa" w:w="16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73.101,00</w:t>
            </w:r>
          </w:p>
        </w:tc>
        <w:tc>
          <w:tcPr>
            <w:tcW w:type="dxa" w:w="16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207.261,00</w:t>
            </w:r>
          </w:p>
        </w:tc>
      </w:tr>
      <w:tr>
        <w:trPr>
          <w:cantSplit/>
          <w:tblHeader w:val="false"/>
        </w:trPr>
        <w:tc>
          <w:tcPr>
            <w:tcW w:type="dxa" w:w="40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EBITDA do ano 5 (R$)</w:t>
            </w:r>
          </w:p>
        </w:tc>
        <w:tc>
          <w:tcPr>
            <w:tcW w:type="dxa" w:w="16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-649.981,00</w:t>
            </w:r>
          </w:p>
        </w:tc>
        <w:tc>
          <w:tcPr>
            <w:tcW w:type="dxa" w:w="16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23.405,00</w:t>
            </w:r>
          </w:p>
        </w:tc>
        <w:tc>
          <w:tcPr>
            <w:tcW w:type="dxa" w:w="16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1.302.846,00</w:t>
            </w:r>
          </w:p>
        </w:tc>
      </w:tr>
      <w:tr>
        <w:trPr>
          <w:cantSplit/>
          <w:tblHeader w:val="false"/>
        </w:trPr>
        <w:tc>
          <w:tcPr>
            <w:tcW w:type="dxa" w:w="40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VPL (R$)</w:t>
            </w:r>
          </w:p>
        </w:tc>
        <w:tc>
          <w:tcPr>
            <w:tcW w:type="dxa" w:w="16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-2.824.036,00</w:t>
            </w:r>
          </w:p>
        </w:tc>
        <w:tc>
          <w:tcPr>
            <w:tcW w:type="dxa" w:w="16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-478.829,00</w:t>
            </w:r>
          </w:p>
        </w:tc>
        <w:tc>
          <w:tcPr>
            <w:tcW w:type="dxa" w:w="16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4.263.293,00</w:t>
            </w:r>
          </w:p>
        </w:tc>
      </w:tr>
      <w:tr>
        <w:trPr>
          <w:cantSplit/>
          <w:tblHeader w:val="false"/>
        </w:trPr>
        <w:tc>
          <w:tcPr>
            <w:tcW w:type="dxa" w:w="40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TIR real</w:t>
            </w:r>
          </w:p>
        </w:tc>
        <w:tc>
          <w:tcPr>
            <w:tcW w:type="dxa" w:w="16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não há</w:t>
            </w:r>
          </w:p>
        </w:tc>
        <w:tc>
          <w:tcPr>
            <w:tcW w:type="dxa" w:w="16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-21,0%</w:t>
            </w:r>
          </w:p>
        </w:tc>
        <w:tc>
          <w:tcPr>
            <w:tcW w:type="dxa" w:w="16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394,0%</w:t>
            </w:r>
          </w:p>
        </w:tc>
      </w:tr>
      <w:tr>
        <w:trPr>
          <w:cantSplit/>
          <w:tblHeader w:val="false"/>
        </w:trPr>
        <w:tc>
          <w:tcPr>
            <w:tcW w:type="dxa" w:w="4058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Payback descontado</w:t>
            </w:r>
          </w:p>
        </w:tc>
        <w:tc>
          <w:tcPr>
            <w:tcW w:type="dxa" w:w="167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mais de 5 anos</w:t>
            </w:r>
          </w:p>
        </w:tc>
        <w:tc>
          <w:tcPr>
            <w:tcW w:type="dxa" w:w="167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mais de 5 anos</w:t>
            </w:r>
          </w:p>
        </w:tc>
        <w:tc>
          <w:tcPr>
            <w:tcW w:type="dxa" w:w="1673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0,3 ano</w:t>
            </w:r>
          </w:p>
        </w:tc>
      </w:tr>
    </w:tbl>
    <w:p>
      <w:pPr>
        <w:keepNext w:val="false"/>
        <w:spacing w:after="240" w:before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Fonte: elaboração própria (aba sensibilidade do modelo).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Os cenários extremos põem todas as premissas no mesmo lado da faixa ao mesmo tempo: servem de limite, não de previsão. A decisão depende de onde as premissas críticas ficam (seção 9.7).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9.7 TRIANGULAÇÃO, SENSIBILIDADE E PONTO DE RUPTURA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9.7.1 Triangulação da receita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receita provável fica entre os pisos de venda das duas unidades da São Jogue. Pela numeração das NFC-e (B3), a Bela Vista emitiu 30,5 notas por dia e a Paralela, 16,1; a R$ 90,85 por nota, os pisos são de R$ 84,3 mil e R$ 44,5 mil por mês, contra R$ 73,1 mil do modelo. Como as notas só saem a pedido do cliente, os pisos subestimam a venda real: a comparação valida a ordem de grandeza, não o valor. A estimativa de demanda do cap. 6 completa a triangulação </w:t>
      </w:r>
      <w:r>
        <w:rPr>
          <w:rFonts w:ascii="Arial" w:cs="Arial" w:eastAsia="Arial" w:hAnsi="Arial"/>
          <w:sz w:val="24"/>
          <w:szCs w:val="24"/>
        </w:rPr>
        <w:t xml:space="preserve">[pendente]</w:t>
      </w:r>
      <w:r>
        <w:rPr>
          <w:rFonts w:ascii="Arial" w:cs="Arial" w:eastAsia="Arial" w:hAnsi="Arial"/>
          <w:sz w:val="24"/>
          <w:szCs w:val="24"/>
        </w:rPr>
        <w:t xml:space="preserve">.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9.7.2 Sensibilidade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Quatro premissas de demanda concentram o risco: permanência média, pessoas por grupo e taxa de ocupação de fim de semana e de dia útil. Cada uma move o VPL em mais de R$ 600 mil entre os extremos da faixa (Figura 9.1). As três primeiras têm dado próprio (N5); a ocupação de dia útil é N6, o que viola a regra de robustez e exige destaque no cap. 10.</w:t>
      </w:r>
    </w:p>
    <w:p>
      <w:pPr>
        <w:keepNext/>
        <w:spacing w:after="0" w:before="240" w:line="2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9.1 – Tornado: VPL com cada premissa no extremo da faixa e as demais no provável</w:t>
      </w:r>
    </w:p>
    <w:p>
      <w:pPr>
        <w:keepNext/>
        <w:spacing w:after="0"/>
        <w:jc w:val="center"/>
      </w:pPr>
      <w:r>
        <w:drawing>
          <wp:inline distT="0" distB="0" distL="0" distR="0">
            <wp:extent cx="5762625" cy="3838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240" w:before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Fonte: elaboração própria (aba sensibilidade do modelo).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permanência pesa mais que a ocupação porque a taxa de entrada é cobrada por pessoa, não por hora: com a mesma ocupação, uma permanência menor gira mais grupos pela mesa. Esse efeito tem limite no turno de 3 horas.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9.7.3 Ponto de ruptura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negócio é viável enquanto a taxa de ocupação de fim de semana ficar acima de 49,5%, com as demais premissas no provável (Tabela 9.5). Esse valor está acima do provável (35%) e da média das quatro noites (46,1%), mas abaixo do pico medido na Paralela (66,9%).</w:t>
      </w:r>
    </w:p>
    <w:p>
      <w:pPr>
        <w:keepNext/>
        <w:spacing w:after="0" w:before="240" w:line="2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Tabela 9.5 – Ponto de ruptura das premissas críticas (VPL = 0)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3"/>
        <w:gridCol w:w="3359"/>
        <w:gridCol w:w="1567"/>
        <w:gridCol w:w="1567"/>
        <w:gridCol w:w="1795"/>
      </w:tblGrid>
      <w:tr>
        <w:trPr>
          <w:cantSplit/>
          <w:tblHeader/>
        </w:trPr>
        <w:tc>
          <w:tcPr>
            <w:tcW w:type="dxa" w:w="783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3359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Premissa</w:t>
            </w:r>
          </w:p>
        </w:tc>
        <w:tc>
          <w:tcPr>
            <w:tcW w:type="dxa" w:w="1567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Provável</w:t>
            </w:r>
          </w:p>
        </w:tc>
        <w:tc>
          <w:tcPr>
            <w:tcW w:type="dxa" w:w="1567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Ruptura</w:t>
            </w:r>
          </w:p>
        </w:tc>
        <w:tc>
          <w:tcPr>
            <w:tcW w:type="dxa" w:w="1795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Faixa testada</w:t>
            </w:r>
          </w:p>
        </w:tc>
      </w:tr>
      <w:tr>
        <w:trPr>
          <w:cantSplit/>
          <w:tblHeader w:val="false"/>
        </w:trPr>
        <w:tc>
          <w:tcPr>
            <w:tcW w:type="dxa" w:w="7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R03</w:t>
            </w:r>
          </w:p>
        </w:tc>
        <w:tc>
          <w:tcPr>
            <w:tcW w:type="dxa" w:w="33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Permanência média (min)</w:t>
            </w:r>
          </w:p>
        </w:tc>
        <w:tc>
          <w:tcPr>
            <w:tcW w:type="dxa" w:w="15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109</w:t>
            </w:r>
          </w:p>
        </w:tc>
        <w:tc>
          <w:tcPr>
            <w:tcW w:type="dxa" w:w="15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87</w:t>
            </w:r>
          </w:p>
        </w:tc>
        <w:tc>
          <w:tcPr>
            <w:tcW w:type="dxa" w:w="179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83 a 137</w:t>
            </w:r>
          </w:p>
        </w:tc>
      </w:tr>
      <w:tr>
        <w:trPr>
          <w:cantSplit/>
          <w:tblHeader w:val="false"/>
        </w:trPr>
        <w:tc>
          <w:tcPr>
            <w:tcW w:type="dxa" w:w="7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R02</w:t>
            </w:r>
          </w:p>
        </w:tc>
        <w:tc>
          <w:tcPr>
            <w:tcW w:type="dxa" w:w="33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Pessoas por grupo de mesa</w:t>
            </w:r>
          </w:p>
        </w:tc>
        <w:tc>
          <w:tcPr>
            <w:tcW w:type="dxa" w:w="15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3,6</w:t>
            </w:r>
          </w:p>
        </w:tc>
        <w:tc>
          <w:tcPr>
            <w:tcW w:type="dxa" w:w="15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4,5</w:t>
            </w:r>
          </w:p>
        </w:tc>
        <w:tc>
          <w:tcPr>
            <w:tcW w:type="dxa" w:w="179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2,8 a 4,4</w:t>
            </w:r>
          </w:p>
        </w:tc>
      </w:tr>
      <w:tr>
        <w:trPr>
          <w:cantSplit/>
          <w:tblHeader w:val="false"/>
        </w:trPr>
        <w:tc>
          <w:tcPr>
            <w:tcW w:type="dxa" w:w="7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R04</w:t>
            </w:r>
          </w:p>
        </w:tc>
        <w:tc>
          <w:tcPr>
            <w:tcW w:type="dxa" w:w="33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Taxa de ocupação, fim de semana</w:t>
            </w:r>
          </w:p>
        </w:tc>
        <w:tc>
          <w:tcPr>
            <w:tcW w:type="dxa" w:w="15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35,0%</w:t>
            </w:r>
          </w:p>
        </w:tc>
        <w:tc>
          <w:tcPr>
            <w:tcW w:type="dxa" w:w="15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49,5%</w:t>
            </w:r>
          </w:p>
        </w:tc>
        <w:tc>
          <w:tcPr>
            <w:tcW w:type="dxa" w:w="179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25% a 45%</w:t>
            </w:r>
          </w:p>
        </w:tc>
      </w:tr>
      <w:tr>
        <w:trPr>
          <w:cantSplit/>
          <w:tblHeader w:val="false"/>
        </w:trPr>
        <w:tc>
          <w:tcPr>
            <w:tcW w:type="dxa" w:w="7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R05</w:t>
            </w:r>
          </w:p>
        </w:tc>
        <w:tc>
          <w:tcPr>
            <w:tcW w:type="dxa" w:w="33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Taxa de ocupação, dia útil</w:t>
            </w:r>
          </w:p>
        </w:tc>
        <w:tc>
          <w:tcPr>
            <w:tcW w:type="dxa" w:w="15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18,0%</w:t>
            </w:r>
          </w:p>
        </w:tc>
        <w:tc>
          <w:tcPr>
            <w:tcW w:type="dxa" w:w="15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29,7%</w:t>
            </w:r>
          </w:p>
        </w:tc>
        <w:tc>
          <w:tcPr>
            <w:tcW w:type="dxa" w:w="179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10% a 25%</w:t>
            </w:r>
          </w:p>
        </w:tc>
      </w:tr>
      <w:tr>
        <w:trPr>
          <w:cantSplit/>
          <w:tblHeader w:val="false"/>
        </w:trPr>
        <w:tc>
          <w:tcPr>
            <w:tcW w:type="dxa" w:w="783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R01</w:t>
            </w:r>
          </w:p>
        </w:tc>
        <w:tc>
          <w:tcPr>
            <w:tcW w:type="dxa" w:w="3359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Mesas do salão</w:t>
            </w:r>
          </w:p>
        </w:tc>
        <w:tc>
          <w:tcPr>
            <w:tcW w:type="dxa" w:w="1567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567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12,5</w:t>
            </w:r>
          </w:p>
        </w:tc>
        <w:tc>
          <w:tcPr>
            <w:tcW w:type="dxa" w:w="1795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 a 11</w:t>
            </w:r>
          </w:p>
        </w:tc>
      </w:tr>
    </w:tbl>
    <w:p>
      <w:pPr>
        <w:keepNext w:val="false"/>
        <w:spacing w:after="240" w:before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Fonte: elaboração própria (aba sensibilidade do modelo).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Só a permanência tem ruptura dentro da faixa testada. O VPL fica positivo pela combinação de premissas: ocupação de 45% no fim de semana e de 23% no dia útil (VPL de R$ 55 mil), ou permanência de 95 minutos com ocupação de 42% no fim de semana (VPL de R$ 65 mil). A plausibilidade dessas combinações é discutida no cap. 10.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9.8 CHECAGENS DE COERÊNCIA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capacidade comporta a demanda com folga: as 48 pessoas por dia usam 25% da capacidade do salão, de 193 pessoas por dia (cap. 7).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equipe e o ponto pesam mais que no setor. A folha com encargos custa 38,6% da receita, contra 25,1% de gastos com pessoal nos serviços de alimentação, e o aluguel com condomínio, 16,0%, contra 4,0% (IBGE, PAS 2024). Os dois custos explicam a margem baixa e indicam onde o cap. 7 pode cortar: quadro menor no dia útil ou ponto menor.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taxa de entrada de fim de semana, de R$ 28,00, supera a mediana de R$ 25,00 dos concorrentes (6.3). A São Jogue pratica esse preço com 4,8 estrelas em 787 avaliações, o que sustenta o posicionamento, desde que o plano reproduza a mesma experiência.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demanda projetada equivale a 17,5 mil visitas por ano, ou 0,7% da população de Salvador em 2026 (IBGE), abaixo da penetração que exigiria um mercado novo.</w:t>
      </w:r>
    </w:p>
    <w:sectPr>
      <w:footerReference w:type="default" r:id="rId7"/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09" w:hanging="284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6d407dc23bc13ce35fdf7cd2799a7486990e985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2026-10-31T15:23:13.721Z</dcterms:created>
  <dcterms:modified xsi:type="dcterms:W3CDTF">2026-10-31T15:23:13.721Z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