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CRONOGRAMA INDIVIDUAL - TCC LUDERIA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Atualizado em 18/09/2026.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Estrutura e objetivos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trabalho é um plano de negócios baseado em evidências. Ele segue a estrutura de um plano de negócios: análise de mercado, marketing, operação, aspectos jurídicos, finanças e riscos. A diferença está no método: cada decisão do plano é ligada a um dado, e cada dado a uma fonte e a um nível de confiança.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negócio analisado é uma luderia, estabelecimento que combina comida, bebida e um acervo de jogos de tabuleiro. O plano mira o público casual: pessoas que usam o jogo como forma de socializar, e não como hobby.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Objetivo geral:</w:t>
      </w:r>
      <w:r>
        <w:rPr>
          <w:rFonts w:ascii="Arial" w:cs="Arial" w:eastAsia="Arial" w:hAnsi="Arial"/>
          <w:sz w:val="20"/>
          <w:szCs w:val="20"/>
        </w:rPr>
        <w:t xml:space="preserve"> avaliar se uma luderia voltada ao público casual é viável do ponto de vista de mercado, de operação e financeiro, com premissas sustentadas por dados públicos e por observação direta.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Analisar o mercado e a concorrência de luderias nas 27 capitais: avaliação dos clientes, preço, cardápio e modelo de comida e bebida.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Caracterizar o comportamento de consumo do público das luderias.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Definir o posicionamento e o composto de marketing a partir dos aspectos que mais pesam na satisfação dos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Estimar a demanda, a taxa de ocupação e o giro de mesas.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Dimensionar a estrutura operacional e os requisitos jurídicos do negócio.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Projetar investimentos, receitas, custos e indicadores de viabilidade.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Identificar as premissas que mais afetam o resultado e os valores a partir dos quais o negócio deixa de ser viável.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Propor um plano de contingência e as validações necessárias antes do investimento.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Pressupostos e hipóteses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pressupostos orientam o desenho da pesquisa e são verificados ao longo da análise: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P1:</w:t>
      </w:r>
      <w:r>
        <w:rPr>
          <w:rFonts w:ascii="Arial" w:cs="Arial" w:eastAsia="Arial" w:hAnsi="Arial"/>
          <w:sz w:val="20"/>
          <w:szCs w:val="20"/>
        </w:rPr>
        <w:t xml:space="preserve"> o público das luderias é majoritariamente casual. Quem tem o jogo como hobby tende a montar acervo e espaço de jogo em casa.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P2:</w:t>
      </w:r>
      <w:r>
        <w:rPr>
          <w:rFonts w:ascii="Arial" w:cs="Arial" w:eastAsia="Arial" w:hAnsi="Arial"/>
          <w:sz w:val="20"/>
          <w:szCs w:val="20"/>
        </w:rPr>
        <w:t xml:space="preserve"> a taxa de ocupação e o ticket médio concentram a maior parte da incerteza sobre o resultado financeiro.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P3:</w:t>
      </w:r>
      <w:r>
        <w:rPr>
          <w:rFonts w:ascii="Arial" w:cs="Arial" w:eastAsia="Arial" w:hAnsi="Arial"/>
          <w:sz w:val="20"/>
          <w:szCs w:val="20"/>
        </w:rPr>
        <w:t xml:space="preserve"> o ritmo de novas avaliações no Google, calibrado pela contagem de ocupação, estima o fluxo de clientes dos concorrentes com margem de erro aceitável para a decisão.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hipóteses foram registradas em 14/09/2026, antes da coleta das avaliações. Elas são testadas uma única vez, em uma parte da base separada para esse fim: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H1 - Atendimento:</w:t>
      </w:r>
      <w:r>
        <w:rPr>
          <w:rFonts w:ascii="Arial" w:cs="Arial" w:eastAsia="Arial" w:hAnsi="Arial"/>
          <w:sz w:val="20"/>
          <w:szCs w:val="20"/>
        </w:rPr>
        <w:t xml:space="preserve"> reclamações sobre atendimento e sobre a explicação dos jogos reduzem mais a nota do cliente do que reclamações sobre comida e bebida.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H2 - Comida:</w:t>
      </w:r>
      <w:r>
        <w:rPr>
          <w:rFonts w:ascii="Arial" w:cs="Arial" w:eastAsia="Arial" w:hAnsi="Arial"/>
          <w:sz w:val="20"/>
          <w:szCs w:val="20"/>
        </w:rPr>
        <w:t xml:space="preserve"> elogios à comida estão associados a notas mais altas, na comparação dentro de um mesmo estabelecimento.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H3 - Preço:</w:t>
      </w:r>
      <w:r>
        <w:rPr>
          <w:rFonts w:ascii="Arial" w:cs="Arial" w:eastAsia="Arial" w:hAnsi="Arial"/>
          <w:sz w:val="20"/>
          <w:szCs w:val="20"/>
        </w:rPr>
        <w:t xml:space="preserve"> a proporção de reclamações de preço muda conforme a forma de cobrança (couvert, cobrança por hora ou consumação mínima).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H4 - Roteiro da saída:</w:t>
      </w:r>
      <w:r>
        <w:rPr>
          <w:rFonts w:ascii="Arial" w:cs="Arial" w:eastAsia="Arial" w:hAnsi="Arial"/>
          <w:sz w:val="20"/>
          <w:szCs w:val="20"/>
        </w:rPr>
        <w:t xml:space="preserve"> nas luderias sem cozinha própria, é mais comum que o cliente avalie também um restaurante no mesmo dia.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H5 - Ticket:</w:t>
      </w:r>
      <w:r>
        <w:rPr>
          <w:rFonts w:ascii="Arial" w:cs="Arial" w:eastAsia="Arial" w:hAnsi="Arial"/>
          <w:sz w:val="20"/>
          <w:szCs w:val="20"/>
        </w:rPr>
        <w:t xml:space="preserve"> o gasto por pessoa citado nas avaliações fica dentro da faixa calculada a partir dos cardápios da mesma capital.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nota usada nas hipóteses é a nota centrada no avaliador: a nota dada à luderia menos a média das notas que a mesma pessoa dá a todos os lugares. Isso separa a experiência na luderia do grau de exigência de quem avalia.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Variáveis e instrumentos de coleta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3"/>
        <w:gridCol w:w="3848"/>
        <w:gridCol w:w="3573"/>
        <w:gridCol w:w="3576"/>
      </w:tblGrid>
      <w:tr>
        <w:trPr>
          <w:cantSplit/>
          <w:tblHeader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Finalidade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 dos dados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Instrumento de coleta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Avaliação média e número de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 satisfação e o porte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Places API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cobrança, modelo de comida e bebida e acervo de jogos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Comparar os formatos de negócio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Site, Instagram e cardápio de cada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Pontos de fluxo no entorno (parques e praias, shoppings, estações de metrô)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Avaliar a localização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OpenStreetMap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automática em raios de 500 m e 1.000 m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Itens e preços do cardápio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o preço e estimar o ticket médio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Cardápio digital de cada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 e texto de cada avaliação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Identificar o que pesa na satisfação e as principais reclamações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 (30 a 50 avaliações mais recentes com texto por estabelecimento)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das avaliações e codificação por dicionário de termos validado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do grupo e valores em R$ citados nas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pessoas por mesa e gasto por pessoa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Texto das avaliações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Codificação por dicionário de termos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das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ritmo de novos clientes de cada concorrente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das avaliações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avaliações de cada avaliador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Calcular a nota centrada e o perfil de consumo do público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público do avaliador no Google Maps, com o nome trocado por código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do histórico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ocupadas, pessoas presentes e tamanho dos grupos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 taxa de ocupação e as pessoas por mesa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observação, com contagem a cada 30 minutos em 4 visitas sorteadas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Chegada e saída dos grupos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o tempo de permanência e o giro de mesas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 e renda por capital e bairro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Dimensionar o mercado e escolher a praça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 (Censo 2022 e estimativas populacionais)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das famílias com alimentação fora de casa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Conferir o ticket médio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 (Pesquisa de Orçamentos Familiares)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Salário de admissão por ocupação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custo de pessoal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Novo CAGED (Ministério do Trabalho)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comercial por m²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custo de ocupação do imóvel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FipeZap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Alíquotas do Simples Nacional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os tributos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Complementar nº 123/2006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à legislação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Selic e IPCA projetados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a taxa de desconto e a inflação do modelo financeiro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Banco Central (SGS e Boletim Focus)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Situação em 17/09/2026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6"/>
        <w:gridCol w:w="8014"/>
      </w:tblGrid>
      <w:tr>
        <w:trPr>
          <w:cantSplit/>
          <w:tblHeader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Introdução (cap. 1)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 concluído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prévio das hipóteses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 e datado em 14/09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Bases públicas (IBGE, CAGED, FipeZap, Simples Nacional, Banco Central)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Coletadas e tratadas em 14/09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dos estabelecimentos concorrentes nas 27 capitais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Concluída: 737 candidatos nas capitais e em suas regiões metropolitanas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Seleção final dos estabelecimentos a analisar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andamento: falta definir o número mínimo de avaliações e confirmar quais são espaços de jogo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Avaliações, perfis dos avaliadores, cardápios e contagem de ocupação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iniciados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Etapas que definem o prazo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Cinco etapas condicionam o restante do cronograma: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Perfis dos avaliadores.</w:t>
      </w:r>
      <w:r>
        <w:rPr>
          <w:rFonts w:ascii="Arial" w:cs="Arial" w:eastAsia="Arial" w:hAnsi="Arial"/>
          <w:sz w:val="20"/>
          <w:szCs w:val="20"/>
        </w:rPr>
        <w:t xml:space="preserve"> É a coleta mais longa. Começa quando as primeiras avaliações estiverem copiadas e termina até 14/10.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Validação da codificação das avaliações.</w:t>
      </w:r>
      <w:r>
        <w:rPr>
          <w:rFonts w:ascii="Arial" w:cs="Arial" w:eastAsia="Arial" w:hAnsi="Arial"/>
          <w:sz w:val="20"/>
          <w:szCs w:val="20"/>
        </w:rPr>
        <w:t xml:space="preserve"> A mesma amostra de 200 avaliações é codificada duas vezes, com intervalo mínimo de 14 dias. A primeira codificação termina em 02/10; a segunda começa em 16/10.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Emenda ao registro prévio.</w:t>
      </w:r>
      <w:r>
        <w:rPr>
          <w:rFonts w:ascii="Arial" w:cs="Arial" w:eastAsia="Arial" w:hAnsi="Arial"/>
          <w:sz w:val="20"/>
          <w:szCs w:val="20"/>
        </w:rPr>
        <w:t xml:space="preserve"> Os ajustes feitos na parte exploratória da base são registrados até 23/10. Só depois disso a parte confirmatória é aberta.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Contagem de ocupação na São Jogue.</w:t>
      </w:r>
      <w:r>
        <w:rPr>
          <w:rFonts w:ascii="Arial" w:cs="Arial" w:eastAsia="Arial" w:hAnsi="Arial"/>
          <w:sz w:val="20"/>
          <w:szCs w:val="20"/>
        </w:rPr>
        <w:t xml:space="preserve"> São quatro visitas entre 29/09 e 28/10. A estimativa de ocupação depende delas.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Registro de premissas.</w:t>
      </w:r>
      <w:r>
        <w:rPr>
          <w:rFonts w:ascii="Arial" w:cs="Arial" w:eastAsia="Arial" w:hAnsi="Arial"/>
          <w:sz w:val="20"/>
          <w:szCs w:val="20"/>
        </w:rPr>
        <w:t xml:space="preserve"> O modelo financeiro só é montado quando ocupação, ticket médio e custos têm faixa e fonte.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Contagem de ocupação na São Jogue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contagem é a única coleta presencial do trabalho. Ela mede quantas mesas e pessoas ocupam a luderia em cada horário.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Quatro visitas no total</w:t>
      </w:r>
      <w:r>
        <w:rPr>
          <w:rFonts w:ascii="Arial" w:cs="Arial" w:eastAsia="Arial" w:hAnsi="Arial"/>
          <w:sz w:val="20"/>
          <w:szCs w:val="20"/>
        </w:rPr>
        <w:t xml:space="preserve">, duas em cada unidade da São Jogue.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Dois períodos</w:t>
      </w:r>
      <w:r>
        <w:rPr>
          <w:rFonts w:ascii="Arial" w:cs="Arial" w:eastAsia="Arial" w:hAnsi="Arial"/>
          <w:sz w:val="20"/>
          <w:szCs w:val="20"/>
        </w:rPr>
        <w:t xml:space="preserve">, definidos pelo pagamento dos servidores estaduais da Bahia (29/09 para inativos e pensionistas; 30/09 para ativos):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quinzena após o pagamento: 29/09 a 13/10;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quinzena antes do pagamento seguinte: 14/10 a 28/10.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 cada quinzena</w:t>
      </w:r>
      <w:r>
        <w:rPr>
          <w:rFonts w:ascii="Arial" w:cs="Arial" w:eastAsia="Arial" w:hAnsi="Arial"/>
          <w:sz w:val="20"/>
          <w:szCs w:val="20"/>
        </w:rPr>
        <w:t xml:space="preserve">, uma visita em dia útil (segunda a quinta) e uma no fim de semana (sexta a domingo). Cada unidade recebe uma visita por quinzena e uma de cada tipo de dia.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Horário:</w:t>
      </w:r>
      <w:r>
        <w:rPr>
          <w:rFonts w:ascii="Arial" w:cs="Arial" w:eastAsia="Arial" w:hAnsi="Arial"/>
          <w:sz w:val="20"/>
          <w:szCs w:val="20"/>
        </w:rPr>
        <w:t xml:space="preserve"> a São Jogue funciona das 12h00 às 22h00. Cada visita dura 3 horas, em um de três turnos (12h00-15h00, 15h30-18h30 ou 19h00-22h00), com uma contagem a cada 30 minutos.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Sorteio:</w:t>
      </w:r>
      <w:r>
        <w:rPr>
          <w:rFonts w:ascii="Arial" w:cs="Arial" w:eastAsia="Arial" w:hAnsi="Arial"/>
          <w:sz w:val="20"/>
          <w:szCs w:val="20"/>
        </w:rPr>
        <w:t xml:space="preserve"> os dias e turnos são sorteados na planilha contagem_sorteio_visitas.xlsx antes da primeira visita. Feriados e dias sem funcionamento ficam de fora.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Fonte das datas de pagamento: Governo da Bahia, Tabela de Pagamentos 2026 dos servidores estaduais.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Cronograma semanal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semanas vão de sábado a sexta-feira. Assim, cada entrega definida pela orientação (18/09, 02/10, 16/10, 30/10 e 06/11) cai no último dia de uma semana. A versão final para a banca tem 16/11 como data de referência, e a defesa ocorre no final de novembro. Feriados nacionais no período: 12/10, 02/11 e 20/11.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2"/>
        <w:gridCol w:w="1428"/>
        <w:gridCol w:w="6285"/>
        <w:gridCol w:w="3428"/>
        <w:gridCol w:w="2287"/>
      </w:tblGrid>
      <w:tr>
        <w:trPr>
          <w:cantSplit/>
          <w:tblHeader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Coleta e análise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Escrita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Entrega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12/09 a 18/09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Coleta e tratamento das bases públicas (14/09)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 e triagem dos estabelecimentos concorrentes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Recorte pelas regiões metropolitanas das capitais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Datas de pagamento dos servidores e planilha de sorteio da contagem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prévio (14/09)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Leitura das cinco referências essenciais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Cronograma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18/09: cronograma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19/09 a 25/09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Definição do número mínimo de avaliações por estabelecimento (teste em amostra)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 final de estabelecimentos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cópia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coleta dos cardápios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Sorteio das visitas e formulário de observação da contagem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Manual de codificação das avaliações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Projeto: hipóteses, quadro de variáveis e modelo de análise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2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26/09 a 02/10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da cópia das avaliações (27/09)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coleta dos perfis dos avaliadores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Divisão da base em parte exploratória e parte confirmatória (28/09)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Primeira codificação das 200 avaliações da amostra (até 02/10)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dos cardápios (30/09)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da contagem, conforme sorteio (quinzena pós-pagamento a partir de 29/09)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final do projeto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3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02/10: projeto consolidado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03/10 a 09/10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Coleta dos perfis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da contagem, conforme sorteio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do modelo financeiro (premissas, cálculos e cenários)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 do cap. 5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10/10 a 16/10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Fim da quinzena pós-pagamento (13/10) e início da pré-pagamento (14/10)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dos perfis (14/10)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Organização das bases e do dicionário de dados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Segunda codificação das 200 avaliações (a partir de 16/10)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Primeira versão do registro de premissas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 do cap. 6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16/10: coleta em estágio avançado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17/10 a 23/10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Concordância entre as duas codificações e revisão do dicionário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Análises da parte exploratória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Emenda ao registro prévio (até 23/10)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 financeiro versão 1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da contagem, conforme sorteio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Rascunhos dos caps. 7 e 8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24/10 a 30/10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Última visita da contagem (até 28/10)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Estimativa de ocupação e fluxo, em faixa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da parte confirmatória (rodada única)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Estatísticas descritivas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Viabilidade nos três cenários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de sensibilidade e pontos de ruptura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Caps. 5, 6 e 9 completos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10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30/10: primeira versão dos resultados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31/10 a 06/11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Ajustes finais no modelo financeiro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Tabelas e figuras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Simulação de Monte Carlo (opcional)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10 completo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Caps. 4 e 11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da introdução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Apêndices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Referências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06/11: versão completa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07/11 a 13/11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Atualização do site de apresentação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Ajustes pedidos pela orientação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de estilo e das normas ABNT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Conferência das referências pendentes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14/11 a 20/11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Preparação da apresentação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16/11: versão final para a banca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21/11 a 27/11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Ensaios da apresentação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Defesa (data a definir)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Capítulos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8"/>
        <w:gridCol w:w="4371"/>
        <w:gridCol w:w="4371"/>
      </w:tblGrid>
      <w:tr>
        <w:trPr>
          <w:cantSplit/>
          <w:tblHeader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Capítulo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Rascunho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 completa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Introdução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 (revisão)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Referencial teórico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25/09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Metodologia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Sumário executivo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Análise de mercado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09/10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Plano de marketing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 Plano operacional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Aspectos jurídicos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 Plano financeiro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Riscos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 Considerações finais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Referências e apêndices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Contínuo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Plano de corte em caso de atraso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 uma entrega atrasar mais de três dias, os itens abaixo saem do escopo, nesta ordem. Os itens cortados entram nas considerações finais como próximos passos.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Simulação de Monte Carlo. A análise de sensibilidade e os pontos de ruptura permanecem.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Comparação de avaliadores em comum entre luderias.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de jogos (Ludopedia e BoardGameGeek).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Atualização do site de apresentação. As figuras do texto permanecem.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Perfis dos avaliadores reduzidos a uma amostra de 20 avaliadores por estabelecimento.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Contagem de ocupação reduzida a duas visitas, uma por quinzena, ambas no fim de semana.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Não entram no plano de corte:</w:t>
      </w:r>
      <w:r>
        <w:rPr>
          <w:rFonts w:ascii="Arial" w:cs="Arial" w:eastAsia="Arial" w:hAnsi="Arial"/>
          <w:sz w:val="20"/>
          <w:szCs w:val="20"/>
        </w:rPr>
        <w:t xml:space="preserve"> registro prévio, validação da codificação e registro de premissas. Custam pouco e sustentam a confiabilidade dos resultados.</w:t>
      </w:r>
    </w:p>
    <w:sectPr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  <w:lvl w:ilvl="1" w15:tentative="1">
      <w:start w:val="1"/>
      <w:numFmt w:val="bullet"/>
      <w:lvlText w:val="◦"/>
      <w:lvlJc w:val="left"/>
      <w:pPr>
        <w:ind w:left="60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2026-09-18T15:09:11.401Z</dcterms:created>
  <dcterms:modified xsi:type="dcterms:W3CDTF">2026-09-18T15:09:11.402Z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