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8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 ASPECTOS JURÍDICOS E LEGAIS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 FORMA JURÍDICA E ENQUADRAMENTO TRIBUTÁRIO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luderia deve ser uma sociedade limitada, unipessoal se tiver um só sócio. A forma limita a responsabilidade do sócio ao capital (Lei n. 10.406/2002, art. 1.052) e, desde a Lei n. 13.874/2019, admite um único sócio. O empresário individual não separa o patrimônio pessoal, e o MEI não comporta a receita projetada nem o quadro de 12 empregados (LC n. 123/2006, art. 18-A)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As duas unidades da São Jogue são sociedades empresárias limitadas, com capital social de R$ 50 mil (Bela Vista, 2019) e R$ 150 mil (Paralela, 2025), ambas no Simples Nacional (Receita Federal, consulta ao CNPJ em 31/10/2026).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empresa entra no Simples Nacional como empresa de pequeno porte. A receita provável do ano 2, de R$ 877 mil, passa do teto da microempresa (R$ 360 mil) e fica abaixo do limite de R$ 4,8 milhões (LC n. 123/2006, art. 3º). Cada receita segue o anexo da atividade: o A&amp;B é revenda de mercadoria, no anexo I; a taxa de entrada é serviço de recreação, no anexo III, pela regra geral do art. 18, § 5º-F; o aluguel de jogos é locação de bem móvel, no anexo III sem a parcela do ISS (art. 18, § 4º, V). O modelo do cap. 9 tributa o aluguel pelo anexo III cheio, o que superestima o imposto em cerca de R$ 420,00 por ano (a parcela do ISS é 32,5% da alíquota do anexo III na 4ª faixa).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Simples custa menos da metade do Lucro Presumido (Tabela 8.1). A diferença vem sobretudo da contribuição patronal sobre a folha: no Simples, ela está dentro do DAS dos anexos I e III; no Lucro Presumido, soma 8,7% da receita.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8.1 – Tributos no ano maduro, cenário provável: Simples Nacional × Lucro Presumido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4"/>
        <w:gridCol w:w="2048"/>
        <w:gridCol w:w="2049"/>
      </w:tblGrid>
      <w:tr>
        <w:trPr>
          <w:cantSplit/>
          <w:tblHeader/>
        </w:trPr>
        <w:tc>
          <w:tcPr>
            <w:tcW w:type="dxa" w:w="497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Tributo</w:t>
            </w:r>
          </w:p>
        </w:tc>
        <w:tc>
          <w:tcPr>
            <w:tcW w:type="dxa" w:w="204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Simples Nacional</w:t>
            </w:r>
          </w:p>
        </w:tc>
        <w:tc>
          <w:tcPr>
            <w:tcW w:type="dxa" w:w="204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Lucro Presumido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IRPJ e CSLL (presunção de 8% e 12% no A&amp;B, 32% nos serviços)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DAS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44.666,64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PIS e Cofins cumulativos (3,65%)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DAS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32.018,15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ICMS sobre o A&amp;B (4%)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DAS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16.817,09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ISS sobre a taxa de entrada (5%)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DAS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22.299,13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Contribuição patronal sobre a folha (27,8%)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DAS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76.294,80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88.729,00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192.095,81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da receita bruta de R$ 877.210,00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10,1%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21,9%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LC n. 123/2006 (anexos I e III), Lei n. 9.249/1995 (arts. 15 e 20), Lei n. 9.718/1998 e Lei n. 8.212/1991 (art. 22); receita e folha do modelo do cap. 9.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carga do Simples entra no cap. 9 como 8,1% sobre o A&amp;B e 11,9% sobre os serviços no ano maduro, calculada pela tabela do anexo sobre a receita do ano. A reforma do consumo (EC n. 132/2023 e LC n. 214/2025) mantém o Simples e abre a opção de recolher IBS e CBS por fora a partir de 2027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; a opção só vale se a luderia vender para empresas que usem o crédito, o que não é o caso.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CNAE principal proposto é 5611-2/01 (restaurantes e similares), com 9329-8/99 (recreação e lazer), 4763-6/01 (venda de jogos), 7729-2/02 (locação de jogos) e 8230-0/01 (eventos) como secundários. A São Jogue usa 5611-2/03 (lanchonete) como principal e lista 5611-2/01, 9329-8/99, 4763-6/01 e 8230-0/01 entre os secundários (Receita Federal, 2026); as duas escolhas caem no anexo I. Descartou-se 5611-2/05 (bar com entretenimento): a CONCLA define o entretenimento dessa subclasse como música e apresentações, não jogos de mesa (CONCLA, 2026).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 LICENÇAS, ALVARÁS E OBRIGAÇÕES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abertura e a operação dependem de nove obrigações (Quadro 8.1). O custo total entra no investimento pré-operacional do cap. 9 (premissa I06, R$ 20 mil no provável), ainda sem cotação.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8.1 – Obrigações legais para abrir e operar a luderia em Salvador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1930"/>
        <w:gridCol w:w="1930"/>
        <w:gridCol w:w="1930"/>
      </w:tblGrid>
      <w:tr>
        <w:trPr>
          <w:cantSplit/>
          <w:tblHeader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Obrigação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Órgão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Norma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Efeito no plano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da empresa e CNPJ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JUCEB e Receita Federal, pela Redesim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n. 11.598/2007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Primeiro passo; custo a cotar com o contador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Viabilidade de localização e alvará de funcionamento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Prefeitura de Salvador (Sedur)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LOUOS de Salvador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Condiciona o ponto (cap. 7): zona que admita serviço de alimentação e lazer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Licença do Corpo de Bombeiros e lotação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CBMBA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estadual n. 12.929/2013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Lotação do salão define o teto de mesas (R01)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Licença sanitária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Vigilância sanitária municipal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RDC Anvisa n. 216/2004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Cozinha com fluxo, materiais e manual de boas práticas (cap. 7)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Venda de bebida alcoólica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n. 8.069/1990, art. 243 (Lei n. 13.106/2015)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Proibida a menores de 18 anos; conferência de idade no caixa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Música ambiente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ECAD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n. 9.610/1998, art. 68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Retribuição mensal, só se houver música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Acessibilidade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Prefeitura, no alvará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n. 13.146/2015; ABNT NBR 9050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Rota acessível, sanitário adaptado e mesa acessível no projeto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de clientes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ANPD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n. 13.709/2018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Reserva e cadastro com finalidade declarada e base legal de execução de contrato (art. 7º, V)</w:t>
            </w:r>
          </w:p>
        </w:tc>
      </w:tr>
      <w:tr>
        <w:trPr>
          <w:cantSplit/>
          <w:tblHeader w:val="false"/>
        </w:trPr>
        <w:tc>
          <w:tcPr>
            <w:tcW w:type="dxa" w:w="32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 fiscal ao consumidor (NFC-e)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Sefaz-BA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RICMS-BA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[AV]</w:t>
            </w:r>
          </w:p>
        </w:tc>
        <w:tc>
          <w:tcPr>
            <w:tcW w:type="dxa" w:w="1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Emissão em toda venda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emissão da NFC-e em toda venda muda a prática observada no setor. Nas visitas do B3, as duas unidades da São Jogue só emitiam a nota quando o cliente pedia; no restante, entregavam o comprovante da maquininha. O plano assume a emissão integral: a carga tributária do cap. 9 já incide sobre toda a receita.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 CONTRATOS E PROPRIEDADE INTELECTUAL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contrato de locação deve ter prazo escrito de 5 anos. Esse prazo dá direito à ação renovatória (Lei n. 8.245/1991, art. 51) e coincide com o horizonte do cap. 9 e com a amortização da reforma. A garantia por caução fica limitada a três aluguéis (art. 38, § 2º), o valor da premissa I07. Em shopping, prevalecem as condições do contrato com o empreendedor (art. 54), o que explica a faixa pessimista de condomínio (C05). O reajuste anual por índice de preços é neutro no modelo, que usa preços constantes.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uso dos jogos comprados no salão não depende de licença. A Lei n. 9.610/1998 protege a reprodução da obra (art. 29); o exemplar adquirido pode ser emprestado à mesa e alugado como bem móvel. Copiar ou imprimir componentes e usar a marca de um jogo para divulgar torneio pago exige autorização do titular </w:t>
      </w:r>
      <w:r>
        <w:rPr>
          <w:rFonts w:ascii="Arial" w:cs="Arial" w:eastAsia="Arial" w:hAnsi="Arial"/>
          <w:sz w:val="24"/>
          <w:szCs w:val="24"/>
        </w:rPr>
        <w:t xml:space="preserve">[AV — conferir termos das editoras do acervo]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nome da luderia deve ser registrado no INPI antes da fachada e das redes sociais. A propriedade da marca vem do registro (Lei n. 9.279/1996, art. 129), nas classes de serviços de alimentação e de entretenimento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 busca de anterioridade precede a escolha do nome no cap. 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2026-10-31T04:59:29.856Z</dcterms:created>
  <dcterms:modified xsi:type="dcterms:W3CDTF">2026-10-31T04:59:29.857Z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