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 ASPECTOS JURÍDICOS E LEGAIS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 FORMA JURÍDICA E ENQUADRAMENTO TRIBUTÁRIO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luderia deve ser uma sociedade limitada, unipessoal se tiver um só sócio. A forma limita a responsabilidade do sócio ao capital (Lei n. 10.406/2002, art. 1.052) e, desde a Lei n. 13.874/2019, admite um único sócio. O empresário individual não separa o patrimônio pessoal, e o MEI não comporta a receita projetada nem o quadro de 12 empregados (LC n. 123/2006, art. 18-A)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As duas unidades da São Jogue são sociedades empresárias limitadas, com capital social de R$ 50 mil (Bela Vista, 2019) e R$ 150 mil (Paralela, 2025), ambas no Simples Nacional (Receita Federal, consulta ao CNPJ em 31/10/2026).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empresa entra no Simples Nacional como empresa de pequeno porte. A receita provável do ano 2, de R$ 877 mil, passa do teto da microempresa (R$ 360 mil) e fica abaixo do limite de R$ 4,8 milhões (LC n. 123/2006, art. 3º). Cada receita segue o anexo da atividade: o A&amp;B é revenda de mercadoria, no anexo I; a taxa de entrada é serviço de recreação, no anexo III, pela regra geral do art. 18, § 5º-F; o aluguel de jogos é locação de bem móvel, no anexo III sem a parcela do ISS (art. 18, § 4º, V). O modelo do cap. 9 tributa o aluguel pelo anexo III cheio, o que superestima o imposto em cerca de R$ 420,00 por ano (a parcela do ISS é 32,5% da alíquota do anexo III na 4ª faixa).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Simples custa menos da metade do Lucro Presumido (Tabela 8.1). A diferença vem sobretudo da contribuição patronal sobre a folha: no Simples, ela está dentro do DAS dos anexos I e III; no Lucro Presumido, soma 8,7% da receita.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8.1 – Tributos no ano maduro, cenário provável: Simples Nacional × Lucro Presumido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74"/>
        <w:gridCol w:w="2048"/>
        <w:gridCol w:w="2049"/>
      </w:tblGrid>
      <w:tr>
        <w:trPr>
          <w:cantSplit/>
          <w:tblHeader/>
        </w:trPr>
        <w:tc>
          <w:tcPr>
            <w:tcW w:type="dxa" w:w="497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Tributo</w:t>
            </w:r>
          </w:p>
        </w:tc>
        <w:tc>
          <w:tcPr>
            <w:tcW w:type="dxa" w:w="20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Simples Nacional</w:t>
            </w:r>
          </w:p>
        </w:tc>
        <w:tc>
          <w:tcPr>
            <w:tcW w:type="dxa" w:w="204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Lucro Presumido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IRPJ e CSLL (presunção de 8% e 12% no A&amp;B, 32% nos serviços)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DAS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44.666,64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PIS e Cofins cumulativos (3,65%)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DAS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32.018,15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ICMS sobre o A&amp;B (4%)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[AV]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DAS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16.817,09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 sobre a taxa de entrada (5%)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[AV]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DAS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22.299,13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Contribuição patronal sobre a folha (27,8%)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[AV]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DAS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76.294,80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88.729,00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192.095,81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 da receita bruta de R$ 877.210,00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10,1%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21,9%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própria, com LC n. 123/2006 (anexos I e III), Lei n. 9.249/1995 (arts. 15 e 20), Lei n. 9.718/1998 e Lei n. 8.212/1991 (art. 22); receita e folha do modelo do cap. 9.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carga do Simples entra no cap. 9 como 8,1% sobre o A&amp;B e 11,9% sobre os serviços no ano maduro, calculada pela tabela do anexo sobre a receita do ano. A reforma do consumo (EC n. 132/2023 e LC n. 214/2025) mantém o Simples e abre a opção de recolher IBS e CBS por fora a partir de 2027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; a opção só vale se a luderia vender para empresas que usem o crédito, o que não é o caso.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CNAE principal é 5611-2/01 (restaurantes e similares), pela cozinha própria com refeições, com 9329-8/99 (recreação e lazer), 4763-6/01 (venda de jogos), 7729-2/02 (locação de jogos) e 8230-0/01 (eventos) como secundários. A São Jogue usa 5611-2/03 (lanchonete) como principal e lista 5611-2/01, 9329-8/99, 4763-6/01 e 8230-0/01 entre os secundários (Receita Federal, 2026); as duas escolhas caem no anexo I. Descartou-se 5611-2/05 (bar com entretenimento): a CONCLA define o entretenimento dessa subclasse como música e apresentações, não jogos de mesa (CONCLA, 2026).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8.2 LICENÇAS, ALVARÁS E OBRIGAÇÕES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abertura e a operação dependem de nove obrigações (Quadro 8.1). O custo total entra no investimento pré-operacional do cap. 9 (premissa I06, R$ 20 mil no provável), ainda sem cotação.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8.1 – Obrigações legais para abrir e operar a luderia em Salvador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1"/>
        <w:gridCol w:w="1930"/>
        <w:gridCol w:w="1930"/>
        <w:gridCol w:w="1930"/>
      </w:tblGrid>
      <w:tr>
        <w:trPr>
          <w:cantSplit/>
          <w:tblHeader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Obrigação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Órgão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Efeito no plano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da empresa e CNPJ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JUCEB e Receita Federal, pela Redesim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 n. 11.598/2007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Primeiro passo; custo a cotar com o contador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Viabilidade de localização e alvará de funcionamento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Prefeitura de Salvador (Sedur)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LOUOS de Salvador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[AV]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Condiciona o ponto (cap. 7): zona que admita serviço de alimentação e lazer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Licença do Corpo de Bombeiros e lotação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CBMBA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 estadual n. 12.929/2013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[AV]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Lotação do salão define o teto de mesas (R01)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Licença sanitária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Vigilância sanitária municipal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RDC Anvisa n. 216/2004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Cozinha com fluxo, materiais e manual de boas práticas (cap. 7)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Venda de bebida alcoólica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 n. 8.069/1990, art. 243 (Lei n. 13.106/2015)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Proibida a menores de 18 anos; conferência de idade no caixa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Música ambiente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ECAD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 n. 9.610/1998, art. 68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Retribuição mensal, só se houver música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Prefeitura, no alvará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 n. 13.146/2015; ABNT NBR 9050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 acessível, sanitário adaptado e mesa acessível no projeto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de clientes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ANPD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 n. 13.709/2018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Reserva e cadastro com finalidade declarada e base legal de execução de contrato (art. 7º, V)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 fiscal ao consumidor (NFC-e)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Sefaz-BA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RICMS-BA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[AV]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Emissão em toda venda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emissão da NFC-e em toda venda muda a prática observada no setor. Nas visitas do B3, as duas unidades da São Jogue só emitiam a nota quando o cliente pedia; no restante, entregavam o comprovante da maquininha. O plano assume a emissão integral: a carga tributária do cap. 9 já incide sobre toda a receita.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8.3 CONTRATOS E PROPRIEDADE INTELECTUAL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contrato de locação deve ter prazo escrito de 5 anos. Esse prazo dá direito à ação renovatória (Lei n. 8.245/1991, art. 51) e coincide com o horizonte do cap. 9 e com a amortização da reforma. A garantia por caução fica limitada a três aluguéis (art. 38, § 2º), o valor da premissa I07. Em shopping, prevalecem as condições do contrato com o empreendedor (art. 54), o que explica a faixa pessimista de condomínio (C05). O reajuste anual por índice de preços é neutro no modelo, que usa preços constantes.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uso dos jogos comprados no salão não depende de licença. A Lei n. 9.610/1998 protege a reprodução da obra (art. 29); o exemplar adquirido pode ser emprestado à mesa e alugado como bem móvel. Copiar ou imprimir componentes e usar a marca de um jogo para divulgar torneio pago exige autorização do titular </w:t>
      </w:r>
      <w:r>
        <w:rPr>
          <w:rFonts w:ascii="Arial" w:cs="Arial" w:eastAsia="Arial" w:hAnsi="Arial"/>
          <w:sz w:val="24"/>
          <w:szCs w:val="24"/>
        </w:rPr>
        <w:t xml:space="preserve">[AV — conferir termos das editoras do acervo]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nome da luderia deve ser registrado no INPI antes da fachada e das redes sociais. A propriedade da marca vem do registro (Lei n. 9.279/1996, art. 129), nas classes de serviços de alimentação e de entretenimento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A busca de anterioridade precede a escolha do nome no cap. 6.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2026-10-31T05:01:38.571Z</dcterms:created>
  <dcterms:modified xsi:type="dcterms:W3CDTF">2026-10-31T05:01:38.571Z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