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8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 PLANO FINANCEIRO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9.1 ÁRVORE DE DIRECIONADORES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receita da luderia depende de quatro grandezas físicas e de dois preços. O número de pessoas atendidas sai das mesas, do tamanho do grupo, do giro e da taxa de ocupação; a receita sai dessas pessoas multiplicadas pela taxa de entrada e pelo gasto com alimentos e bebidas (A&amp;B). O giro segue o vocabulário do trabalho: horas abertas divididas pela permanência média. A ocupação separa-se em dia útil (segunda a quinta) e fim de semana (sexta a domingo), porque a taxa de entrada também muda nesses dias.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Os custos dividem-se em variáveis, proporcionais à receita, e fixos, que não mudam com o fluxo. O Quadro 9.1 resume a decomposição; cada folha corresponde a uma linha do registro de premissas (seção 9.2).</w:t>
      </w:r>
    </w:p>
    <w:p>
      <w:pPr>
        <w:keepNext/>
        <w:spacing w:after="0" w:before="240" w:lin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9.1 – Árvore de direcionadores do modelo financeiro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5"/>
        <w:gridCol w:w="5241"/>
        <w:gridCol w:w="1815"/>
      </w:tblGrid>
      <w:tr>
        <w:trPr>
          <w:cantSplit/>
          <w:tblHeader/>
        </w:trPr>
        <w:tc>
          <w:tcPr>
            <w:tcW w:type="dxa" w:w="20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Direcionador</w:t>
            </w:r>
          </w:p>
        </w:tc>
        <w:tc>
          <w:tcPr>
            <w:tcW w:type="dxa" w:w="52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Cálculo</w:t>
            </w:r>
          </w:p>
        </w:tc>
        <w:tc>
          <w:tcPr>
            <w:tcW w:type="dxa" w:w="18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Premissas</w:t>
            </w:r>
          </w:p>
        </w:tc>
      </w:tr>
      <w:tr>
        <w:trPr>
          <w:cantSplit/>
          <w:tblHeader w:val="false"/>
        </w:trPr>
        <w:tc>
          <w:tcPr>
            <w:tcW w:type="dxa" w:w="20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Pessoas por mês</w:t>
            </w:r>
          </w:p>
        </w:tc>
        <w:tc>
          <w:tcPr>
            <w:tcW w:type="dxa" w:w="52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mesas × pessoas por grupo × giro semanal × taxa de ocupação × fator de rampa × semanas por mês, em separado para dia útil e fim de semana</w:t>
            </w:r>
          </w:p>
        </w:tc>
        <w:tc>
          <w:tcPr>
            <w:tcW w:type="dxa" w:w="18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R01 a R05, R11 a R14, M02</w:t>
            </w:r>
          </w:p>
        </w:tc>
      </w:tr>
      <w:tr>
        <w:trPr>
          <w:cantSplit/>
          <w:tblHeader w:val="false"/>
        </w:trPr>
        <w:tc>
          <w:tcPr>
            <w:tcW w:type="dxa" w:w="20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Receita de taxa de entrada</w:t>
            </w:r>
          </w:p>
        </w:tc>
        <w:tc>
          <w:tcPr>
            <w:tcW w:type="dxa" w:w="52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pessoas × taxa do dia (útil ou fim de semana)</w:t>
            </w:r>
          </w:p>
        </w:tc>
        <w:tc>
          <w:tcPr>
            <w:tcW w:type="dxa" w:w="18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R06, R07</w:t>
            </w:r>
          </w:p>
        </w:tc>
      </w:tr>
      <w:tr>
        <w:trPr>
          <w:cantSplit/>
          <w:tblHeader w:val="false"/>
        </w:trPr>
        <w:tc>
          <w:tcPr>
            <w:tcW w:type="dxa" w:w="20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Receita de A&amp;B</w:t>
            </w:r>
          </w:p>
        </w:tc>
        <w:tc>
          <w:tcPr>
            <w:tcW w:type="dxa" w:w="52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pessoas × gasto por pessoa</w:t>
            </w:r>
          </w:p>
        </w:tc>
        <w:tc>
          <w:tcPr>
            <w:tcW w:type="dxa" w:w="18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R08</w:t>
            </w:r>
          </w:p>
        </w:tc>
      </w:tr>
      <w:tr>
        <w:trPr>
          <w:cantSplit/>
          <w:tblHeader w:val="false"/>
        </w:trPr>
        <w:tc>
          <w:tcPr>
            <w:tcW w:type="dxa" w:w="20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Receita de aluguel de jogos</w:t>
            </w:r>
          </w:p>
        </w:tc>
        <w:tc>
          <w:tcPr>
            <w:tcW w:type="dxa" w:w="52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aluguéis por mês × preço médio × fator de rampa</w:t>
            </w:r>
          </w:p>
        </w:tc>
        <w:tc>
          <w:tcPr>
            <w:tcW w:type="dxa" w:w="18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R09, R10</w:t>
            </w:r>
          </w:p>
        </w:tc>
      </w:tr>
      <w:tr>
        <w:trPr>
          <w:cantSplit/>
          <w:tblHeader w:val="false"/>
        </w:trPr>
        <w:tc>
          <w:tcPr>
            <w:tcW w:type="dxa" w:w="20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Custos variáveis</w:t>
            </w:r>
          </w:p>
        </w:tc>
        <w:tc>
          <w:tcPr>
            <w:tcW w:type="dxa" w:w="52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Simples Nacional sobre a receita; CMV sobre o A&amp;B; taxa de cartão sobre a receita</w:t>
            </w:r>
          </w:p>
        </w:tc>
        <w:tc>
          <w:tcPr>
            <w:tcW w:type="dxa" w:w="18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C01, C02, aba simples</w:t>
            </w:r>
          </w:p>
        </w:tc>
      </w:tr>
      <w:tr>
        <w:trPr>
          <w:cantSplit/>
          <w:tblHeader w:val="false"/>
        </w:trPr>
        <w:tc>
          <w:tcPr>
            <w:tcW w:type="dxa" w:w="20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Custos fixos</w:t>
            </w:r>
          </w:p>
        </w:tc>
        <w:tc>
          <w:tcPr>
            <w:tcW w:type="dxa" w:w="52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aluguel e condomínio por m²; pessoal com encargos; pró-labore; utilidades; marketing; contabilidade; sistemas; reposição do acervo</w:t>
            </w:r>
          </w:p>
        </w:tc>
        <w:tc>
          <w:tcPr>
            <w:tcW w:type="dxa" w:w="18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C03 a C13</w:t>
            </w:r>
          </w:p>
        </w:tc>
      </w:tr>
      <w:tr>
        <w:trPr>
          <w:cantSplit/>
          <w:tblHeader w:val="false"/>
        </w:trPr>
        <w:tc>
          <w:tcPr>
            <w:tcW w:type="dxa" w:w="20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Investimento</w:t>
            </w:r>
          </w:p>
        </w:tc>
        <w:tc>
          <w:tcPr>
            <w:tcW w:type="dxa" w:w="52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reforma por m²; mobiliário; cozinha e bar; caixa; acervo; pré-operacional; caução; capital de giro</w:t>
            </w:r>
          </w:p>
        </w:tc>
        <w:tc>
          <w:tcPr>
            <w:tcW w:type="dxa" w:w="181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I01 a I08</w:t>
            </w:r>
          </w:p>
        </w:tc>
      </w:tr>
    </w:tbl>
    <w:p>
      <w:pPr>
        <w:keepNext w:val="false"/>
        <w:spacing w:after="240" w:before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elaboração própria, com base em _instrucoes/8_financeiro.md.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modelo usa preços constantes de outubro de 2026 e taxa mínima de atratividade (TMA) real. A projeção é mensal nos 60 meses, para capturar a rampa de maturação do ano 1, e anual na demonstração do resultado e no fluxo de caixa.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9.2 REGISTRO DE PREMISSAS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modelo tem 38 premissas, cada uma com faixa pessimista, provável e otimista, fonte e nível de evidência. O registro completo está no Apêndice </w:t>
      </w:r>
      <w:r>
        <w:rPr>
          <w:rFonts w:ascii="Arial" w:cs="Arial" w:eastAsia="Arial" w:hAnsi="Arial"/>
          <w:sz w:val="24"/>
          <w:szCs w:val="24"/>
        </w:rPr>
        <w:t xml:space="preserve">[letra]</w:t>
      </w:r>
      <w:r>
        <w:rPr>
          <w:rFonts w:ascii="Arial" w:cs="Arial" w:eastAsia="Arial" w:hAnsi="Arial"/>
          <w:sz w:val="24"/>
          <w:szCs w:val="24"/>
        </w:rPr>
        <w:t xml:space="preserve"> e na aba premissas do modelo; o Quadro 9.2 traz as que movem o VPL em mais de R$ 100 mil entre os extremos da faixa (seção 9.7).</w:t>
      </w:r>
    </w:p>
    <w:p>
      <w:pPr>
        <w:keepNext/>
        <w:spacing w:after="0" w:before="240" w:lin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Quadro 9.2 – Premissas de maior impacto no VPL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3"/>
        <w:gridCol w:w="2286"/>
        <w:gridCol w:w="1067"/>
        <w:gridCol w:w="1067"/>
        <w:gridCol w:w="1067"/>
        <w:gridCol w:w="2286"/>
        <w:gridCol w:w="765"/>
      </w:tblGrid>
      <w:tr>
        <w:trPr>
          <w:cantSplit/>
          <w:tblHeader/>
        </w:trPr>
        <w:tc>
          <w:tcPr>
            <w:tcW w:type="dxa" w:w="53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28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Premissa</w:t>
            </w:r>
          </w:p>
        </w:tc>
        <w:tc>
          <w:tcPr>
            <w:tcW w:type="dxa" w:w="1067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Pessimista</w:t>
            </w:r>
          </w:p>
        </w:tc>
        <w:tc>
          <w:tcPr>
            <w:tcW w:type="dxa" w:w="1067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Provável</w:t>
            </w:r>
          </w:p>
        </w:tc>
        <w:tc>
          <w:tcPr>
            <w:tcW w:type="dxa" w:w="1067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Otimista</w:t>
            </w:r>
          </w:p>
        </w:tc>
        <w:tc>
          <w:tcPr>
            <w:tcW w:type="dxa" w:w="228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Fonte</w:t>
            </w:r>
          </w:p>
        </w:tc>
        <w:tc>
          <w:tcPr>
            <w:tcW w:type="dxa" w:w="76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Nível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R03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Permanência média (min)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137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109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83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B3, 4 visitas</w:t>
            </w:r>
          </w:p>
        </w:tc>
        <w:tc>
          <w:tcPr>
            <w:tcW w:type="dxa" w:w="7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N5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R02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Pessoas por grupo de mesa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2,8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3,6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4,4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B3, 4 visitas</w:t>
            </w:r>
          </w:p>
        </w:tc>
        <w:tc>
          <w:tcPr>
            <w:tcW w:type="dxa" w:w="7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N5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R04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 de ocupação, fim de semana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35%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45%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B3, noites de sexta e sábado</w:t>
            </w:r>
          </w:p>
        </w:tc>
        <w:tc>
          <w:tcPr>
            <w:tcW w:type="dxa" w:w="7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N5 + N6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R05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 de ocupação, dia útil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18%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Estimativa do autor</w:t>
            </w:r>
          </w:p>
        </w:tc>
        <w:tc>
          <w:tcPr>
            <w:tcW w:type="dxa" w:w="7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N6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R01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Mesas do salão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B3, unidades da São Jogue</w:t>
            </w:r>
          </w:p>
        </w:tc>
        <w:tc>
          <w:tcPr>
            <w:tcW w:type="dxa" w:w="7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N5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R08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Gasto com A&amp;B por pessoa (R$)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18,00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24,00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32,00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B3, NFC-e; cardápio (B1)</w:t>
            </w:r>
          </w:p>
        </w:tc>
        <w:tc>
          <w:tcPr>
            <w:tcW w:type="dxa" w:w="7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N3 + N5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C06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Quadro de pessoal (pessoas)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CAGED (salários); autor (quadro)</w:t>
            </w:r>
          </w:p>
        </w:tc>
        <w:tc>
          <w:tcPr>
            <w:tcW w:type="dxa" w:w="7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N2 + N6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C03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Área do ponto (m²)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220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180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Estimativa do autor</w:t>
            </w:r>
          </w:p>
        </w:tc>
        <w:tc>
          <w:tcPr>
            <w:tcW w:type="dxa" w:w="7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N6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C04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Aluguel comercial (R$/m² ao mês)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64,36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54,15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45,00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FipeZap, Salvador, jul/2026</w:t>
            </w:r>
          </w:p>
        </w:tc>
        <w:tc>
          <w:tcPr>
            <w:tcW w:type="dxa" w:w="7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N2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I01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Reforma (R$/m²)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1.400,00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1.000,00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600,00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Estimativa do autor</w:t>
            </w:r>
          </w:p>
        </w:tc>
        <w:tc>
          <w:tcPr>
            <w:tcW w:type="dxa" w:w="7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N6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R06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 de entrada, fim de semana (R$)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25,00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28,00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30,00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São Jogue</w:t>
            </w:r>
          </w:p>
        </w:tc>
        <w:tc>
          <w:tcPr>
            <w:tcW w:type="dxa" w:w="7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N3 + N5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C07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Encargos sobre a folha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45%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37%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CLT; estimativa do autor</w:t>
            </w:r>
          </w:p>
        </w:tc>
        <w:tc>
          <w:tcPr>
            <w:tcW w:type="dxa" w:w="7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N1 + N6</w:t>
            </w:r>
          </w:p>
        </w:tc>
      </w:tr>
      <w:tr>
        <w:trPr>
          <w:cantSplit/>
          <w:tblHeader w:val="false"/>
        </w:trPr>
        <w:tc>
          <w:tcPr>
            <w:tcW w:type="dxa" w:w="53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C01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CMV de A&amp;B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35%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  <w:tc>
          <w:tcPr>
            <w:tcW w:type="dxa" w:w="1067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26%</w:t>
            </w:r>
          </w:p>
        </w:tc>
        <w:tc>
          <w:tcPr>
            <w:tcW w:type="dxa" w:w="228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IBGE, PAS 2023</w:t>
            </w:r>
          </w:p>
        </w:tc>
        <w:tc>
          <w:tcPr>
            <w:tcW w:type="dxa" w:w="76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N2</w:t>
            </w:r>
          </w:p>
        </w:tc>
      </w:tr>
    </w:tbl>
    <w:p>
      <w:pPr>
        <w:keepNext w:val="false"/>
        <w:spacing w:after="240" w:before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elaboração própria, com dados dos Blocos B1, B3 e B4 (out/2026).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As premissas de demanda vêm da contagem direta na São Jogue (B3). Nas quatro visitas — duas em cada unidade, sempre na noite de sexta ou sábado —, os grupos de mesa tiveram de 2,4 a 4,6 pessoas (média de 3,6) e permanência média de 83 a 137 minutos (média de 109). A taxa de ocupação, medida minuto a minuto pelos registros de entrada e saída de cada grupo, sem contar a mesa do observador, ficou entre 29,9% e 66,9% das mesas, com média de 46,1%. As visitas mediram o pico da semana, por orientação: o objetivo foi conhecer a ocupação máxima e o comportamento de clientes e equipe. Por isso, a ocupação de fim de semana do dia inteiro entra abaixo da noite (35% no provável), e a de dia útil é estimativa do autor (N6), fixada em cerca de metade da de fim de semana.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Os preços seguem os da São Jogue. A taxa de entrada é de R$ 28,00 por pessoa de sexta a domingo e de R$ 22,00 de segunda a quinta, por um turno de 3 horas no salão. O gasto com A&amp;B parte das quatro NFC-e das mesas dos observadores: R$ 23,91 por pessoa, sem taxa, jogos comprados e serviço. O cardápio confirma a ordem de grandeza: hambúrguer a R$ 45,00, batata a R$ 35,00 e drinque a R$ 28,00 (B1).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Os custos vêm de bases públicas sempre que possível. O aluguel comercial de Salvador é de R$ 54,15 por m² ao mês (FipeZap, jul/2026), com alta de 18,9% em 12 meses, usada no pessimista. Os salários são as medianas de admissão em Salvador no Novo CAGED (ago/2025 a jul/2026), quase todas no piso de R$ 1.625,09, com gerente a R$ 2.500,00. O CMV de 30% acompanha a PAS 2023: mercadorias e materiais custaram 29,6% da receita líquida dos serviços de alimentação. Área, reforma, mobiliário, cozinha e despesas gerais não têm cotação e ficam em N6.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TMA real provável é de 15% ao ano. A Selic meta de 14,0% (BCB, set/2026), descontado o IPCA esperado de 4,3% para 2027 (Focus), dá juro real de 9,3%; somou-se um prêmio de 3 a 9 pontos percentuais pelo risco de pequeno negócio novo.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9.3 INVESTIMENTO INICIAL E FINANCIAMENTO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investimento inicial provável é de R$ 503 mil. A reforma responde por 36% do total, e o capital de giro, por 20% (Tabela 9.1). O acervo de 322 títulos — mediana dos concorrentes do B1, ao preço provável das lojas — custa R$ 61 mil; a São Jogue lista 370 títulos.</w:t>
      </w:r>
    </w:p>
    <w:p>
      <w:pPr>
        <w:keepNext/>
        <w:spacing w:after="0" w:before="240" w:lin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9.1 – Investimento inicial por cenário (R$)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8"/>
        <w:gridCol w:w="1984"/>
        <w:gridCol w:w="1984"/>
        <w:gridCol w:w="1985"/>
      </w:tblGrid>
      <w:tr>
        <w:trPr>
          <w:cantSplit/>
          <w:tblHeader/>
        </w:trPr>
        <w:tc>
          <w:tcPr>
            <w:tcW w:type="dxa" w:w="311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198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Pessimista</w:t>
            </w:r>
          </w:p>
        </w:tc>
        <w:tc>
          <w:tcPr>
            <w:tcW w:type="dxa" w:w="198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Provável</w:t>
            </w:r>
          </w:p>
        </w:tc>
        <w:tc>
          <w:tcPr>
            <w:tcW w:type="dxa" w:w="198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Otimista</w:t>
            </w:r>
          </w:p>
        </w:tc>
      </w:tr>
      <w:tr>
        <w:trPr>
          <w:cantSplit/>
          <w:tblHeader w:val="false"/>
        </w:trP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Reforma e instalações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308.000,00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180.000,00</w:t>
            </w:r>
          </w:p>
        </w:tc>
        <w:tc>
          <w:tcPr>
            <w:tcW w:type="dxa" w:w="1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90.000,00</w:t>
            </w:r>
          </w:p>
        </w:tc>
      </w:tr>
      <w:tr>
        <w:trPr>
          <w:cantSplit/>
          <w:tblHeader w:val="false"/>
        </w:trP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Mobiliário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60.000,00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45.000,00</w:t>
            </w:r>
          </w:p>
        </w:tc>
        <w:tc>
          <w:tcPr>
            <w:tcW w:type="dxa" w:w="1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30.000,00</w:t>
            </w:r>
          </w:p>
        </w:tc>
      </w:tr>
      <w:tr>
        <w:trPr>
          <w:cantSplit/>
          <w:tblHeader w:val="false"/>
        </w:trP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Cozinha e bar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80.000,00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60.000,00</w:t>
            </w:r>
          </w:p>
        </w:tc>
        <w:tc>
          <w:tcPr>
            <w:tcW w:type="dxa" w:w="1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40.000,00</w:t>
            </w:r>
          </w:p>
        </w:tc>
      </w:tr>
      <w:tr>
        <w:trPr>
          <w:cantSplit/>
          <w:tblHeader w:val="false"/>
        </w:trP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Caixa e informática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8.000,00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6.000,00</w:t>
            </w:r>
          </w:p>
        </w:tc>
        <w:tc>
          <w:tcPr>
            <w:tcW w:type="dxa" w:w="1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4.000,00</w:t>
            </w:r>
          </w:p>
        </w:tc>
      </w:tr>
      <w:tr>
        <w:trPr>
          <w:cantSplit/>
          <w:tblHeader w:val="false"/>
        </w:trP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Acervo inicial de jogos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114.750,94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60.884,32</w:t>
            </w:r>
          </w:p>
        </w:tc>
        <w:tc>
          <w:tcPr>
            <w:tcW w:type="dxa" w:w="1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42.928,78</w:t>
            </w:r>
          </w:p>
        </w:tc>
      </w:tr>
      <w:tr>
        <w:trPr>
          <w:cantSplit/>
          <w:tblHeader w:val="false"/>
        </w:trP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Gastos pré-operacionais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30.000,00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20.000,00</w:t>
            </w:r>
          </w:p>
        </w:tc>
        <w:tc>
          <w:tcPr>
            <w:tcW w:type="dxa" w:w="1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12.000,00</w:t>
            </w:r>
          </w:p>
        </w:tc>
      </w:tr>
      <w:tr>
        <w:trPr>
          <w:cantSplit/>
          <w:tblHeader w:val="false"/>
        </w:trP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Caução do aluguel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42.471,00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29.241,00</w:t>
            </w:r>
          </w:p>
        </w:tc>
        <w:tc>
          <w:tcPr>
            <w:tcW w:type="dxa" w:w="1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13.500,00</w:t>
            </w:r>
          </w:p>
        </w:tc>
      </w:tr>
      <w:tr>
        <w:trPr>
          <w:cantSplit/>
          <w:tblHeader w:val="false"/>
        </w:trP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Capital de giro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206.274,85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102.105,31</w:t>
            </w:r>
          </w:p>
        </w:tc>
        <w:tc>
          <w:tcPr>
            <w:tcW w:type="dxa" w:w="1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56.403,39</w:t>
            </w:r>
          </w:p>
        </w:tc>
      </w:tr>
      <w:tr>
        <w:trPr>
          <w:cantSplit/>
          <w:tblHeader w:val="false"/>
        </w:trPr>
        <w:tc>
          <w:tcPr>
            <w:tcW w:type="dxa" w:w="311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849.496,78</w:t>
            </w:r>
          </w:p>
        </w:tc>
        <w:tc>
          <w:tcPr>
            <w:tcW w:type="dxa" w:w="1984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503.230,63</w:t>
            </w:r>
          </w:p>
        </w:tc>
        <w:tc>
          <w:tcPr>
            <w:tcW w:type="dxa" w:w="198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288.832,17</w:t>
            </w:r>
          </w:p>
        </w:tc>
      </w:tr>
    </w:tbl>
    <w:p>
      <w:pPr>
        <w:keepNext w:val="false"/>
        <w:spacing w:after="240" w:before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elaboração própria (aba investimento do modelo).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capital de giro cobre dois meses de custos fixos no provável, o bastante para a rampa de maturação. No ano 1, o EBITDA provável é negativo em R$ 114 mil (seção 9.5): a reserva de R$ 102 mil não cobre o déficit inteiro, e o plano precisa de aporte adicional ou de rampa mais curta. O modelo supõe capital próprio, sem financiamento; o custo de um empréstimo entraria pela TMA, já acima do juro real de mercado.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9.4 RECEITAS, CUSTOS E DESPESAS PROJETADOS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Na maturidade, o cenário provável atende 1.460 pessoas por mês, cerca de 48 por dia. A receita bruta mensal chega a R$ 73,1 mil: 51% de taxa de entrada, 48% de A&amp;B e 1% de aluguel de jogos (Tabela 9.2). A rampa começa em 40% da ocupação madura e chega a 100% no mês 9.</w:t>
      </w:r>
    </w:p>
    <w:p>
      <w:pPr>
        <w:keepNext/>
        <w:spacing w:after="0" w:before="240" w:lin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9.2 – Receita e custos mensais no cenário provável, mês maduro (R$)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74"/>
        <w:gridCol w:w="2048"/>
        <w:gridCol w:w="2049"/>
      </w:tblGrid>
      <w:tr>
        <w:trPr>
          <w:cantSplit/>
          <w:tblHeader/>
        </w:trPr>
        <w:tc>
          <w:tcPr>
            <w:tcW w:type="dxa" w:w="497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</w:t>
            </w:r>
          </w:p>
        </w:tc>
        <w:tc>
          <w:tcPr>
            <w:tcW w:type="dxa" w:w="204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 mensal</w:t>
            </w:r>
          </w:p>
        </w:tc>
        <w:tc>
          <w:tcPr>
            <w:tcW w:type="dxa" w:w="2049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% da receita bruta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 de entrada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37.165,22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50,8%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Alimentos e bebidas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35.035,60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47,9%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Aluguel de jogos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900,00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1,2%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Receita bruta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73.100,81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100,0%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Simples Nacional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7.394,05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10,1%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CMV de A&amp;B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10.510,68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14,4%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 de cartão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2.193,02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3,0%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Pessoal com encargos (12 pessoas)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28.198,89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38,6%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Aluguel, condomínio e IPTU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11.696,40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16,0%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Pró-labore e despesas gerais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11.157,37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15,3%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Resultado operacional (EBITDA)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1.950,40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2,7%</w:t>
            </w:r>
          </w:p>
        </w:tc>
      </w:tr>
    </w:tbl>
    <w:p>
      <w:pPr>
        <w:keepNext w:val="false"/>
        <w:spacing w:after="240" w:before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elaboração própria (abas receitas e custos do modelo).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pessoal é o maior custo. O quadro de referência tem 12 pessoas em dois turnos — gerente, dois cozinheiros, auxiliar de cozinha, três garçons, atendente de bar, caixa, dois instrutores de jogos e auxiliar de limpeza —, com folha de R$ 20,6 mil e encargos de 37%. A São Jogue teve de três a sete instrutores no salão durante as visitas.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Simples Nacional custa 10,1% da receita. O modelo enquadra o A&amp;B no anexo I (restaurante, CNAE 5611-2/01) e a taxa de entrada e o aluguel de jogos no anexo III, com alíquotas efetivas de 8,1% e 11,9% no ano maduro. O enquadramento depende do cap. 8.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9.5 DEMONSTRATIVOS PROJETADOS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cenário provável dá prejuízo contábil em todos os anos. O EBITDA é de R$ 23 mil por ano a partir do ano 2, menor que a depreciação de R$ 64 mil (Tabela 9.3). No Simples, o IRPJ e a CSLL estão no DAS; não há imposto sobre o lucro à parte.</w:t>
      </w:r>
    </w:p>
    <w:p>
      <w:pPr>
        <w:keepNext/>
        <w:spacing w:after="0" w:before="240" w:lin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9.3 – Demonstração do resultado projetada, cenário provável (R$)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74"/>
        <w:gridCol w:w="2048"/>
        <w:gridCol w:w="2049"/>
      </w:tblGrid>
      <w:tr>
        <w:trPr>
          <w:cantSplit/>
          <w:tblHeader/>
        </w:trPr>
        <w:tc>
          <w:tcPr>
            <w:tcW w:type="dxa" w:w="4974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</w:t>
            </w:r>
          </w:p>
        </w:tc>
        <w:tc>
          <w:tcPr>
            <w:tcW w:type="dxa" w:w="204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Ano 1</w:t>
            </w:r>
          </w:p>
        </w:tc>
        <w:tc>
          <w:tcPr>
            <w:tcW w:type="dxa" w:w="2049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Anos 2 a 5 (cada)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Receita bruta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679.838,00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877.210,00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(-) Simples Nacional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-62.916,00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-88.729,00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(-) CMV e taxa de cartão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-118.144,00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-152.444,00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Margem de contribuição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498.777,00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636.037,00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(-) Custos fixos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-612.632,00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-612.632,00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EBITDA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-113.855,00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23.405,00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(-) Depreciação e amortização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-63.877,00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-63.877,00</w:t>
            </w:r>
          </w:p>
        </w:tc>
      </w:tr>
      <w:tr>
        <w:trPr>
          <w:cantSplit/>
          <w:tblHeader w:val="false"/>
        </w:trPr>
        <w:tc>
          <w:tcPr>
            <w:tcW w:type="dxa" w:w="4974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Lucro líquido</w:t>
            </w:r>
          </w:p>
        </w:tc>
        <w:tc>
          <w:tcPr>
            <w:tcW w:type="dxa" w:w="204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-177.732,00</w:t>
            </w:r>
          </w:p>
        </w:tc>
        <w:tc>
          <w:tcPr>
            <w:tcW w:type="dxa" w:w="2049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-40.472,00</w:t>
            </w:r>
          </w:p>
        </w:tc>
      </w:tr>
    </w:tbl>
    <w:p>
      <w:pPr>
        <w:keepNext w:val="false"/>
        <w:spacing w:after="240" w:before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elaboração própria (aba dre do modelo).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fluxo de caixa repete o EBITDA, com o investimento no ano 0 e o retorno da caução e do capital de giro no ano 5. Não se considerou valor residual dos demais ativos. O fluxo anual completo está na aba fluxo_caixa do modelo.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9.6 INDICADORES DE VIABILIDADE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negócio não é viável no cenário provável. O VPL a 15% real é negativo em R$ 479 mil, a TIR real é de -21,0% ao ano e o investimento não se paga em 5 anos (Tabela 9.4). A receita madura fica só 3,8% acima do ponto de equilíbrio operacional, de R$ 70,4 mil por mês: o negócio cobre os custos, mas não remunera o investimento.</w:t>
      </w:r>
    </w:p>
    <w:p>
      <w:pPr>
        <w:keepNext/>
        <w:spacing w:after="0" w:before="240" w:lin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9.4 – Indicadores de viabilidade por cenário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58"/>
        <w:gridCol w:w="1670"/>
        <w:gridCol w:w="1670"/>
        <w:gridCol w:w="1673"/>
      </w:tblGrid>
      <w:tr>
        <w:trPr>
          <w:cantSplit/>
          <w:tblHeader/>
        </w:trPr>
        <w:tc>
          <w:tcPr>
            <w:tcW w:type="dxa" w:w="4058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Indicador</w:t>
            </w:r>
          </w:p>
        </w:tc>
        <w:tc>
          <w:tcPr>
            <w:tcW w:type="dxa" w:w="167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Pessimista</w:t>
            </w:r>
          </w:p>
        </w:tc>
        <w:tc>
          <w:tcPr>
            <w:tcW w:type="dxa" w:w="167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Provável</w:t>
            </w:r>
          </w:p>
        </w:tc>
        <w:tc>
          <w:tcPr>
            <w:tcW w:type="dxa" w:w="167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Otimista</w:t>
            </w:r>
          </w:p>
        </w:tc>
      </w:tr>
      <w:tr>
        <w:trPr>
          <w:cantSplit/>
          <w:tblHeader w:val="false"/>
        </w:trPr>
        <w:tc>
          <w:tcPr>
            <w:tcW w:type="dxa" w:w="40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Investimento inicial (R$)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849.496,78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503.230,63</w:t>
            </w:r>
          </w:p>
        </w:tc>
        <w:tc>
          <w:tcPr>
            <w:tcW w:type="dxa" w:w="1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288.832,17</w:t>
            </w:r>
          </w:p>
        </w:tc>
      </w:tr>
      <w:tr>
        <w:trPr>
          <w:cantSplit/>
          <w:tblHeader w:val="false"/>
        </w:trPr>
        <w:tc>
          <w:tcPr>
            <w:tcW w:type="dxa" w:w="40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Receita bruta mensal madura (R$)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19.407,00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73.101,00</w:t>
            </w:r>
          </w:p>
        </w:tc>
        <w:tc>
          <w:tcPr>
            <w:tcW w:type="dxa" w:w="1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207.261,00</w:t>
            </w:r>
          </w:p>
        </w:tc>
      </w:tr>
      <w:tr>
        <w:trPr>
          <w:cantSplit/>
          <w:tblHeader w:val="false"/>
        </w:trPr>
        <w:tc>
          <w:tcPr>
            <w:tcW w:type="dxa" w:w="40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EBITDA do ano 5 (R$)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-649.981,00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23.405,00</w:t>
            </w:r>
          </w:p>
        </w:tc>
        <w:tc>
          <w:tcPr>
            <w:tcW w:type="dxa" w:w="1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1.302.846,00</w:t>
            </w:r>
          </w:p>
        </w:tc>
      </w:tr>
      <w:tr>
        <w:trPr>
          <w:cantSplit/>
          <w:tblHeader w:val="false"/>
        </w:trPr>
        <w:tc>
          <w:tcPr>
            <w:tcW w:type="dxa" w:w="40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VPL (R$)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-2.824.036,00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-478.829,00</w:t>
            </w:r>
          </w:p>
        </w:tc>
        <w:tc>
          <w:tcPr>
            <w:tcW w:type="dxa" w:w="1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4.263.293,00</w:t>
            </w:r>
          </w:p>
        </w:tc>
      </w:tr>
      <w:tr>
        <w:trPr>
          <w:cantSplit/>
          <w:tblHeader w:val="false"/>
        </w:trPr>
        <w:tc>
          <w:tcPr>
            <w:tcW w:type="dxa" w:w="40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TIR real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 há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-21,0%</w:t>
            </w:r>
          </w:p>
        </w:tc>
        <w:tc>
          <w:tcPr>
            <w:tcW w:type="dxa" w:w="16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394,0%</w:t>
            </w:r>
          </w:p>
        </w:tc>
      </w:tr>
      <w:tr>
        <w:trPr>
          <w:cantSplit/>
          <w:tblHeader w:val="false"/>
        </w:trPr>
        <w:tc>
          <w:tcPr>
            <w:tcW w:type="dxa" w:w="405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Payback descontado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mais de 5 anos</w:t>
            </w:r>
          </w:p>
        </w:tc>
        <w:tc>
          <w:tcPr>
            <w:tcW w:type="dxa" w:w="167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mais de 5 anos</w:t>
            </w:r>
          </w:p>
        </w:tc>
        <w:tc>
          <w:tcPr>
            <w:tcW w:type="dxa" w:w="167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0,3 ano</w:t>
            </w:r>
          </w:p>
        </w:tc>
      </w:tr>
    </w:tbl>
    <w:p>
      <w:pPr>
        <w:keepNext w:val="false"/>
        <w:spacing w:after="240" w:before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elaboração própria (aba sensibilidade do modelo).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Os cenários extremos põem todas as premissas no mesmo lado da faixa ao mesmo tempo, o que é improvável. Servem de limite, não de previsão. A decisão depende de onde as premissas críticas ficam, e isso é tratado na seção 9.7.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TMA de 15% real responde pelo custo de oportunidade do capital próprio. Mesmo à TMA otimista de 12%, o VPL provável segue negativo em R$ 467 mil (aba sensibilidade).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9.7 TRIANGULAÇÃO, SENSIBILIDADE E PONTO DE RUPTURA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9.7.1 Triangulação da receita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receita provável fica entre os pisos de venda das duas unidades da São Jogue. A Bela Vista emitiu 183 NFC-e entre 10/10 e 16/10/2026 (30,5 por dia) e a Paralela, 209 entre 17/10 e 30/10/2026 (16,1 por dia), pela numeração das notas das visitas (B3). A R$ 90,85 por nota — média das quatro notas das mesas dos observadores —, os pisos são de R$ 84,3 mil e R$ 44,5 mil por mês. O modelo projeta R$ 73,1 mil.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Esses pisos subestimam a venda real. As duas unidades emitem a nota só quando o cliente pede; no restante, entregam o comprovante da maquininha. O intervalo da Paralela inclui ainda o fim de semana do segundo turno das eleições, de movimento baixo. A comparação valida a ordem de grandeza, não o valor: uma unidade madura da São Jogue vende mais que o provável do modelo. A estimativa de demanda do cap. 6 completa a triangulação </w:t>
      </w:r>
      <w:r>
        <w:rPr>
          <w:rFonts w:ascii="Arial" w:cs="Arial" w:eastAsia="Arial" w:hAnsi="Arial"/>
          <w:sz w:val="24"/>
          <w:szCs w:val="24"/>
        </w:rPr>
        <w:t xml:space="preserve">[pendente]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9.7.2 Sensibilidade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Quatro premissas de demanda concentram o risco: permanência média, pessoas por grupo e taxa de ocupação de fim de semana e de dia útil. Cada uma move o VPL em mais de R$ 600 mil entre os extremos da faixa (Figura 9.1). As três primeiras têm dado próprio (N5); a ocupação de dia útil é N6, o que viola a regra de robustez e exige destaque no cap. 10.</w:t>
      </w:r>
    </w:p>
    <w:p>
      <w:pPr>
        <w:keepNext/>
        <w:spacing w:after="0" w:before="240" w:lin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9.1 – Tornado: VPL com cada premissa no extremo da faixa e as demais no provável</w:t>
      </w:r>
    </w:p>
    <w:p>
      <w:pPr>
        <w:keepNext/>
        <w:spacing w:after="0"/>
        <w:jc w:val="center"/>
      </w:pPr>
      <w:r>
        <w:drawing>
          <wp:inline distT="0" distB="0" distL="0" distR="0">
            <wp:extent cx="5762625" cy="3838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40" w:before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elaboração própria (aba sensibilidade do modelo). Dez premissas de maior amplitude.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permanência pesa mais que a ocupação porque a taxa de entrada é cobrada por pessoa, não por hora. Com a mesma ocupação, uma permanência menor gira mais grupos pela mesma mesa e multiplica as taxas cobradas. Em contrapartida, a permanência curta tem limite: o turno vendido é de 3 horas, e a média observada já é de 109 minutos.</w:t>
      </w:r>
    </w:p>
    <w:p>
      <w:pPr>
        <w:pStyle w:val="Heading2"/>
        <w:keepNext/>
        <w:spacing w:after="120" w:before="24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9.7.3 Ponto de ruptura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negócio é viável enquanto a taxa de ocupação de fim de semana ficar acima de 49,5%, com as demais premissas no provável (Tabela 9.5). Esse valor está acima do provável (35%), mas abaixo do pico medido na Paralela em 30/10 (66,9%) e acima da média das quatro noites (46,1%). No dia útil, a ruptura é de 29,7%, acima do otimista da faixa.</w:t>
      </w:r>
    </w:p>
    <w:p>
      <w:pPr>
        <w:keepNext/>
        <w:spacing w:after="0" w:before="240" w:line="2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9.5 – Ponto de ruptura das premissas críticas (VPL = 0)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3"/>
        <w:gridCol w:w="3359"/>
        <w:gridCol w:w="1567"/>
        <w:gridCol w:w="1567"/>
        <w:gridCol w:w="1795"/>
      </w:tblGrid>
      <w:tr>
        <w:trPr>
          <w:cantSplit/>
          <w:tblHeader/>
        </w:trPr>
        <w:tc>
          <w:tcPr>
            <w:tcW w:type="dxa" w:w="783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359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Premissa</w:t>
            </w:r>
          </w:p>
        </w:tc>
        <w:tc>
          <w:tcPr>
            <w:tcW w:type="dxa" w:w="1567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Provável</w:t>
            </w:r>
          </w:p>
        </w:tc>
        <w:tc>
          <w:tcPr>
            <w:tcW w:type="dxa" w:w="1567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Ruptura</w:t>
            </w:r>
          </w:p>
        </w:tc>
        <w:tc>
          <w:tcPr>
            <w:tcW w:type="dxa" w:w="1795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Faixa testada</w:t>
            </w:r>
          </w:p>
        </w:tc>
      </w:tr>
      <w:tr>
        <w:trPr>
          <w:cantSplit/>
          <w:tblHeader w:val="false"/>
        </w:trPr>
        <w:tc>
          <w:tcPr>
            <w:tcW w:type="dxa" w:w="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R03</w:t>
            </w:r>
          </w:p>
        </w:tc>
        <w:tc>
          <w:tcPr>
            <w:tcW w:type="dxa" w:w="33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Permanência média (min)</w:t>
            </w:r>
          </w:p>
        </w:tc>
        <w:tc>
          <w:tcPr>
            <w:tcW w:type="dxa" w:w="1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109</w:t>
            </w:r>
          </w:p>
        </w:tc>
        <w:tc>
          <w:tcPr>
            <w:tcW w:type="dxa" w:w="1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87</w:t>
            </w:r>
          </w:p>
        </w:tc>
        <w:tc>
          <w:tcPr>
            <w:tcW w:type="dxa" w:w="17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83 a 137</w:t>
            </w:r>
          </w:p>
        </w:tc>
      </w:tr>
      <w:tr>
        <w:trPr>
          <w:cantSplit/>
          <w:tblHeader w:val="false"/>
        </w:trPr>
        <w:tc>
          <w:tcPr>
            <w:tcW w:type="dxa" w:w="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R02</w:t>
            </w:r>
          </w:p>
        </w:tc>
        <w:tc>
          <w:tcPr>
            <w:tcW w:type="dxa" w:w="33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Pessoas por grupo de mesa</w:t>
            </w:r>
          </w:p>
        </w:tc>
        <w:tc>
          <w:tcPr>
            <w:tcW w:type="dxa" w:w="1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3,6</w:t>
            </w:r>
          </w:p>
        </w:tc>
        <w:tc>
          <w:tcPr>
            <w:tcW w:type="dxa" w:w="1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4,5</w:t>
            </w:r>
          </w:p>
        </w:tc>
        <w:tc>
          <w:tcPr>
            <w:tcW w:type="dxa" w:w="17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2,8 a 4,4</w:t>
            </w:r>
          </w:p>
        </w:tc>
      </w:tr>
      <w:tr>
        <w:trPr>
          <w:cantSplit/>
          <w:tblHeader w:val="false"/>
        </w:trPr>
        <w:tc>
          <w:tcPr>
            <w:tcW w:type="dxa" w:w="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R04</w:t>
            </w:r>
          </w:p>
        </w:tc>
        <w:tc>
          <w:tcPr>
            <w:tcW w:type="dxa" w:w="33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 de ocupação, fim de semana</w:t>
            </w:r>
          </w:p>
        </w:tc>
        <w:tc>
          <w:tcPr>
            <w:tcW w:type="dxa" w:w="1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35,0%</w:t>
            </w:r>
          </w:p>
        </w:tc>
        <w:tc>
          <w:tcPr>
            <w:tcW w:type="dxa" w:w="1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49,5%</w:t>
            </w:r>
          </w:p>
        </w:tc>
        <w:tc>
          <w:tcPr>
            <w:tcW w:type="dxa" w:w="17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25% a 45%</w:t>
            </w:r>
          </w:p>
        </w:tc>
      </w:tr>
      <w:tr>
        <w:trPr>
          <w:cantSplit/>
          <w:tblHeader w:val="false"/>
        </w:trPr>
        <w:tc>
          <w:tcPr>
            <w:tcW w:type="dxa" w:w="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R05</w:t>
            </w:r>
          </w:p>
        </w:tc>
        <w:tc>
          <w:tcPr>
            <w:tcW w:type="dxa" w:w="33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Taxa de ocupação, dia útil</w:t>
            </w:r>
          </w:p>
        </w:tc>
        <w:tc>
          <w:tcPr>
            <w:tcW w:type="dxa" w:w="1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18,0%</w:t>
            </w:r>
          </w:p>
        </w:tc>
        <w:tc>
          <w:tcPr>
            <w:tcW w:type="dxa" w:w="15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29,7%</w:t>
            </w:r>
          </w:p>
        </w:tc>
        <w:tc>
          <w:tcPr>
            <w:tcW w:type="dxa" w:w="17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10% a 25%</w:t>
            </w:r>
          </w:p>
        </w:tc>
      </w:tr>
      <w:tr>
        <w:trPr>
          <w:cantSplit/>
          <w:tblHeader w:val="false"/>
        </w:trPr>
        <w:tc>
          <w:tcPr>
            <w:tcW w:type="dxa" w:w="78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R01</w:t>
            </w:r>
          </w:p>
        </w:tc>
        <w:tc>
          <w:tcPr>
            <w:tcW w:type="dxa" w:w="3359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Mesas do salão</w:t>
            </w:r>
          </w:p>
        </w:tc>
        <w:tc>
          <w:tcPr>
            <w:tcW w:type="dxa" w:w="1567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567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12,5</w:t>
            </w:r>
          </w:p>
        </w:tc>
        <w:tc>
          <w:tcPr>
            <w:tcW w:type="dxa" w:w="1795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a 11</w:t>
            </w:r>
          </w:p>
        </w:tc>
      </w:tr>
    </w:tbl>
    <w:p>
      <w:pPr>
        <w:keepNext w:val="false"/>
        <w:spacing w:after="240" w:before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Fonte: elaboração própria (aba sensibilidade do modelo).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Só a permanência tem ruptura dentro da faixa testada, perto do extremo otimista; as demais ficam fora dela. O VPL fica positivo pela combinação de premissas: ocupação de 45% no fim de semana e de 23% no dia útil (VPL de R$ 55 mil), ou permanência de 95 minutos com ocupação de 42% no fim de semana (VPL de R$ 65 mil). A discussão passa a ser a plausibilidade dessas combinações, feita no cap. 10.</w:t>
      </w:r>
    </w:p>
    <w:p>
      <w:pPr>
        <w:pStyle w:val="Heading1"/>
        <w:keepNext/>
        <w:spacing w:after="240" w:before="36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9.8 CHECAGENS DE COERÊNCIA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capacidade comporta a demanda projetada com folga. As 48 pessoas por dia usam 25% da capacidade do salão — 193 pessoas por dia, com todas as mesas ocupadas em todas as horas abertas e a permanência média. O site de reservas da São Jogue oferece 48 assentos por turno de 3 horas, em três turnos diários.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equipe é larga para o fluxo provável. Cada funcionário atende 4 pessoas por dia. A folha com encargos custa 38,6% da receita, contra 25,1% de gastos com pessoal na média dos serviços de alimentação (IBGE, PAS 2024, citada no cap. 5). O aluguel com condomínio custa 16,0% da receita, contra 4,0% no setor. Os dois custos fixos explicam a margem baixa e indicam onde o cap. 7 pode cortar: quadro menor no dia útil ou ponto menor.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preço está acima dos concorrentes. A taxa de entrada de fim de semana, de R$ 28,00, supera a mediana de R$ 18,75 do couvert ou taxa de jogo nos cardápios de 8 concorrentes do B1. A São Jogue pratica esse preço com 4,8 estrelas em 787 avaliações no Google Maps (B1), o que sustenta o posicionamento, mas o plano depende de reproduzir a mesma experiência.</w:t>
      </w:r>
    </w:p>
    <w:p>
      <w:pPr>
        <w:spacing w:after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rampa de 9 meses fica dentro da faixa de 6 a 12 meses, sem ocupação madura no mês 1. A demanda projetada equivale a 17,5 mil visitas por ano, ou 0,7% da população estimada de Salvador em 2026 (IBGE). O número soma visitas, não pessoas distintas, e fica abaixo da penetração que exigiria um mercado novo.</w:t>
      </w:r>
    </w:p>
    <w:sectPr>
      <w:foot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9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6d407dc23bc13ce35fdf7cd2799a7486990e98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2026-10-31T05:02:42.271Z</dcterms:created>
  <dcterms:modified xsi:type="dcterms:W3CDTF">2026-10-31T05:02:42.271Z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