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lineRule="auto" w:line="360" w:before="0" w:after="480"/>
        <w:jc w:val="center"/>
        <w:rPr/>
      </w:pPr>
      <w:r>
        <w:rPr>
          <w:rFonts w:eastAsia="Arial" w:cs="Arial"/>
          <w:b/>
          <w:bCs/>
          <w:sz w:val="24"/>
          <w:szCs w:val="24"/>
        </w:rPr>
        <w:t>PROJETO DE TCC - PLANO DE NEGÓCIOS DE UMA LUDERIA EM SALVADOR</w:t>
      </w:r>
    </w:p>
    <w:p>
      <w:pPr>
        <w:pStyle w:val="Heading1"/>
        <w:keepNext w:val="true"/>
        <w:spacing w:lineRule="auto" w:line="360" w:before="360" w:after="240"/>
        <w:rPr/>
      </w:pPr>
      <w:r>
        <w:rPr>
          <w:rFonts w:eastAsia="Arial" w:cs="Arial"/>
          <w:b/>
          <w:bCs/>
          <w:sz w:val="24"/>
          <w:szCs w:val="24"/>
        </w:rPr>
        <w:t>1 ESTRUTURA DA PESQUISA</w:t>
      </w:r>
    </w:p>
    <w:p>
      <w:pPr>
        <w:pStyle w:val="Heading2"/>
        <w:keepNext w:val="true"/>
        <w:spacing w:lineRule="auto" w:line="360" w:before="240" w:after="120"/>
        <w:rPr/>
      </w:pPr>
      <w:r>
        <w:rPr>
          <w:rFonts w:eastAsia="Arial" w:cs="Arial"/>
          <w:b/>
          <w:bCs/>
          <w:sz w:val="24"/>
          <w:szCs w:val="24"/>
        </w:rPr>
        <w:t>1.1 Problema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Arial" w:cs="Arial"/>
          <w:sz w:val="24"/>
          <w:szCs w:val="24"/>
        </w:rPr>
        <w:t xml:space="preserve">O consumo de lazer está se deslocando da posse de bens para a vivência de experiências. A pesquisa em comportamento do consumidor mostra que compras de experiências geram mais satisfação que compras de bens materiais (GILOVICH; KUMAR; JAMPOL, 2015). Essa preferência é mais forte nas gerações mais novas: nos Estados Unidos, 78% dos </w:t>
      </w:r>
      <w:r>
        <w:rPr>
          <w:rFonts w:eastAsia="Arial" w:cs="Arial"/>
          <w:i/>
          <w:iCs/>
          <w:sz w:val="24"/>
          <w:szCs w:val="24"/>
        </w:rPr>
        <w:t>millennials</w:t>
      </w:r>
      <w:r>
        <w:rPr>
          <w:rFonts w:eastAsia="Arial" w:cs="Arial"/>
          <w:sz w:val="24"/>
          <w:szCs w:val="24"/>
        </w:rPr>
        <w:t xml:space="preserve"> declararam preferir gastar com uma experiência a comprar um bem desejado (EVENTBRITE, 2014). O varejo físico acompanha esse movimento. Nos shopping centers brasileiros, as operações de lazer passaram de 1,4% para 2,2% do total de lojas entre 2019 e 2023, segundo dados da Abrasce (MERCADO&amp;CONSUMO, 2025).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Arial" w:cs="Arial"/>
          <w:sz w:val="24"/>
          <w:szCs w:val="24"/>
        </w:rPr>
        <w:t xml:space="preserve">A luderia se insere nessa tendência. O formato combina alimentação, bebidas e acesso a um acervo de jogos de tabuleiro e cartas em uma mesma ocasião social. A demanda por jogos também cresce: os jogos de tabuleiro e cartas passaram de 9,1% para 13,1% das vendas da indústria de brinquedos entre 2017 e 2025 (ABRINQ, 2026). No exterior, o formato integra o setor de </w:t>
      </w:r>
      <w:r>
        <w:rPr>
          <w:rFonts w:eastAsia="Arial" w:cs="Arial"/>
          <w:i/>
          <w:iCs/>
          <w:sz w:val="24"/>
          <w:szCs w:val="24"/>
        </w:rPr>
        <w:t>competitive socialising</w:t>
      </w:r>
      <w:r>
        <w:rPr>
          <w:rFonts w:eastAsia="Arial" w:cs="Arial"/>
          <w:sz w:val="24"/>
          <w:szCs w:val="24"/>
        </w:rPr>
        <w:t>: no Reino Unido, 46% dos adultos jogaram jogos de tabuleiro nos últimos seis meses, e 88% esperam de bares uma experiência que não conseguem ter em casa (KAM INSIGHT, 2022).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Arial" w:cs="Arial"/>
          <w:sz w:val="24"/>
          <w:szCs w:val="24"/>
        </w:rPr>
        <w:t>Um investimento nesse formato enfrenta, contudo, um problema de evidência. Não há levantamento setorial sobre luderias no Brasil, e as premissas que concentram o risco do negócio - taxa de ocupação e ticket médio - costumam ser estimadas sem fonte. O único estudo de viabilidade identificado sobre o formato analisa um caso isolado (ASAKURA; SILVA; MELLO, 2018).</w:t>
      </w:r>
    </w:p>
    <w:p>
      <w:pPr>
        <w:pStyle w:val="Heading2"/>
        <w:keepNext w:val="true"/>
        <w:spacing w:lineRule="auto" w:line="360" w:before="240" w:after="120"/>
        <w:rPr/>
      </w:pPr>
      <w:r>
        <w:rPr>
          <w:rFonts w:eastAsia="Arial" w:cs="Arial"/>
          <w:b/>
          <w:bCs/>
          <w:sz w:val="24"/>
          <w:szCs w:val="24"/>
        </w:rPr>
        <w:t>1.2 Questão de pesquisa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Arial" w:cs="Arial"/>
          <w:sz w:val="24"/>
          <w:szCs w:val="24"/>
        </w:rPr>
        <w:t>Uma luderia em Salvador é viável, e sob quais condições de ponto, preço e ocupação?</w:t>
      </w:r>
    </w:p>
    <w:p>
      <w:pPr>
        <w:pStyle w:val="Heading2"/>
        <w:keepNext w:val="true"/>
        <w:spacing w:lineRule="auto" w:line="360" w:before="240" w:after="120"/>
        <w:rPr/>
      </w:pPr>
      <w:r>
        <w:rPr>
          <w:rFonts w:eastAsia="Arial" w:cs="Arial"/>
          <w:b/>
          <w:bCs/>
          <w:sz w:val="24"/>
          <w:szCs w:val="24"/>
        </w:rPr>
        <w:t>1.3 Objetivo geral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Arial" w:cs="Arial"/>
          <w:sz w:val="24"/>
          <w:szCs w:val="24"/>
        </w:rPr>
        <w:t>Avaliar a viabilidade mercadológica, operacional e econômico-financeira de uma luderia em Salvador, a partir de premissas sustentadas por dados secundários públicos e por observação direta.</w:t>
      </w:r>
    </w:p>
    <w:p>
      <w:pPr>
        <w:pStyle w:val="Heading2"/>
        <w:keepNext w:val="true"/>
        <w:spacing w:lineRule="auto" w:line="360" w:before="240" w:after="120"/>
        <w:rPr/>
      </w:pPr>
      <w:r>
        <w:rPr>
          <w:rFonts w:eastAsia="Arial" w:cs="Arial"/>
          <w:b/>
          <w:bCs/>
          <w:sz w:val="24"/>
          <w:szCs w:val="24"/>
        </w:rPr>
        <w:t>1.4 Objetivos específicos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jc w:val="both"/>
        <w:rPr/>
      </w:pPr>
      <w:r>
        <w:rPr>
          <w:rFonts w:eastAsia="Arial" w:cs="Arial"/>
          <w:sz w:val="24"/>
          <w:szCs w:val="24"/>
        </w:rPr>
        <w:t>Analisar o mercado e a concorrência de luderias nas 14 metrópoles brasileiras, com destaque para Salvador, quanto à avaliação, preço e cardápio.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jc w:val="both"/>
        <w:rPr/>
      </w:pPr>
      <w:r>
        <w:rPr>
          <w:rFonts w:eastAsia="Arial" w:cs="Arial"/>
          <w:sz w:val="24"/>
          <w:szCs w:val="24"/>
        </w:rPr>
        <w:t>Definir o posicionamento e o composto de marketing a partir dos aspectos que mais pesam na satisfação dos clientes.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jc w:val="both"/>
        <w:rPr/>
      </w:pPr>
      <w:r>
        <w:rPr>
          <w:rFonts w:eastAsia="Arial" w:cs="Arial"/>
          <w:sz w:val="24"/>
          <w:szCs w:val="24"/>
        </w:rPr>
        <w:t>Estimar a demanda, a taxa de ocupação e o giro de mesas a partir de observação direta e de avaliações calibradas.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jc w:val="both"/>
        <w:rPr/>
      </w:pPr>
      <w:r>
        <w:rPr>
          <w:rFonts w:eastAsia="Arial" w:cs="Arial"/>
          <w:sz w:val="24"/>
          <w:szCs w:val="24"/>
        </w:rPr>
        <w:t>Dimensionar a estrutura operacional e os requisitos jurídicos do negócio.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jc w:val="both"/>
        <w:rPr/>
      </w:pPr>
      <w:r>
        <w:rPr>
          <w:rFonts w:eastAsia="Arial" w:cs="Arial"/>
          <w:sz w:val="24"/>
          <w:szCs w:val="24"/>
        </w:rPr>
        <w:t>Projetar investimentos, receitas, custos e indicadores de viabilidade a partir de premissas rastreáveis.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jc w:val="both"/>
        <w:rPr/>
      </w:pPr>
      <w:r>
        <w:rPr>
          <w:rFonts w:eastAsia="Arial" w:cs="Arial"/>
          <w:sz w:val="24"/>
          <w:szCs w:val="24"/>
        </w:rPr>
        <w:t>Identificar as premissas críticas e os pontos de ruptura do negócio.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jc w:val="both"/>
        <w:rPr/>
      </w:pPr>
      <w:r>
        <w:rPr>
          <w:rFonts w:eastAsia="Arial" w:cs="Arial"/>
          <w:sz w:val="24"/>
          <w:szCs w:val="24"/>
        </w:rPr>
        <w:t>Propor um plano de contingência e as validações necessárias antes do investimento.</w:t>
      </w:r>
    </w:p>
    <w:p>
      <w:pPr>
        <w:pStyle w:val="Heading2"/>
        <w:keepNext w:val="true"/>
        <w:spacing w:lineRule="auto" w:line="360" w:before="240" w:after="120"/>
        <w:rPr/>
      </w:pPr>
      <w:r>
        <w:rPr>
          <w:rFonts w:eastAsia="Arial" w:cs="Arial"/>
          <w:b/>
          <w:bCs/>
          <w:sz w:val="24"/>
          <w:szCs w:val="24"/>
        </w:rPr>
        <w:t>1.5 Pressupostos e hipóteses</w:t>
      </w:r>
    </w:p>
    <w:p>
      <w:pPr>
        <w:pStyle w:val="Normal"/>
        <w:spacing w:lineRule="auto" w:line="360" w:before="0" w:after="0"/>
        <w:ind w:hanging="0" w:start="0"/>
        <w:jc w:val="both"/>
        <w:rPr/>
      </w:pPr>
      <w:r>
        <w:rPr>
          <w:rFonts w:eastAsia="Arial" w:cs="Arial"/>
          <w:b w:val="false"/>
          <w:bCs w:val="false"/>
          <w:sz w:val="24"/>
          <w:szCs w:val="24"/>
        </w:rPr>
        <w:t xml:space="preserve">Pressupostos </w:t>
      </w:r>
      <w:r>
        <w:rPr>
          <w:rFonts w:eastAsia="Arial" w:cs="Arial"/>
          <w:sz w:val="24"/>
          <w:szCs w:val="24"/>
        </w:rPr>
        <w:t>(orientam o desenho, verificados ao longo da análise):</w:t>
      </w:r>
    </w:p>
    <w:p>
      <w:pPr>
        <w:pStyle w:val="ListParagraph"/>
        <w:numPr>
          <w:ilvl w:val="0"/>
          <w:numId w:val="5"/>
        </w:numPr>
        <w:spacing w:lineRule="auto" w:line="360" w:before="0" w:after="0"/>
        <w:jc w:val="both"/>
        <w:rPr/>
      </w:pPr>
      <w:r>
        <w:rPr>
          <w:rFonts w:eastAsia="Arial" w:cs="Arial"/>
          <w:b w:val="false"/>
          <w:bCs w:val="false"/>
          <w:sz w:val="24"/>
          <w:szCs w:val="24"/>
        </w:rPr>
        <w:t>P1: o público das luderias é majoritariamente casual, pois quem tem o jogo como fim tende a formar acervo e espaço de jogo próprios.</w:t>
      </w:r>
    </w:p>
    <w:p>
      <w:pPr>
        <w:pStyle w:val="ListParagraph"/>
        <w:numPr>
          <w:ilvl w:val="0"/>
          <w:numId w:val="2"/>
        </w:numPr>
        <w:spacing w:lineRule="auto" w:line="360" w:before="0" w:after="0"/>
        <w:jc w:val="both"/>
        <w:rPr>
          <w:b w:val="false"/>
          <w:bCs w:val="false"/>
        </w:rPr>
      </w:pPr>
      <w:r>
        <w:rPr>
          <w:rFonts w:eastAsia="Arial" w:cs="Arial"/>
          <w:b w:val="false"/>
          <w:bCs w:val="false"/>
          <w:sz w:val="24"/>
          <w:szCs w:val="24"/>
        </w:rPr>
        <w:t>P2:</w:t>
      </w:r>
      <w:r>
        <w:rPr>
          <w:rFonts w:eastAsia="Arial" w:cs="Arial"/>
          <w:b w:val="false"/>
          <w:bCs w:val="false"/>
          <w:sz w:val="24"/>
          <w:szCs w:val="24"/>
        </w:rPr>
        <w:t xml:space="preserve"> a taxa de ocupação e o ticket médio concentram a maior parte da incerteza sobre o resultado financeiro.</w:t>
      </w:r>
    </w:p>
    <w:p>
      <w:pPr>
        <w:pStyle w:val="ListParagraph"/>
        <w:numPr>
          <w:ilvl w:val="0"/>
          <w:numId w:val="2"/>
        </w:numPr>
        <w:spacing w:lineRule="auto" w:line="360" w:before="0" w:after="0"/>
        <w:jc w:val="both"/>
        <w:rPr/>
      </w:pPr>
      <w:r>
        <w:rPr>
          <w:rFonts w:eastAsia="Arial" w:cs="Arial"/>
          <w:b w:val="false"/>
          <w:bCs w:val="false"/>
          <w:sz w:val="24"/>
          <w:szCs w:val="24"/>
        </w:rPr>
        <w:t xml:space="preserve">P3: a velocidade de avaliações, calibrada por observação direta, estima o fluxo relativo </w:t>
      </w:r>
      <w:r>
        <w:rPr>
          <w:rFonts w:eastAsia="Arial" w:cs="Arial"/>
          <w:sz w:val="24"/>
          <w:szCs w:val="24"/>
        </w:rPr>
        <w:t>de clientes com faixa de incerteza aceitável para a decisão.</w:t>
      </w:r>
    </w:p>
    <w:p>
      <w:pPr>
        <w:pStyle w:val="Normal"/>
        <w:spacing w:lineRule="auto" w:line="360" w:before="0" w:after="0"/>
        <w:ind w:hanging="0" w:start="0"/>
        <w:jc w:val="both"/>
        <w:rPr>
          <w:b w:val="false"/>
          <w:bCs w:val="false"/>
        </w:rPr>
      </w:pPr>
      <w:r>
        <w:rPr>
          <w:rFonts w:eastAsia="Arial" w:cs="Arial"/>
          <w:b w:val="false"/>
          <w:bCs w:val="false"/>
          <w:sz w:val="24"/>
          <w:szCs w:val="24"/>
        </w:rPr>
        <w:t>Hipóteses confirmatórias</w:t>
      </w:r>
      <w:r>
        <w:rPr>
          <w:rFonts w:eastAsia="Arial" w:cs="Arial"/>
          <w:b w:val="false"/>
          <w:bCs w:val="false"/>
          <w:sz w:val="24"/>
          <w:szCs w:val="24"/>
        </w:rPr>
        <w:t>:</w:t>
      </w:r>
    </w:p>
    <w:p>
      <w:pPr>
        <w:pStyle w:val="ListParagraph"/>
        <w:numPr>
          <w:ilvl w:val="0"/>
          <w:numId w:val="2"/>
        </w:numPr>
        <w:spacing w:lineRule="auto" w:line="360" w:before="0" w:after="0"/>
        <w:jc w:val="both"/>
        <w:rPr>
          <w:b w:val="false"/>
          <w:bCs w:val="false"/>
        </w:rPr>
      </w:pPr>
      <w:r>
        <w:rPr>
          <w:rFonts w:eastAsia="Arial" w:cs="Arial"/>
          <w:b w:val="false"/>
          <w:bCs w:val="false"/>
          <w:sz w:val="24"/>
          <w:szCs w:val="24"/>
        </w:rPr>
        <w:t>H1 - Aspectos da experiência:</w:t>
      </w:r>
      <w:r>
        <w:rPr>
          <w:rFonts w:eastAsia="Arial" w:cs="Arial"/>
          <w:b w:val="false"/>
          <w:bCs w:val="false"/>
          <w:sz w:val="24"/>
          <w:szCs w:val="24"/>
        </w:rPr>
        <w:t xml:space="preserve"> menções negativas a atendimento e a ambiente associam-se a uma redução da nota maior que a de menções negativas a comida e bebida, controlado o estabelecimento.</w:t>
      </w:r>
    </w:p>
    <w:p>
      <w:pPr>
        <w:pStyle w:val="ListParagraph"/>
        <w:numPr>
          <w:ilvl w:val="0"/>
          <w:numId w:val="2"/>
        </w:numPr>
        <w:spacing w:lineRule="auto" w:line="360" w:before="0" w:after="0"/>
        <w:jc w:val="both"/>
        <w:rPr>
          <w:b w:val="false"/>
          <w:bCs w:val="false"/>
        </w:rPr>
      </w:pPr>
      <w:r>
        <w:rPr>
          <w:rFonts w:eastAsia="Arial" w:cs="Arial"/>
          <w:b w:val="false"/>
          <w:bCs w:val="false"/>
          <w:sz w:val="24"/>
          <w:szCs w:val="24"/>
        </w:rPr>
        <w:t>H</w:t>
      </w:r>
      <w:r>
        <w:rPr>
          <w:rFonts w:eastAsia="Arial" w:cs="Arial"/>
          <w:b w:val="false"/>
          <w:bCs w:val="false"/>
          <w:sz w:val="24"/>
          <w:szCs w:val="24"/>
        </w:rPr>
        <w:t>2</w:t>
      </w:r>
      <w:r>
        <w:rPr>
          <w:rFonts w:eastAsia="Arial" w:cs="Arial"/>
          <w:b w:val="false"/>
          <w:bCs w:val="false"/>
          <w:sz w:val="24"/>
          <w:szCs w:val="24"/>
        </w:rPr>
        <w:t xml:space="preserve"> - Preço:</w:t>
      </w:r>
      <w:r>
        <w:rPr>
          <w:rFonts w:eastAsia="Arial" w:cs="Arial"/>
          <w:b w:val="false"/>
          <w:bCs w:val="false"/>
          <w:sz w:val="24"/>
          <w:szCs w:val="24"/>
        </w:rPr>
        <w:t xml:space="preserve"> a proporção de avaliações com reclamação de preço difere entre as políticas de cobrança (couvert, por hora, consumação mínima).</w:t>
      </w:r>
    </w:p>
    <w:p>
      <w:pPr>
        <w:pStyle w:val="ListParagraph"/>
        <w:numPr>
          <w:ilvl w:val="0"/>
          <w:numId w:val="2"/>
        </w:numPr>
        <w:spacing w:lineRule="auto" w:line="360" w:before="0" w:after="0"/>
        <w:jc w:val="both"/>
        <w:rPr>
          <w:b w:val="false"/>
          <w:bCs w:val="false"/>
        </w:rPr>
      </w:pPr>
      <w:r>
        <w:rPr>
          <w:rFonts w:eastAsia="Arial" w:cs="Arial"/>
          <w:b w:val="false"/>
          <w:bCs w:val="false"/>
          <w:sz w:val="24"/>
          <w:szCs w:val="24"/>
        </w:rPr>
        <w:t>H</w:t>
      </w:r>
      <w:r>
        <w:rPr>
          <w:rFonts w:eastAsia="Arial" w:cs="Arial"/>
          <w:b w:val="false"/>
          <w:bCs w:val="false"/>
          <w:sz w:val="24"/>
          <w:szCs w:val="24"/>
        </w:rPr>
        <w:t>3</w:t>
      </w:r>
      <w:r>
        <w:rPr>
          <w:rFonts w:eastAsia="Arial" w:cs="Arial"/>
          <w:b w:val="false"/>
          <w:bCs w:val="false"/>
          <w:sz w:val="24"/>
          <w:szCs w:val="24"/>
        </w:rPr>
        <w:t xml:space="preserve"> - Ticket:</w:t>
      </w:r>
      <w:r>
        <w:rPr>
          <w:rFonts w:eastAsia="Arial" w:cs="Arial"/>
          <w:b w:val="false"/>
          <w:bCs w:val="false"/>
          <w:sz w:val="24"/>
          <w:szCs w:val="24"/>
        </w:rPr>
        <w:t xml:space="preserve"> a mediana dos valores por pessoa citados nas avaliações fica dentro da faixa da cesta de cardápio do próprio estabelecimento.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Arial" w:cs="Arial"/>
          <w:b w:val="false"/>
          <w:bCs w:val="false"/>
          <w:sz w:val="24"/>
          <w:szCs w:val="24"/>
        </w:rPr>
        <w:t>Análises exploratórias</w:t>
      </w:r>
      <w:r>
        <w:rPr>
          <w:rFonts w:eastAsia="Arial" w:cs="Arial"/>
          <w:sz w:val="24"/>
          <w:szCs w:val="24"/>
        </w:rPr>
        <w:t>: ranking de reclamações; relação entre menções a comida e nota; jogos citados; velocidade de avaliações e calibração do fluxo.</w:t>
      </w:r>
    </w:p>
    <w:p>
      <w:pPr>
        <w:pStyle w:val="Heading1"/>
        <w:keepNext w:val="true"/>
        <w:spacing w:lineRule="auto" w:line="360" w:before="360" w:after="240"/>
        <w:rPr/>
      </w:pPr>
      <w:r>
        <w:rPr>
          <w:rFonts w:eastAsia="Arial" w:cs="Arial"/>
          <w:b/>
          <w:bCs/>
          <w:sz w:val="24"/>
          <w:szCs w:val="24"/>
        </w:rPr>
        <w:t>2 QUADRO TEÓRICO</w:t>
      </w:r>
    </w:p>
    <w:p>
      <w:pPr>
        <w:pStyle w:val="Normal"/>
        <w:keepNext w:val="true"/>
        <w:spacing w:lineRule="auto" w:line="240" w:before="240" w:after="0"/>
        <w:jc w:val="start"/>
        <w:rPr/>
      </w:pPr>
      <w:r>
        <w:rPr>
          <w:rFonts w:eastAsia="Arial" w:cs="Arial"/>
          <w:b/>
          <w:bCs/>
          <w:sz w:val="20"/>
          <w:szCs w:val="20"/>
        </w:rPr>
        <w:t>Quadro 01 -</w:t>
      </w:r>
      <w:r>
        <w:rPr>
          <w:rFonts w:eastAsia="Arial" w:cs="Arial"/>
          <w:sz w:val="20"/>
          <w:szCs w:val="20"/>
        </w:rPr>
        <w:t xml:space="preserve"> Termos e conceitos adotados na pesquisa</w:t>
      </w:r>
    </w:p>
    <w:tbl>
      <w:tblPr>
        <w:tblW w:w="9037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1631"/>
        <w:gridCol w:w="4716"/>
        <w:gridCol w:w="2690"/>
      </w:tblGrid>
      <w:tr>
        <w:trPr>
          <w:tblHeader w:val="true"/>
          <w:cantSplit/>
        </w:trPr>
        <w:tc>
          <w:tcPr>
            <w:tcW w:w="163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Termo</w:t>
            </w:r>
          </w:p>
        </w:tc>
        <w:tc>
          <w:tcPr>
            <w:tcW w:w="471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Definição adotada</w:t>
            </w:r>
          </w:p>
        </w:tc>
        <w:tc>
          <w:tcPr>
            <w:tcW w:w="26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Fonte</w:t>
            </w:r>
          </w:p>
        </w:tc>
      </w:tr>
      <w:tr>
        <w:trPr>
          <w:cantSplit/>
        </w:trPr>
        <w:tc>
          <w:tcPr>
            <w:tcW w:w="163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Plano de negócios</w:t>
            </w:r>
          </w:p>
        </w:tc>
        <w:tc>
          <w:tcPr>
            <w:tcW w:w="471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Documento que descreve o negócio, seu mercado, sua operação e suas projeções financeiras, usado para orientar a decisão de investimento</w:t>
            </w:r>
          </w:p>
        </w:tc>
        <w:tc>
          <w:tcPr>
            <w:tcW w:w="26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DORNELAS</w:t>
            </w:r>
          </w:p>
        </w:tc>
      </w:tr>
      <w:tr>
        <w:trPr>
          <w:cantSplit/>
        </w:trPr>
        <w:tc>
          <w:tcPr>
            <w:tcW w:w="163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Estudo de viabilidade econômica</w:t>
            </w:r>
          </w:p>
        </w:tc>
        <w:tc>
          <w:tcPr>
            <w:tcW w:w="471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Análise que verifica, por demonstrações projetadas e indicadores, se o investimento gera retorno financeiro</w:t>
            </w:r>
          </w:p>
        </w:tc>
        <w:tc>
          <w:tcPr>
            <w:tcW w:w="26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ASAKURA; SILVA; MELLO (2018)</w:t>
            </w:r>
          </w:p>
        </w:tc>
      </w:tr>
      <w:tr>
        <w:trPr>
          <w:cantSplit/>
        </w:trPr>
        <w:tc>
          <w:tcPr>
            <w:tcW w:w="163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Luderia</w:t>
            </w:r>
          </w:p>
        </w:tc>
        <w:tc>
          <w:tcPr>
            <w:tcW w:w="471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Estabelecimento de alimentação e bebidas que oferece acesso a um acervo de jogos de tabuleiro e cartas como parte central da experiência</w:t>
            </w:r>
          </w:p>
        </w:tc>
        <w:tc>
          <w:tcPr>
            <w:tcW w:w="26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Elaborado pelo autor</w:t>
            </w:r>
          </w:p>
        </w:tc>
      </w:tr>
      <w:tr>
        <w:trPr>
          <w:cantSplit/>
        </w:trPr>
        <w:tc>
          <w:tcPr>
            <w:tcW w:w="163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Público hobbyista × público casual</w:t>
            </w:r>
          </w:p>
        </w:tc>
        <w:tc>
          <w:tcPr>
            <w:tcW w:w="471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Hobbyista: envolvimento contínuo, busca por jogos complexos, jogo como fim. Casual: participação pontual, jogo como meio de socialização</w:t>
            </w:r>
          </w:p>
        </w:tc>
        <w:tc>
          <w:tcPr>
            <w:tcW w:w="26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Adaptado de STEBBINS (lazer sério × casual)</w:t>
            </w:r>
          </w:p>
        </w:tc>
      </w:tr>
      <w:tr>
        <w:trPr>
          <w:cantSplit/>
        </w:trPr>
        <w:tc>
          <w:tcPr>
            <w:tcW w:w="163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/>
                <w:iCs/>
                <w:sz w:val="20"/>
                <w:szCs w:val="20"/>
              </w:rPr>
              <w:t>Competitive socialising</w:t>
            </w:r>
          </w:p>
        </w:tc>
        <w:tc>
          <w:tcPr>
            <w:tcW w:w="471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Segmento da hospitalidade que combina atividade de jogo, alimentação e bebidas em uma ocasião social</w:t>
            </w:r>
          </w:p>
        </w:tc>
        <w:tc>
          <w:tcPr>
            <w:tcW w:w="26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KAM INSIGHT (2022)</w:t>
            </w:r>
          </w:p>
        </w:tc>
      </w:tr>
      <w:tr>
        <w:trPr>
          <w:cantSplit/>
        </w:trPr>
        <w:tc>
          <w:tcPr>
            <w:tcW w:w="163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Grade ERRC</w:t>
            </w:r>
          </w:p>
        </w:tc>
        <w:tc>
          <w:tcPr>
            <w:tcW w:w="471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Ferramenta que define o posicionamento pelos atributos a eliminar, reduzir, elevar e criar em relação ao padrão do setor</w:t>
            </w:r>
          </w:p>
        </w:tc>
        <w:tc>
          <w:tcPr>
            <w:tcW w:w="26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KIM; MAUBORGNE</w:t>
            </w:r>
          </w:p>
        </w:tc>
      </w:tr>
      <w:tr>
        <w:trPr>
          <w:cantSplit/>
        </w:trPr>
        <w:tc>
          <w:tcPr>
            <w:tcW w:w="163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Atributos obrigatórios e atrativos</w:t>
            </w:r>
          </w:p>
        </w:tc>
        <w:tc>
          <w:tcPr>
            <w:tcW w:w="471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Obrigatórios: sua ausência gera insatisfação, sua presença não gera destaque. Atrativos: sua presença gera satisfação, sua ausência não gera reclamação. Base da análise de penalidade e recompensa</w:t>
            </w:r>
          </w:p>
        </w:tc>
        <w:tc>
          <w:tcPr>
            <w:tcW w:w="26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KANO et al. (1984)</w:t>
            </w:r>
          </w:p>
        </w:tc>
      </w:tr>
      <w:tr>
        <w:trPr>
          <w:cantSplit/>
        </w:trPr>
        <w:tc>
          <w:tcPr>
            <w:tcW w:w="163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Cinco forças competitivas; PESTEL; SWOT</w:t>
            </w:r>
          </w:p>
        </w:tc>
        <w:tc>
          <w:tcPr>
            <w:tcW w:w="471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Diagnóstico da estrutura competitiva, do macroambiente e da posição do negócio</w:t>
            </w:r>
          </w:p>
        </w:tc>
        <w:tc>
          <w:tcPr>
            <w:tcW w:w="26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PORTER</w:t>
            </w:r>
          </w:p>
        </w:tc>
      </w:tr>
      <w:tr>
        <w:trPr>
          <w:cantSplit/>
        </w:trPr>
        <w:tc>
          <w:tcPr>
            <w:tcW w:w="163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Análise de conteúdo</w:t>
            </w:r>
          </w:p>
        </w:tc>
        <w:tc>
          <w:tcPr>
            <w:tcW w:w="471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Codificação sistemática de textos em categorias definidas por regras explícitas</w:t>
            </w:r>
          </w:p>
        </w:tc>
        <w:tc>
          <w:tcPr>
            <w:tcW w:w="26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BARDIN (2011)</w:t>
            </w:r>
          </w:p>
        </w:tc>
      </w:tr>
      <w:tr>
        <w:trPr>
          <w:cantSplit/>
        </w:trPr>
        <w:tc>
          <w:tcPr>
            <w:tcW w:w="163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Concordância entre codificadores</w:t>
            </w:r>
          </w:p>
        </w:tc>
        <w:tc>
          <w:tcPr>
            <w:tcW w:w="471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Grau de acordo entre duas codificações independentes, descontado o acordo esperado ao acaso (kappa)</w:t>
            </w:r>
          </w:p>
        </w:tc>
        <w:tc>
          <w:tcPr>
            <w:tcW w:w="26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COHEN (1960)</w:t>
            </w:r>
          </w:p>
        </w:tc>
      </w:tr>
      <w:tr>
        <w:trPr>
          <w:cantSplit/>
        </w:trPr>
        <w:tc>
          <w:tcPr>
            <w:tcW w:w="163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Registro prévio</w:t>
            </w:r>
          </w:p>
        </w:tc>
        <w:tc>
          <w:tcPr>
            <w:tcW w:w="471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Registro datado de hipóteses, variáveis e análises antes do acesso aos dados, que separa resultados confirmatórios de exploratórios</w:t>
            </w:r>
          </w:p>
        </w:tc>
        <w:tc>
          <w:tcPr>
            <w:tcW w:w="26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Elaborado pelo autor</w:t>
            </w:r>
          </w:p>
        </w:tc>
      </w:tr>
      <w:tr>
        <w:trPr>
          <w:cantSplit/>
        </w:trPr>
        <w:tc>
          <w:tcPr>
            <w:tcW w:w="163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Taxa de descobertas falsas</w:t>
            </w:r>
          </w:p>
        </w:tc>
        <w:tc>
          <w:tcPr>
            <w:tcW w:w="471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Proporção esperada de falsos positivos entre os resultados significativos; controlada em testes múltiplos</w:t>
            </w:r>
          </w:p>
        </w:tc>
        <w:tc>
          <w:tcPr>
            <w:tcW w:w="26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BENJAMINI; HOCHBERG (1995)</w:t>
            </w:r>
          </w:p>
        </w:tc>
      </w:tr>
      <w:tr>
        <w:trPr>
          <w:cantSplit/>
        </w:trPr>
        <w:tc>
          <w:tcPr>
            <w:tcW w:w="163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Velocidade de avaliações</w:t>
            </w:r>
          </w:p>
        </w:tc>
        <w:tc>
          <w:tcPr>
            <w:tcW w:w="471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Número de avaliações com texto por mês de um estabelecimento, no recorte das publicadas até "um mês atrás"</w:t>
            </w:r>
          </w:p>
        </w:tc>
        <w:tc>
          <w:tcPr>
            <w:tcW w:w="26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Elaborado pelo autor</w:t>
            </w:r>
          </w:p>
        </w:tc>
      </w:tr>
      <w:tr>
        <w:trPr>
          <w:cantSplit/>
        </w:trPr>
        <w:tc>
          <w:tcPr>
            <w:tcW w:w="163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Taxa de ocupação</w:t>
            </w:r>
          </w:p>
        </w:tc>
        <w:tc>
          <w:tcPr>
            <w:tcW w:w="471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Proporção dos lugares disponíveis efetivamente ocupados em um período de funcionamento</w:t>
            </w:r>
          </w:p>
        </w:tc>
        <w:tc>
          <w:tcPr>
            <w:tcW w:w="26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Elaborado pelo autor</w:t>
            </w:r>
          </w:p>
        </w:tc>
      </w:tr>
      <w:tr>
        <w:trPr>
          <w:cantSplit/>
        </w:trPr>
        <w:tc>
          <w:tcPr>
            <w:tcW w:w="163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Giro de mesa</w:t>
            </w:r>
          </w:p>
        </w:tc>
        <w:tc>
          <w:tcPr>
            <w:tcW w:w="471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Número de grupos que ocupam uma mesa em um período, inverso da permanência média</w:t>
            </w:r>
          </w:p>
        </w:tc>
        <w:tc>
          <w:tcPr>
            <w:tcW w:w="26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Elaborado pelo autor</w:t>
            </w:r>
          </w:p>
        </w:tc>
      </w:tr>
      <w:tr>
        <w:trPr>
          <w:cantSplit/>
        </w:trPr>
        <w:tc>
          <w:tcPr>
            <w:tcW w:w="163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Nível de evidência (N1-N6)</w:t>
            </w:r>
          </w:p>
        </w:tc>
        <w:tc>
          <w:tcPr>
            <w:tcW w:w="471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Escala de confiabilidade das premissas: N1 cotação, contrato ou tabela oficial; N2 dado público estruturado; N3 benchmark medido pelo autor; N4 relatório setorial; N5 coleta primária comportamental; N6 estimativa do autor</w:t>
            </w:r>
          </w:p>
        </w:tc>
        <w:tc>
          <w:tcPr>
            <w:tcW w:w="26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Elaborado pelo autor</w:t>
            </w:r>
          </w:p>
        </w:tc>
      </w:tr>
      <w:tr>
        <w:trPr>
          <w:cantSplit/>
        </w:trPr>
        <w:tc>
          <w:tcPr>
            <w:tcW w:w="163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Indicadores de viabilidade</w:t>
            </w:r>
          </w:p>
        </w:tc>
        <w:tc>
          <w:tcPr>
            <w:tcW w:w="471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VPL, TIR, payback descontado e ponto de equilíbrio</w:t>
            </w:r>
          </w:p>
        </w:tc>
        <w:tc>
          <w:tcPr>
            <w:tcW w:w="26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ASSAF NETO</w:t>
            </w:r>
          </w:p>
        </w:tc>
      </w:tr>
      <w:tr>
        <w:trPr>
          <w:cantSplit/>
        </w:trPr>
        <w:tc>
          <w:tcPr>
            <w:tcW w:w="163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Premissa crítica</w:t>
            </w:r>
          </w:p>
        </w:tc>
        <w:tc>
          <w:tcPr>
            <w:tcW w:w="471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 xml:space="preserve">Premissa </w:t>
            </w: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d</w:t>
            </w: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e maior impacto no VPL na análise de sensibilidade.</w:t>
            </w:r>
          </w:p>
        </w:tc>
        <w:tc>
          <w:tcPr>
            <w:tcW w:w="26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>
                <w:rFonts w:ascii="Arial" w:hAnsi="Arial" w:eastAsia="Arial" w:cs="Arial"/>
                <w:b w:val="false"/>
                <w:bCs w:val="false"/>
                <w:sz w:val="20"/>
                <w:szCs w:val="20"/>
              </w:rPr>
            </w:pPr>
            <w:r>
              <w:rPr/>
            </w:r>
          </w:p>
        </w:tc>
      </w:tr>
      <w:tr>
        <w:trPr>
          <w:cantSplit/>
        </w:trPr>
        <w:tc>
          <w:tcPr>
            <w:tcW w:w="163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P</w:t>
            </w: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onto de ruptura</w:t>
            </w:r>
          </w:p>
        </w:tc>
        <w:tc>
          <w:tcPr>
            <w:tcW w:w="4716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V</w:t>
            </w: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alor da premissa que torna o VPL igual a zero</w:t>
            </w:r>
          </w:p>
        </w:tc>
        <w:tc>
          <w:tcPr>
            <w:tcW w:w="2690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/>
            </w:r>
          </w:p>
        </w:tc>
      </w:tr>
    </w:tbl>
    <w:p>
      <w:pPr>
        <w:pStyle w:val="Normal"/>
        <w:keepNext w:val="false"/>
        <w:spacing w:lineRule="auto" w:line="240" w:before="0" w:after="240"/>
        <w:jc w:val="start"/>
        <w:rPr/>
      </w:pPr>
      <w:r>
        <w:rPr>
          <w:rFonts w:eastAsia="Arial" w:cs="Arial"/>
          <w:sz w:val="20"/>
          <w:szCs w:val="20"/>
        </w:rPr>
        <w:t>Fonte: elaborado pelo autor</w:t>
      </w:r>
    </w:p>
    <w:p>
      <w:pPr>
        <w:pStyle w:val="Heading1"/>
        <w:keepNext w:val="true"/>
        <w:spacing w:lineRule="auto" w:line="360" w:before="360" w:after="240"/>
        <w:rPr/>
      </w:pPr>
      <w:r>
        <w:rPr>
          <w:rFonts w:eastAsia="Arial" w:cs="Arial"/>
          <w:b/>
          <w:bCs/>
          <w:sz w:val="24"/>
          <w:szCs w:val="24"/>
        </w:rPr>
        <w:t>3 CARACTERIZAÇÃO METODOLÓGICA</w:t>
      </w:r>
    </w:p>
    <w:p>
      <w:pPr>
        <w:pStyle w:val="Heading2"/>
        <w:keepNext w:val="true"/>
        <w:spacing w:lineRule="auto" w:line="360" w:before="240" w:after="120"/>
        <w:rPr/>
      </w:pPr>
      <w:r>
        <w:rPr>
          <w:rFonts w:eastAsia="Arial" w:cs="Arial"/>
          <w:b/>
          <w:bCs/>
          <w:sz w:val="24"/>
          <w:szCs w:val="24"/>
        </w:rPr>
        <w:t>3.1 Tipo e abordagem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Arial" w:cs="Arial"/>
          <w:sz w:val="24"/>
          <w:szCs w:val="24"/>
        </w:rPr>
        <w:t xml:space="preserve">Este trabalho </w:t>
      </w:r>
      <w:r>
        <w:rPr>
          <w:rFonts w:eastAsia="Arial" w:cs="Arial"/>
          <w:sz w:val="24"/>
          <w:szCs w:val="24"/>
        </w:rPr>
        <w:t xml:space="preserve">é um plano de negócios baseado em evidências. Quanto aos objetivos, é </w:t>
      </w:r>
      <w:r>
        <w:rPr>
          <w:rFonts w:eastAsia="Arial" w:cs="Arial"/>
          <w:sz w:val="24"/>
          <w:szCs w:val="24"/>
        </w:rPr>
        <w:t xml:space="preserve">uma pesquisa </w:t>
      </w:r>
      <w:r>
        <w:rPr>
          <w:rFonts w:eastAsia="Arial" w:cs="Arial"/>
          <w:sz w:val="24"/>
          <w:szCs w:val="24"/>
        </w:rPr>
        <w:t xml:space="preserve">descritivo-exploratória, com hipóteses confirmatórias registradas previamente. A abordagem é </w:t>
      </w:r>
      <w:r>
        <w:rPr>
          <w:rFonts w:eastAsia="Arial" w:cs="Arial"/>
          <w:sz w:val="24"/>
          <w:szCs w:val="24"/>
        </w:rPr>
        <w:t>quali-quanti</w:t>
      </w:r>
      <w:r>
        <w:rPr>
          <w:rFonts w:eastAsia="Arial" w:cs="Arial"/>
          <w:sz w:val="24"/>
          <w:szCs w:val="24"/>
        </w:rPr>
        <w:t>, com análise de conteúdo. O delineamento é transversal.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Arial" w:cs="Arial"/>
          <w:sz w:val="24"/>
          <w:szCs w:val="24"/>
        </w:rPr>
        <w:t>A pesquisa usa dados secundários públicos e uma coleta primária comportamental: a contagem direta de ocupação, com leitura do número da nota fiscal. Questionários não s</w:t>
      </w:r>
      <w:r>
        <w:rPr>
          <w:rFonts w:eastAsia="Arial" w:cs="Arial"/>
          <w:sz w:val="24"/>
          <w:szCs w:val="24"/>
        </w:rPr>
        <w:t xml:space="preserve">erão </w:t>
      </w:r>
      <w:r>
        <w:rPr>
          <w:rFonts w:eastAsia="Arial" w:cs="Arial"/>
          <w:sz w:val="24"/>
          <w:szCs w:val="24"/>
        </w:rPr>
        <w:t xml:space="preserve">usados, </w:t>
      </w:r>
      <w:r>
        <w:rPr>
          <w:rFonts w:eastAsia="Arial" w:cs="Arial"/>
          <w:sz w:val="24"/>
          <w:szCs w:val="24"/>
        </w:rPr>
        <w:t xml:space="preserve">para evitar a </w:t>
      </w:r>
      <w:r>
        <w:rPr>
          <w:rFonts w:eastAsia="Arial" w:cs="Arial"/>
          <w:sz w:val="24"/>
          <w:szCs w:val="24"/>
        </w:rPr>
        <w:t>geraçã</w:t>
      </w:r>
      <w:r>
        <w:rPr>
          <w:rFonts w:eastAsia="Arial" w:cs="Arial"/>
          <w:sz w:val="24"/>
          <w:szCs w:val="24"/>
        </w:rPr>
        <w:t xml:space="preserve">o de </w:t>
      </w:r>
      <w:r>
        <w:rPr>
          <w:rFonts w:eastAsia="Arial" w:cs="Arial"/>
          <w:sz w:val="24"/>
          <w:szCs w:val="24"/>
        </w:rPr>
        <w:t xml:space="preserve">dados atitudinais  </w:t>
      </w:r>
      <w:r>
        <w:rPr>
          <w:rFonts w:eastAsia="Arial" w:cs="Arial"/>
          <w:sz w:val="24"/>
          <w:szCs w:val="24"/>
        </w:rPr>
        <w:t xml:space="preserve">e de </w:t>
      </w:r>
      <w:r>
        <w:rPr>
          <w:rFonts w:eastAsia="Arial" w:cs="Arial"/>
          <w:sz w:val="24"/>
          <w:szCs w:val="24"/>
        </w:rPr>
        <w:t>vieses de amostragem e não-resposta. Cada premissa do plano recebe um nível de evidência (N1-N6), e as premissas críticas são testadas por triangulação e análise de sensibilidade.</w:t>
      </w:r>
    </w:p>
    <w:p>
      <w:pPr>
        <w:pStyle w:val="Heading2"/>
        <w:keepNext w:val="true"/>
        <w:spacing w:lineRule="auto" w:line="360" w:before="240" w:after="120"/>
        <w:rPr/>
      </w:pPr>
      <w:r>
        <w:rPr>
          <w:rFonts w:eastAsia="Arial" w:cs="Arial"/>
          <w:b/>
          <w:bCs/>
          <w:sz w:val="24"/>
          <w:szCs w:val="24"/>
        </w:rPr>
        <w:t>3.2 Instrumentos e procedimentos de coleta</w:t>
      </w:r>
    </w:p>
    <w:p>
      <w:pPr>
        <w:pStyle w:val="Normal"/>
        <w:keepNext w:val="true"/>
        <w:spacing w:lineRule="auto" w:line="240" w:before="240" w:after="0"/>
        <w:jc w:val="start"/>
        <w:rPr/>
      </w:pPr>
      <w:r>
        <w:rPr>
          <w:rFonts w:eastAsia="Arial" w:cs="Arial"/>
          <w:b/>
          <w:bCs/>
          <w:sz w:val="20"/>
          <w:szCs w:val="20"/>
        </w:rPr>
        <w:t>Quadro 02 -</w:t>
      </w:r>
      <w:r>
        <w:rPr>
          <w:rFonts w:eastAsia="Arial" w:cs="Arial"/>
          <w:sz w:val="20"/>
          <w:szCs w:val="20"/>
        </w:rPr>
        <w:t xml:space="preserve"> Instrumentos de coleta</w:t>
      </w:r>
    </w:p>
    <w:tbl>
      <w:tblPr>
        <w:tblW w:w="9071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2064"/>
        <w:gridCol w:w="1976"/>
        <w:gridCol w:w="3233"/>
        <w:gridCol w:w="1798"/>
      </w:tblGrid>
      <w:tr>
        <w:trPr>
          <w:tblHeader w:val="true"/>
          <w:cantSplit/>
        </w:trPr>
        <w:tc>
          <w:tcPr>
            <w:tcW w:w="20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Bloco</w:t>
            </w:r>
          </w:p>
        </w:tc>
        <w:tc>
          <w:tcPr>
            <w:tcW w:w="19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Instrumento</w:t>
            </w:r>
          </w:p>
        </w:tc>
        <w:tc>
          <w:tcPr>
            <w:tcW w:w="323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Procedimento</w:t>
            </w:r>
          </w:p>
        </w:tc>
        <w:tc>
          <w:tcPr>
            <w:tcW w:w="179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Situação</w:t>
            </w:r>
          </w:p>
        </w:tc>
      </w:tr>
      <w:tr>
        <w:trPr>
          <w:cantSplit/>
        </w:trPr>
        <w:tc>
          <w:tcPr>
            <w:tcW w:w="20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A - Estabelecimentos e cardápios</w:t>
            </w:r>
          </w:p>
        </w:tc>
        <w:tc>
          <w:tcPr>
            <w:tcW w:w="19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Google Places API; Google Maps (extração manual); site, Instagram e cardápio digital; OpenStreetMap</w:t>
            </w:r>
          </w:p>
        </w:tc>
        <w:tc>
          <w:tcPr>
            <w:tcW w:w="323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Busca por termo nas capitais, filtro e curadoria manual; recorte de estabelecimentos com mais de 100 avaliações nas 14 metrópoles da REGIC (IBGE); notas por aspecto (comida, ambiente, serviço) e localização em shopping, por extração manual; registro de preço e acervo; shoppings e estações de metrô em 500 m e 1.000 m; itens e preços do cardápio por categoria</w:t>
            </w:r>
          </w:p>
        </w:tc>
        <w:tc>
          <w:tcPr>
            <w:tcW w:w="179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Estabelecimentos coletados (164 candidatos no recorte, curadoria pendente; 100 a 150 esperados); cardápios previstos</w:t>
            </w:r>
          </w:p>
        </w:tc>
      </w:tr>
      <w:tr>
        <w:trPr>
          <w:cantSplit/>
        </w:trPr>
        <w:tc>
          <w:tcPr>
            <w:tcW w:w="20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B - Avaliações recentes</w:t>
            </w:r>
          </w:p>
        </w:tc>
        <w:tc>
          <w:tcPr>
            <w:tcW w:w="19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Página pública de avaliações no Google Maps</w:t>
            </w:r>
          </w:p>
        </w:tc>
        <w:tc>
          <w:tcPr>
            <w:tcW w:w="323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Cópia integral de todas as avaliações com texto publicadas até "um mês atrás", por estabelecimento, com data da coleta registrada; pseudonimização do autor na coleta</w:t>
            </w:r>
          </w:p>
        </w:tc>
        <w:tc>
          <w:tcPr>
            <w:tcW w:w="179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Previsto</w:t>
            </w:r>
          </w:p>
        </w:tc>
      </w:tr>
      <w:tr>
        <w:trPr>
          <w:cantSplit/>
        </w:trPr>
        <w:tc>
          <w:tcPr>
            <w:tcW w:w="20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D - Contagem direta de ocupação</w:t>
            </w:r>
          </w:p>
        </w:tc>
        <w:tc>
          <w:tcPr>
            <w:tcW w:w="19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Formulário padronizado de observação; nota fiscal (NFC-e)</w:t>
            </w:r>
          </w:p>
        </w:tc>
        <w:tc>
          <w:tcPr>
            <w:tcW w:w="323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Duas unidades da São Jogue (Salvador); 4 visitas de 3 horas, do lado de fora: 2 sorteadas no sábado, 03/10/2026, com hora de início sorteada (12h00 a 19h00) e no mínimo 2 horas entre os inícios das duas unidades, e 2 de retorno 15 dias depois (domingo, 18/10/2026), na mesma unidade e hora; registro de entradas e saídas de grupos, contagem a cada 30 minutos e número da NFC-e no início e no fim de cada visita</w:t>
            </w:r>
          </w:p>
        </w:tc>
        <w:tc>
          <w:tcPr>
            <w:tcW w:w="179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Previsto</w:t>
            </w:r>
          </w:p>
        </w:tc>
      </w:tr>
      <w:tr>
        <w:trPr>
          <w:cantSplit/>
        </w:trPr>
        <w:tc>
          <w:tcPr>
            <w:tcW w:w="20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E - Bases públicas</w:t>
            </w:r>
          </w:p>
        </w:tc>
        <w:tc>
          <w:tcPr>
            <w:tcW w:w="19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IBGE (Censo 2022, estimativas populacionais, POF, PNAD Contínua, PAS, CONCLA); Novo CAGED; FipeZap; LC 123/2006; Banco Central (SGS e Focus)</w:t>
            </w:r>
          </w:p>
        </w:tc>
        <w:tc>
          <w:tcPr>
            <w:tcW w:w="323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Extração das variáveis para Salvador (por bairro, quando disponível) e para as demais capitais, como comparação</w:t>
            </w:r>
          </w:p>
        </w:tc>
        <w:tc>
          <w:tcPr>
            <w:tcW w:w="179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Coletado em 14/09/2026</w:t>
            </w:r>
          </w:p>
        </w:tc>
      </w:tr>
      <w:tr>
        <w:trPr>
          <w:cantSplit/>
        </w:trPr>
        <w:tc>
          <w:tcPr>
            <w:tcW w:w="20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F - Jogos</w:t>
            </w:r>
          </w:p>
        </w:tc>
        <w:tc>
          <w:tcPr>
            <w:tcW w:w="19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API da Ludopedia e raspagem; BoardGameGeek</w:t>
            </w:r>
          </w:p>
        </w:tc>
        <w:tc>
          <w:tcPr>
            <w:tcW w:w="323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Contadores de usuário e características; 563 jogos</w:t>
            </w:r>
          </w:p>
        </w:tc>
        <w:tc>
          <w:tcPr>
            <w:tcW w:w="179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Coletado; pode ser retirado</w:t>
            </w:r>
          </w:p>
        </w:tc>
      </w:tr>
    </w:tbl>
    <w:p>
      <w:pPr>
        <w:pStyle w:val="Normal"/>
        <w:keepNext w:val="false"/>
        <w:spacing w:lineRule="auto" w:line="240" w:before="0" w:after="240"/>
        <w:jc w:val="start"/>
        <w:rPr/>
      </w:pPr>
      <w:r>
        <w:rPr>
          <w:rFonts w:eastAsia="Arial" w:cs="Arial"/>
          <w:sz w:val="20"/>
          <w:szCs w:val="20"/>
        </w:rPr>
        <w:t>Fonte: elaborado pelo autor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Arial" w:cs="Arial"/>
          <w:sz w:val="24"/>
          <w:szCs w:val="24"/>
        </w:rPr>
        <w:t>Antes da análise, as hipóteses, variáveis e técnicas são registradas em documento datado no repositório. Os avaliadores são sorteados em uma metade exploratória, usada para construir e validar o dicionário de codificação, e uma metade confirmatória, usada uma única vez para testar as hipóteses. O dicionário é validado em 200 avaliações da metade exploratória, codificadas manualmente duas vezes: pelo autor e por uma segunda pessoa com o manual de codificação. Na falta da segunda pessoa, o autor recodifica a amostra após no mínimo 14 dias, sem consultar a primeira codificação. O critério de aceitação é kappa e F1 iguais ou superiores a 0,70 por variável.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Arial" w:cs="Arial"/>
          <w:sz w:val="24"/>
          <w:szCs w:val="24"/>
        </w:rPr>
        <w:t>As avaliações são informações de acesso público. O nome do usuário é substituído por código aleatório na coleta, e as demais variáveis não permitem identificação. O trabalho divulga apenas dados processados. A contagem direta é observação agregada, feita do lado de fora de espaço comercial aberto ao público, sem fotos nem registro de características individuais (Lei nº 13.709/2018; Resolução CNS nº 510/2016).</w:t>
      </w:r>
    </w:p>
    <w:p>
      <w:pPr>
        <w:pStyle w:val="Heading1"/>
        <w:keepNext w:val="true"/>
        <w:spacing w:lineRule="auto" w:line="360" w:before="360" w:after="240"/>
        <w:rPr/>
      </w:pPr>
      <w:r>
        <w:rPr>
          <w:rFonts w:eastAsia="Arial" w:cs="Arial"/>
          <w:b/>
          <w:bCs/>
          <w:sz w:val="24"/>
          <w:szCs w:val="24"/>
        </w:rPr>
        <w:t>4 QUADRO DE ITENS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Arial" w:cs="Arial"/>
          <w:sz w:val="24"/>
          <w:szCs w:val="24"/>
        </w:rPr>
        <w:t>Como a pesquisa não usa questionários, os itens correspondem às variáveis registradas em cada instrumento.</w:t>
      </w:r>
    </w:p>
    <w:p>
      <w:pPr>
        <w:pStyle w:val="Normal"/>
        <w:keepNext w:val="true"/>
        <w:spacing w:lineRule="auto" w:line="240" w:before="240" w:after="0"/>
        <w:jc w:val="start"/>
        <w:rPr/>
      </w:pPr>
      <w:r>
        <w:rPr>
          <w:rFonts w:eastAsia="Arial" w:cs="Arial"/>
          <w:b/>
          <w:bCs/>
          <w:sz w:val="20"/>
          <w:szCs w:val="20"/>
        </w:rPr>
        <w:t>Quadro 03 -</w:t>
      </w:r>
      <w:r>
        <w:rPr>
          <w:rFonts w:eastAsia="Arial" w:cs="Arial"/>
          <w:sz w:val="20"/>
          <w:szCs w:val="20"/>
        </w:rPr>
        <w:t xml:space="preserve"> Itens dos instrumentos de coleta</w:t>
      </w:r>
    </w:p>
    <w:tbl>
      <w:tblPr>
        <w:tblW w:w="9071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724"/>
        <w:gridCol w:w="1996"/>
        <w:gridCol w:w="1632"/>
        <w:gridCol w:w="1813"/>
        <w:gridCol w:w="2906"/>
      </w:tblGrid>
      <w:tr>
        <w:trPr>
          <w:tblHeader w:val="true"/>
          <w:cantSplit/>
        </w:trPr>
        <w:tc>
          <w:tcPr>
            <w:tcW w:w="7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Código</w:t>
            </w:r>
          </w:p>
        </w:tc>
        <w:tc>
          <w:tcPr>
            <w:tcW w:w="199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Item</w:t>
            </w:r>
          </w:p>
        </w:tc>
        <w:tc>
          <w:tcPr>
            <w:tcW w:w="163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Variável ou categoria</w:t>
            </w:r>
          </w:p>
        </w:tc>
        <w:tc>
          <w:tcPr>
            <w:tcW w:w="181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Fundamentação</w:t>
            </w:r>
          </w:p>
        </w:tc>
        <w:tc>
          <w:tcPr>
            <w:tcW w:w="290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Mensuração ou codificação</w:t>
            </w:r>
          </w:p>
        </w:tc>
      </w:tr>
      <w:tr>
        <w:trPr>
          <w:cantSplit/>
        </w:trPr>
        <w:tc>
          <w:tcPr>
            <w:tcW w:w="7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A01</w:t>
            </w:r>
          </w:p>
        </w:tc>
        <w:tc>
          <w:tcPr>
            <w:tcW w:w="199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Avaliação média no Google</w:t>
            </w:r>
          </w:p>
        </w:tc>
        <w:tc>
          <w:tcPr>
            <w:tcW w:w="163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Desempenho percebido</w:t>
            </w:r>
          </w:p>
        </w:tc>
        <w:tc>
          <w:tcPr>
            <w:tcW w:w="181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Cinco forças</w:t>
            </w:r>
          </w:p>
        </w:tc>
        <w:tc>
          <w:tcPr>
            <w:tcW w:w="290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Escala de 1 a 5</w:t>
            </w:r>
          </w:p>
        </w:tc>
      </w:tr>
      <w:tr>
        <w:trPr>
          <w:cantSplit/>
        </w:trPr>
        <w:tc>
          <w:tcPr>
            <w:tcW w:w="7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A02</w:t>
            </w:r>
          </w:p>
        </w:tc>
        <w:tc>
          <w:tcPr>
            <w:tcW w:w="199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Volume de avaliações</w:t>
            </w:r>
          </w:p>
        </w:tc>
        <w:tc>
          <w:tcPr>
            <w:tcW w:w="163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Porte</w:t>
            </w:r>
          </w:p>
        </w:tc>
        <w:tc>
          <w:tcPr>
            <w:tcW w:w="181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Cinco forças</w:t>
            </w:r>
          </w:p>
        </w:tc>
        <w:tc>
          <w:tcPr>
            <w:tcW w:w="290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Contagem</w:t>
            </w:r>
          </w:p>
        </w:tc>
      </w:tr>
      <w:tr>
        <w:trPr>
          <w:cantSplit/>
        </w:trPr>
        <w:tc>
          <w:tcPr>
            <w:tcW w:w="7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A03</w:t>
            </w:r>
          </w:p>
        </w:tc>
        <w:tc>
          <w:tcPr>
            <w:tcW w:w="199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Política de cobrança</w:t>
            </w:r>
          </w:p>
        </w:tc>
        <w:tc>
          <w:tcPr>
            <w:tcW w:w="163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Preço</w:t>
            </w:r>
          </w:p>
        </w:tc>
        <w:tc>
          <w:tcPr>
            <w:tcW w:w="181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Composto de marketing</w:t>
            </w:r>
          </w:p>
        </w:tc>
        <w:tc>
          <w:tcPr>
            <w:tcW w:w="290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Categórica: couvert, por hora, consumação mínima, outra</w:t>
            </w:r>
          </w:p>
        </w:tc>
      </w:tr>
      <w:tr>
        <w:trPr>
          <w:cantSplit/>
        </w:trPr>
        <w:tc>
          <w:tcPr>
            <w:tcW w:w="7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A04</w:t>
            </w:r>
          </w:p>
        </w:tc>
        <w:tc>
          <w:tcPr>
            <w:tcW w:w="199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Acervo declarado</w:t>
            </w:r>
          </w:p>
        </w:tc>
        <w:tc>
          <w:tcPr>
            <w:tcW w:w="163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Posicionamento</w:t>
            </w:r>
          </w:p>
        </w:tc>
        <w:tc>
          <w:tcPr>
            <w:tcW w:w="181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Público hobbyista × casual</w:t>
            </w:r>
          </w:p>
        </w:tc>
        <w:tc>
          <w:tcPr>
            <w:tcW w:w="290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Contagem de títulos</w:t>
            </w:r>
          </w:p>
        </w:tc>
      </w:tr>
      <w:tr>
        <w:trPr>
          <w:cantSplit/>
        </w:trPr>
        <w:tc>
          <w:tcPr>
            <w:tcW w:w="7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A05</w:t>
            </w:r>
          </w:p>
        </w:tc>
        <w:tc>
          <w:tcPr>
            <w:tcW w:w="199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Shoppings e estações de metrô no entorno</w:t>
            </w:r>
          </w:p>
        </w:tc>
        <w:tc>
          <w:tcPr>
            <w:tcW w:w="163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Praça</w:t>
            </w:r>
          </w:p>
        </w:tc>
        <w:tc>
          <w:tcPr>
            <w:tcW w:w="181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Cinco forças</w:t>
            </w:r>
          </w:p>
        </w:tc>
        <w:tc>
          <w:tcPr>
            <w:tcW w:w="290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Contagem em 500 m e 1.000 m</w:t>
            </w:r>
          </w:p>
        </w:tc>
      </w:tr>
      <w:tr>
        <w:trPr>
          <w:cantSplit/>
        </w:trPr>
        <w:tc>
          <w:tcPr>
            <w:tcW w:w="7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A06</w:t>
            </w:r>
          </w:p>
        </w:tc>
        <w:tc>
          <w:tcPr>
            <w:tcW w:w="199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Itens oferecidos no cardápio</w:t>
            </w:r>
          </w:p>
        </w:tc>
        <w:tc>
          <w:tcPr>
            <w:tcW w:w="163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Variedade</w:t>
            </w:r>
          </w:p>
        </w:tc>
        <w:tc>
          <w:tcPr>
            <w:tcW w:w="181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Grade ERRC</w:t>
            </w:r>
          </w:p>
        </w:tc>
        <w:tc>
          <w:tcPr>
            <w:tcW w:w="290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Presença por categoria (bebidas, entradas, principais, sobremesas); contagem de itens; contagem de itens que exigem preparo</w:t>
            </w:r>
          </w:p>
        </w:tc>
      </w:tr>
      <w:tr>
        <w:trPr>
          <w:cantSplit/>
        </w:trPr>
        <w:tc>
          <w:tcPr>
            <w:tcW w:w="7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A07</w:t>
            </w:r>
          </w:p>
        </w:tc>
        <w:tc>
          <w:tcPr>
            <w:tcW w:w="199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Preço de cada item</w:t>
            </w:r>
          </w:p>
        </w:tc>
        <w:tc>
          <w:tcPr>
            <w:tcW w:w="163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Preço</w:t>
            </w:r>
          </w:p>
        </w:tc>
        <w:tc>
          <w:tcPr>
            <w:tcW w:w="181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Composto de marketing</w:t>
            </w:r>
          </w:p>
        </w:tc>
        <w:tc>
          <w:tcPr>
            <w:tcW w:w="290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R$</w:t>
            </w:r>
          </w:p>
        </w:tc>
      </w:tr>
      <w:tr>
        <w:trPr>
          <w:cantSplit/>
        </w:trPr>
        <w:tc>
          <w:tcPr>
            <w:tcW w:w="7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A08</w:t>
            </w:r>
          </w:p>
        </w:tc>
        <w:tc>
          <w:tcPr>
            <w:tcW w:w="199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Couvert ou taxa de jogo</w:t>
            </w:r>
          </w:p>
        </w:tc>
        <w:tc>
          <w:tcPr>
            <w:tcW w:w="163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Preço</w:t>
            </w:r>
          </w:p>
        </w:tc>
        <w:tc>
          <w:tcPr>
            <w:tcW w:w="181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Composto de marketing</w:t>
            </w:r>
          </w:p>
        </w:tc>
        <w:tc>
          <w:tcPr>
            <w:tcW w:w="290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R$</w:t>
            </w:r>
          </w:p>
        </w:tc>
      </w:tr>
      <w:tr>
        <w:trPr>
          <w:cantSplit/>
        </w:trPr>
        <w:tc>
          <w:tcPr>
            <w:tcW w:w="7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A09</w:t>
            </w:r>
          </w:p>
        </w:tc>
        <w:tc>
          <w:tcPr>
            <w:tcW w:w="199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Notas médias por aspecto (comida, ambiente, serviço)</w:t>
            </w:r>
          </w:p>
        </w:tc>
        <w:tc>
          <w:tcPr>
            <w:tcW w:w="163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Satisfação por atributo</w:t>
            </w:r>
          </w:p>
        </w:tc>
        <w:tc>
          <w:tcPr>
            <w:tcW w:w="181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Atributos obrigatórios e atrativos</w:t>
            </w:r>
          </w:p>
        </w:tc>
        <w:tc>
          <w:tcPr>
            <w:tcW w:w="290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Escala de 1 a 5, por aspecto</w:t>
            </w:r>
          </w:p>
        </w:tc>
      </w:tr>
      <w:tr>
        <w:trPr>
          <w:cantSplit/>
        </w:trPr>
        <w:tc>
          <w:tcPr>
            <w:tcW w:w="7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A10</w:t>
            </w:r>
          </w:p>
        </w:tc>
        <w:tc>
          <w:tcPr>
            <w:tcW w:w="199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Horário de funcionamento</w:t>
            </w:r>
          </w:p>
        </w:tc>
        <w:tc>
          <w:tcPr>
            <w:tcW w:w="163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Praça</w:t>
            </w:r>
          </w:p>
        </w:tc>
        <w:tc>
          <w:tcPr>
            <w:tcW w:w="181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Composto de marketing</w:t>
            </w:r>
          </w:p>
        </w:tc>
        <w:tc>
          <w:tcPr>
            <w:tcW w:w="290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Horas por semana; dias e horários</w:t>
            </w:r>
          </w:p>
        </w:tc>
      </w:tr>
      <w:tr>
        <w:trPr>
          <w:cantSplit/>
        </w:trPr>
        <w:tc>
          <w:tcPr>
            <w:tcW w:w="7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A11</w:t>
            </w:r>
          </w:p>
        </w:tc>
        <w:tc>
          <w:tcPr>
            <w:tcW w:w="199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Endereço e localização em shopping</w:t>
            </w:r>
          </w:p>
        </w:tc>
        <w:tc>
          <w:tcPr>
            <w:tcW w:w="163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Praça</w:t>
            </w:r>
          </w:p>
        </w:tc>
        <w:tc>
          <w:tcPr>
            <w:tcW w:w="181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Cinco forças</w:t>
            </w:r>
          </w:p>
        </w:tc>
        <w:tc>
          <w:tcPr>
            <w:tcW w:w="290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Metrópole e bairro; binária (shopping ou rua)</w:t>
            </w:r>
          </w:p>
        </w:tc>
      </w:tr>
      <w:tr>
        <w:trPr>
          <w:cantSplit/>
        </w:trPr>
        <w:tc>
          <w:tcPr>
            <w:tcW w:w="7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B01</w:t>
            </w:r>
          </w:p>
        </w:tc>
        <w:tc>
          <w:tcPr>
            <w:tcW w:w="199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Nota da avaliação</w:t>
            </w:r>
          </w:p>
        </w:tc>
        <w:tc>
          <w:tcPr>
            <w:tcW w:w="163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Satisfação</w:t>
            </w:r>
          </w:p>
        </w:tc>
        <w:tc>
          <w:tcPr>
            <w:tcW w:w="181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Atributos obrigatórios e atrativos</w:t>
            </w:r>
          </w:p>
        </w:tc>
        <w:tc>
          <w:tcPr>
            <w:tcW w:w="290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Escala de 1 a 5</w:t>
            </w:r>
          </w:p>
        </w:tc>
      </w:tr>
      <w:tr>
        <w:trPr>
          <w:cantSplit/>
        </w:trPr>
        <w:tc>
          <w:tcPr>
            <w:tcW w:w="7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B02</w:t>
            </w:r>
          </w:p>
        </w:tc>
        <w:tc>
          <w:tcPr>
            <w:tcW w:w="199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Aspectos mencionados</w:t>
            </w:r>
          </w:p>
        </w:tc>
        <w:tc>
          <w:tcPr>
            <w:tcW w:w="163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Atributos da experiência</w:t>
            </w:r>
          </w:p>
        </w:tc>
        <w:tc>
          <w:tcPr>
            <w:tcW w:w="181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Atributos obrigatórios e atrativos; análise de conteúdo</w:t>
            </w:r>
          </w:p>
        </w:tc>
        <w:tc>
          <w:tcPr>
            <w:tcW w:w="290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Binária por aspecto: ambiente, barulho, atendimento, explicação dos jogos, acervo, estado das peças, comida, bebida, preço, limpeza, conforto</w:t>
            </w:r>
          </w:p>
        </w:tc>
      </w:tr>
      <w:tr>
        <w:trPr>
          <w:cantSplit/>
        </w:trPr>
        <w:tc>
          <w:tcPr>
            <w:tcW w:w="7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B03</w:t>
            </w:r>
          </w:p>
        </w:tc>
        <w:tc>
          <w:tcPr>
            <w:tcW w:w="199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Polaridade de cada aspecto</w:t>
            </w:r>
          </w:p>
        </w:tc>
        <w:tc>
          <w:tcPr>
            <w:tcW w:w="163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Satisfação por atributo</w:t>
            </w:r>
          </w:p>
        </w:tc>
        <w:tc>
          <w:tcPr>
            <w:tcW w:w="181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Análise de conteúdo</w:t>
            </w:r>
          </w:p>
        </w:tc>
        <w:tc>
          <w:tcPr>
            <w:tcW w:w="290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Categórica: positiva, negativa, neutra</w:t>
            </w:r>
          </w:p>
        </w:tc>
      </w:tr>
      <w:tr>
        <w:trPr>
          <w:cantSplit/>
        </w:trPr>
        <w:tc>
          <w:tcPr>
            <w:tcW w:w="7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B04</w:t>
            </w:r>
          </w:p>
        </w:tc>
        <w:tc>
          <w:tcPr>
            <w:tcW w:w="199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Tamanho do grupo citado</w:t>
            </w:r>
          </w:p>
        </w:tc>
        <w:tc>
          <w:tcPr>
            <w:tcW w:w="163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Pessoas por mesa</w:t>
            </w:r>
          </w:p>
        </w:tc>
        <w:tc>
          <w:tcPr>
            <w:tcW w:w="181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Taxa de ocupação</w:t>
            </w:r>
          </w:p>
        </w:tc>
        <w:tc>
          <w:tcPr>
            <w:tcW w:w="290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Número de pessoas</w:t>
            </w:r>
          </w:p>
        </w:tc>
      </w:tr>
      <w:tr>
        <w:trPr>
          <w:cantSplit/>
        </w:trPr>
        <w:tc>
          <w:tcPr>
            <w:tcW w:w="7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B05</w:t>
            </w:r>
          </w:p>
        </w:tc>
        <w:tc>
          <w:tcPr>
            <w:tcW w:w="199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Valores em R$ citados</w:t>
            </w:r>
          </w:p>
        </w:tc>
        <w:tc>
          <w:tcPr>
            <w:tcW w:w="163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Ticket</w:t>
            </w:r>
          </w:p>
        </w:tc>
        <w:tc>
          <w:tcPr>
            <w:tcW w:w="181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Indicadores de viabilidade</w:t>
            </w:r>
          </w:p>
        </w:tc>
        <w:tc>
          <w:tcPr>
            <w:tcW w:w="290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R$; tipo: por pessoa, conta total, item</w:t>
            </w:r>
          </w:p>
        </w:tc>
      </w:tr>
      <w:tr>
        <w:trPr>
          <w:cantSplit/>
        </w:trPr>
        <w:tc>
          <w:tcPr>
            <w:tcW w:w="7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B06</w:t>
            </w:r>
          </w:p>
        </w:tc>
        <w:tc>
          <w:tcPr>
            <w:tcW w:w="199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Jogos citados</w:t>
            </w:r>
          </w:p>
        </w:tc>
        <w:tc>
          <w:tcPr>
            <w:tcW w:w="163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Acervo</w:t>
            </w:r>
          </w:p>
        </w:tc>
        <w:tc>
          <w:tcPr>
            <w:tcW w:w="181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Público hobbyista × casual</w:t>
            </w:r>
          </w:p>
        </w:tc>
        <w:tc>
          <w:tcPr>
            <w:tcW w:w="290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Binária por jogo</w:t>
            </w:r>
          </w:p>
        </w:tc>
      </w:tr>
      <w:tr>
        <w:trPr>
          <w:cantSplit/>
        </w:trPr>
        <w:tc>
          <w:tcPr>
            <w:tcW w:w="7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B07</w:t>
            </w:r>
          </w:p>
        </w:tc>
        <w:tc>
          <w:tcPr>
            <w:tcW w:w="199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Data relativa e data da coleta</w:t>
            </w:r>
          </w:p>
        </w:tc>
        <w:tc>
          <w:tcPr>
            <w:tcW w:w="163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Velocidade de avaliações</w:t>
            </w:r>
          </w:p>
        </w:tc>
        <w:tc>
          <w:tcPr>
            <w:tcW w:w="181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Velocidade de avaliações</w:t>
            </w:r>
          </w:p>
        </w:tc>
        <w:tc>
          <w:tcPr>
            <w:tcW w:w="290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Avaliações com texto por mês</w:t>
            </w:r>
          </w:p>
        </w:tc>
      </w:tr>
      <w:tr>
        <w:trPr>
          <w:cantSplit/>
        </w:trPr>
        <w:tc>
          <w:tcPr>
            <w:tcW w:w="7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D01</w:t>
            </w:r>
          </w:p>
        </w:tc>
        <w:tc>
          <w:tcPr>
            <w:tcW w:w="199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Entrada e saída de cada grupo</w:t>
            </w:r>
          </w:p>
        </w:tc>
        <w:tc>
          <w:tcPr>
            <w:tcW w:w="163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Fluxo; permanência</w:t>
            </w:r>
          </w:p>
        </w:tc>
        <w:tc>
          <w:tcPr>
            <w:tcW w:w="181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Taxa de ocupação; giro de mesa</w:t>
            </w:r>
          </w:p>
        </w:tc>
        <w:tc>
          <w:tcPr>
            <w:tcW w:w="290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Horário; pessoas; observação censurada sinalizada</w:t>
            </w:r>
          </w:p>
        </w:tc>
      </w:tr>
      <w:tr>
        <w:trPr>
          <w:cantSplit/>
        </w:trPr>
        <w:tc>
          <w:tcPr>
            <w:tcW w:w="7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D02</w:t>
            </w:r>
          </w:p>
        </w:tc>
        <w:tc>
          <w:tcPr>
            <w:tcW w:w="199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Saldo de pessoas no interior</w:t>
            </w:r>
          </w:p>
        </w:tc>
        <w:tc>
          <w:tcPr>
            <w:tcW w:w="163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Taxa de ocupação</w:t>
            </w:r>
          </w:p>
        </w:tc>
        <w:tc>
          <w:tcPr>
            <w:tcW w:w="181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Taxa de ocupação</w:t>
            </w:r>
          </w:p>
        </w:tc>
        <w:tc>
          <w:tcPr>
            <w:tcW w:w="290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Contagem a cada 30 minutos</w:t>
            </w:r>
          </w:p>
        </w:tc>
      </w:tr>
      <w:tr>
        <w:trPr>
          <w:cantSplit/>
        </w:trPr>
        <w:tc>
          <w:tcPr>
            <w:tcW w:w="7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D03</w:t>
            </w:r>
          </w:p>
        </w:tc>
        <w:tc>
          <w:tcPr>
            <w:tcW w:w="199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Tamanho de cada grupo</w:t>
            </w:r>
          </w:p>
        </w:tc>
        <w:tc>
          <w:tcPr>
            <w:tcW w:w="163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Pessoas por mesa</w:t>
            </w:r>
          </w:p>
        </w:tc>
        <w:tc>
          <w:tcPr>
            <w:tcW w:w="181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Taxa de ocupação</w:t>
            </w:r>
          </w:p>
        </w:tc>
        <w:tc>
          <w:tcPr>
            <w:tcW w:w="290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Número de pessoas</w:t>
            </w:r>
          </w:p>
        </w:tc>
      </w:tr>
      <w:tr>
        <w:trPr>
          <w:cantSplit/>
        </w:trPr>
        <w:tc>
          <w:tcPr>
            <w:tcW w:w="7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D04</w:t>
            </w:r>
          </w:p>
        </w:tc>
        <w:tc>
          <w:tcPr>
            <w:tcW w:w="199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Mesas disponíveis e ocupadas visíveis</w:t>
            </w:r>
          </w:p>
        </w:tc>
        <w:tc>
          <w:tcPr>
            <w:tcW w:w="163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Capacidade; ocupação</w:t>
            </w:r>
          </w:p>
        </w:tc>
        <w:tc>
          <w:tcPr>
            <w:tcW w:w="181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Taxa de ocupação</w:t>
            </w:r>
          </w:p>
        </w:tc>
        <w:tc>
          <w:tcPr>
            <w:tcW w:w="290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Contagem única (disponíveis); a cada 30 minutos (ocupadas, quando visíveis)</w:t>
            </w:r>
          </w:p>
        </w:tc>
      </w:tr>
      <w:tr>
        <w:trPr>
          <w:cantSplit/>
        </w:trPr>
        <w:tc>
          <w:tcPr>
            <w:tcW w:w="7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D05</w:t>
            </w:r>
          </w:p>
        </w:tc>
        <w:tc>
          <w:tcPr>
            <w:tcW w:w="199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Número da NFC-e no início e no fim da visita</w:t>
            </w:r>
          </w:p>
        </w:tc>
        <w:tc>
          <w:tcPr>
            <w:tcW w:w="163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Transações</w:t>
            </w:r>
          </w:p>
        </w:tc>
        <w:tc>
          <w:tcPr>
            <w:tcW w:w="181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Taxa de ocupação</w:t>
            </w:r>
          </w:p>
        </w:tc>
        <w:tc>
          <w:tcPr>
            <w:tcW w:w="290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Número sequencial; notas por dia e pessoas por nota</w:t>
            </w:r>
          </w:p>
        </w:tc>
      </w:tr>
      <w:tr>
        <w:trPr>
          <w:cantSplit/>
        </w:trPr>
        <w:tc>
          <w:tcPr>
            <w:tcW w:w="7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D06</w:t>
            </w:r>
          </w:p>
        </w:tc>
        <w:tc>
          <w:tcPr>
            <w:tcW w:w="199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Unidade, data, tipo de visita, início e fim</w:t>
            </w:r>
          </w:p>
        </w:tc>
        <w:tc>
          <w:tcPr>
            <w:tcW w:w="163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Estrato da visita</w:t>
            </w:r>
          </w:p>
        </w:tc>
        <w:tc>
          <w:tcPr>
            <w:tcW w:w="181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Taxa de ocupação</w:t>
            </w:r>
          </w:p>
        </w:tc>
        <w:tc>
          <w:tcPr>
            <w:tcW w:w="290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Categórica; horário</w:t>
            </w:r>
          </w:p>
        </w:tc>
      </w:tr>
      <w:tr>
        <w:trPr>
          <w:cantSplit/>
        </w:trPr>
        <w:tc>
          <w:tcPr>
            <w:tcW w:w="7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D07</w:t>
            </w:r>
          </w:p>
        </w:tc>
        <w:tc>
          <w:tcPr>
            <w:tcW w:w="199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Cobrança e preços aplicados na data</w:t>
            </w:r>
          </w:p>
        </w:tc>
        <w:tc>
          <w:tcPr>
            <w:tcW w:w="163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Preço efetivo</w:t>
            </w:r>
          </w:p>
        </w:tc>
        <w:tc>
          <w:tcPr>
            <w:tcW w:w="181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Composto de marketing</w:t>
            </w:r>
          </w:p>
        </w:tc>
        <w:tc>
          <w:tcPr>
            <w:tcW w:w="290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R$</w:t>
            </w:r>
          </w:p>
        </w:tc>
      </w:tr>
      <w:tr>
        <w:trPr>
          <w:cantSplit/>
        </w:trPr>
        <w:tc>
          <w:tcPr>
            <w:tcW w:w="7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E01</w:t>
            </w:r>
          </w:p>
        </w:tc>
        <w:tc>
          <w:tcPr>
            <w:tcW w:w="199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População por bairro de Salvador e por município</w:t>
            </w:r>
          </w:p>
        </w:tc>
        <w:tc>
          <w:tcPr>
            <w:tcW w:w="163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Tamanho do mercado</w:t>
            </w:r>
          </w:p>
        </w:tc>
        <w:tc>
          <w:tcPr>
            <w:tcW w:w="181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Estudo de viabilidade econômica</w:t>
            </w:r>
          </w:p>
        </w:tc>
        <w:tc>
          <w:tcPr>
            <w:tcW w:w="290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Pessoas</w:t>
            </w:r>
          </w:p>
        </w:tc>
      </w:tr>
      <w:tr>
        <w:trPr>
          <w:cantSplit/>
        </w:trPr>
        <w:tc>
          <w:tcPr>
            <w:tcW w:w="7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E02</w:t>
            </w:r>
          </w:p>
        </w:tc>
        <w:tc>
          <w:tcPr>
            <w:tcW w:w="199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Renda média</w:t>
            </w:r>
          </w:p>
        </w:tc>
        <w:tc>
          <w:tcPr>
            <w:tcW w:w="163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Poder de compra</w:t>
            </w:r>
          </w:p>
        </w:tc>
        <w:tc>
          <w:tcPr>
            <w:tcW w:w="181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Estudo de viabilidade econômica</w:t>
            </w:r>
          </w:p>
        </w:tc>
        <w:tc>
          <w:tcPr>
            <w:tcW w:w="290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R$ por mês</w:t>
            </w:r>
          </w:p>
        </w:tc>
      </w:tr>
      <w:tr>
        <w:trPr>
          <w:cantSplit/>
        </w:trPr>
        <w:tc>
          <w:tcPr>
            <w:tcW w:w="7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E03</w:t>
            </w:r>
          </w:p>
        </w:tc>
        <w:tc>
          <w:tcPr>
            <w:tcW w:w="199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Gasto com alimentação fora de casa e recreação</w:t>
            </w:r>
          </w:p>
        </w:tc>
        <w:tc>
          <w:tcPr>
            <w:tcW w:w="163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Ticket potencial</w:t>
            </w:r>
          </w:p>
        </w:tc>
        <w:tc>
          <w:tcPr>
            <w:tcW w:w="181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Indicadores de viabilidade</w:t>
            </w:r>
          </w:p>
        </w:tc>
        <w:tc>
          <w:tcPr>
            <w:tcW w:w="290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R$ por mês por família</w:t>
            </w:r>
          </w:p>
        </w:tc>
      </w:tr>
      <w:tr>
        <w:trPr>
          <w:cantSplit/>
        </w:trPr>
        <w:tc>
          <w:tcPr>
            <w:tcW w:w="7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E04</w:t>
            </w:r>
          </w:p>
        </w:tc>
        <w:tc>
          <w:tcPr>
            <w:tcW w:w="199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Receita, custos e pessoal em serviços de alimentação</w:t>
            </w:r>
          </w:p>
        </w:tc>
        <w:tc>
          <w:tcPr>
            <w:tcW w:w="163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Benchmark setorial</w:t>
            </w:r>
          </w:p>
        </w:tc>
        <w:tc>
          <w:tcPr>
            <w:tcW w:w="181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Indicadores de viabilidade</w:t>
            </w:r>
          </w:p>
        </w:tc>
        <w:tc>
          <w:tcPr>
            <w:tcW w:w="290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R$; pessoas</w:t>
            </w:r>
          </w:p>
        </w:tc>
      </w:tr>
      <w:tr>
        <w:trPr>
          <w:cantSplit/>
        </w:trPr>
        <w:tc>
          <w:tcPr>
            <w:tcW w:w="7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E05</w:t>
            </w:r>
          </w:p>
        </w:tc>
        <w:tc>
          <w:tcPr>
            <w:tcW w:w="199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Remuneração média por ocupação</w:t>
            </w:r>
          </w:p>
        </w:tc>
        <w:tc>
          <w:tcPr>
            <w:tcW w:w="163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Custo de pessoal</w:t>
            </w:r>
          </w:p>
        </w:tc>
        <w:tc>
          <w:tcPr>
            <w:tcW w:w="181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Indicadores de viabilidade</w:t>
            </w:r>
          </w:p>
        </w:tc>
        <w:tc>
          <w:tcPr>
            <w:tcW w:w="290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R$ por mês</w:t>
            </w:r>
          </w:p>
        </w:tc>
      </w:tr>
      <w:tr>
        <w:trPr>
          <w:cantSplit/>
        </w:trPr>
        <w:tc>
          <w:tcPr>
            <w:tcW w:w="7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E06</w:t>
            </w:r>
          </w:p>
        </w:tc>
        <w:tc>
          <w:tcPr>
            <w:tcW w:w="199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Aluguel comercial</w:t>
            </w:r>
          </w:p>
        </w:tc>
        <w:tc>
          <w:tcPr>
            <w:tcW w:w="163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Custo fixo</w:t>
            </w:r>
          </w:p>
        </w:tc>
        <w:tc>
          <w:tcPr>
            <w:tcW w:w="181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Indicadores de viabilidade</w:t>
            </w:r>
          </w:p>
        </w:tc>
        <w:tc>
          <w:tcPr>
            <w:tcW w:w="290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R$/m² por mês</w:t>
            </w:r>
          </w:p>
        </w:tc>
      </w:tr>
      <w:tr>
        <w:trPr>
          <w:cantSplit/>
        </w:trPr>
        <w:tc>
          <w:tcPr>
            <w:tcW w:w="7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E07</w:t>
            </w:r>
          </w:p>
        </w:tc>
        <w:tc>
          <w:tcPr>
            <w:tcW w:w="199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Alíquotas do Simples Nacional e CNAE</w:t>
            </w:r>
          </w:p>
        </w:tc>
        <w:tc>
          <w:tcPr>
            <w:tcW w:w="163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Tributos</w:t>
            </w:r>
          </w:p>
        </w:tc>
        <w:tc>
          <w:tcPr>
            <w:tcW w:w="181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Indicadores de viabilidade</w:t>
            </w:r>
          </w:p>
        </w:tc>
        <w:tc>
          <w:tcPr>
            <w:tcW w:w="290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% da receita; código</w:t>
            </w:r>
          </w:p>
        </w:tc>
      </w:tr>
      <w:tr>
        <w:trPr>
          <w:cantSplit/>
        </w:trPr>
        <w:tc>
          <w:tcPr>
            <w:tcW w:w="7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E08</w:t>
            </w:r>
          </w:p>
        </w:tc>
        <w:tc>
          <w:tcPr>
            <w:tcW w:w="199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Selic e IPCA projetados</w:t>
            </w:r>
          </w:p>
        </w:tc>
        <w:tc>
          <w:tcPr>
            <w:tcW w:w="163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Taxa de desconto e inflação</w:t>
            </w:r>
          </w:p>
        </w:tc>
        <w:tc>
          <w:tcPr>
            <w:tcW w:w="181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Indicadores de viabilidade</w:t>
            </w:r>
          </w:p>
        </w:tc>
        <w:tc>
          <w:tcPr>
            <w:tcW w:w="290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% ao ano</w:t>
            </w:r>
          </w:p>
        </w:tc>
      </w:tr>
      <w:tr>
        <w:trPr>
          <w:cantSplit/>
        </w:trPr>
        <w:tc>
          <w:tcPr>
            <w:tcW w:w="7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F01</w:t>
            </w:r>
          </w:p>
        </w:tc>
        <w:tc>
          <w:tcPr>
            <w:tcW w:w="199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Contadores de usuário (qt_tem, qt_teve, qt_quer, qt_favorito)</w:t>
            </w:r>
          </w:p>
        </w:tc>
        <w:tc>
          <w:tcPr>
            <w:tcW w:w="163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Engajamento do jogo</w:t>
            </w:r>
          </w:p>
        </w:tc>
        <w:tc>
          <w:tcPr>
            <w:tcW w:w="181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Público hobbyista × casual</w:t>
            </w:r>
          </w:p>
        </w:tc>
        <w:tc>
          <w:tcPr>
            <w:tcW w:w="290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Contagem; taxas derivadas</w:t>
            </w:r>
          </w:p>
        </w:tc>
      </w:tr>
      <w:tr>
        <w:trPr>
          <w:cantSplit/>
        </w:trPr>
        <w:tc>
          <w:tcPr>
            <w:tcW w:w="7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F02</w:t>
            </w:r>
          </w:p>
        </w:tc>
        <w:tc>
          <w:tcPr>
            <w:tcW w:w="199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Duração, idade mínima, número de jogadores, mecânicas</w:t>
            </w:r>
          </w:p>
        </w:tc>
        <w:tc>
          <w:tcPr>
            <w:tcW w:w="163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Perfil do jogo</w:t>
            </w:r>
          </w:p>
        </w:tc>
        <w:tc>
          <w:tcPr>
            <w:tcW w:w="181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Público hobbyista × casual</w:t>
            </w:r>
          </w:p>
        </w:tc>
        <w:tc>
          <w:tcPr>
            <w:tcW w:w="290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Minutos; anos; contagem; categórica</w:t>
            </w:r>
          </w:p>
        </w:tc>
      </w:tr>
    </w:tbl>
    <w:p>
      <w:pPr>
        <w:pStyle w:val="Normal"/>
        <w:keepNext w:val="false"/>
        <w:spacing w:lineRule="auto" w:line="240" w:before="0" w:after="240"/>
        <w:jc w:val="start"/>
        <w:rPr/>
      </w:pPr>
      <w:r>
        <w:rPr>
          <w:rFonts w:eastAsia="Arial" w:cs="Arial"/>
          <w:sz w:val="20"/>
          <w:szCs w:val="20"/>
        </w:rPr>
        <w:t>Fonte: elaborado pelo próprio autor</w:t>
      </w:r>
    </w:p>
    <w:p>
      <w:pPr>
        <w:pStyle w:val="Heading1"/>
        <w:keepNext w:val="true"/>
        <w:spacing w:lineRule="auto" w:line="360" w:before="360" w:after="240"/>
        <w:rPr/>
      </w:pPr>
      <w:r>
        <w:rPr>
          <w:rFonts w:eastAsia="Arial" w:cs="Arial"/>
          <w:b/>
          <w:bCs/>
          <w:sz w:val="24"/>
          <w:szCs w:val="24"/>
        </w:rPr>
        <w:t>5 MODELO DE ANÁLISE</w:t>
      </w:r>
    </w:p>
    <w:p>
      <w:pPr>
        <w:pStyle w:val="Normal"/>
        <w:keepNext w:val="true"/>
        <w:spacing w:lineRule="auto" w:line="240" w:before="240" w:after="0"/>
        <w:jc w:val="start"/>
        <w:rPr/>
      </w:pPr>
      <w:r>
        <w:rPr>
          <w:rFonts w:eastAsia="Arial" w:cs="Arial"/>
          <w:b/>
          <w:bCs/>
          <w:sz w:val="20"/>
          <w:szCs w:val="20"/>
        </w:rPr>
        <w:t>Quadro 04 -</w:t>
      </w:r>
      <w:r>
        <w:rPr>
          <w:rFonts w:eastAsia="Arial" w:cs="Arial"/>
          <w:sz w:val="20"/>
          <w:szCs w:val="20"/>
        </w:rPr>
        <w:t xml:space="preserve"> Modelo de análise</w:t>
      </w:r>
    </w:p>
    <w:tbl>
      <w:tblPr>
        <w:tblW w:w="9071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2357"/>
        <w:gridCol w:w="1633"/>
        <w:gridCol w:w="3264"/>
        <w:gridCol w:w="1817"/>
      </w:tblGrid>
      <w:tr>
        <w:trPr>
          <w:tblHeader w:val="true"/>
          <w:cantSplit/>
        </w:trPr>
        <w:tc>
          <w:tcPr>
            <w:tcW w:w="235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Objetivo específico</w:t>
            </w:r>
          </w:p>
        </w:tc>
        <w:tc>
          <w:tcPr>
            <w:tcW w:w="163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Dimensão</w:t>
            </w:r>
          </w:p>
        </w:tc>
        <w:tc>
          <w:tcPr>
            <w:tcW w:w="32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Variáveis ou categorias</w:t>
            </w:r>
          </w:p>
        </w:tc>
        <w:tc>
          <w:tcPr>
            <w:tcW w:w="181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Itens</w:t>
            </w:r>
          </w:p>
        </w:tc>
      </w:tr>
      <w:tr>
        <w:trPr>
          <w:cantSplit/>
        </w:trPr>
        <w:tc>
          <w:tcPr>
            <w:tcW w:w="235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1. Analisar o mercado e a concorrência</w:t>
            </w:r>
          </w:p>
        </w:tc>
        <w:tc>
          <w:tcPr>
            <w:tcW w:w="163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Concorrência; praça</w:t>
            </w:r>
          </w:p>
        </w:tc>
        <w:tc>
          <w:tcPr>
            <w:tcW w:w="32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Desempenho percebido; porte; preço; produto; variedade; entorno; tipo de ponto; horário; tamanho do mercado</w:t>
            </w:r>
          </w:p>
        </w:tc>
        <w:tc>
          <w:tcPr>
            <w:tcW w:w="181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A01-A11, E01, E02</w:t>
            </w:r>
          </w:p>
        </w:tc>
      </w:tr>
      <w:tr>
        <w:trPr>
          <w:cantSplit/>
        </w:trPr>
        <w:tc>
          <w:tcPr>
            <w:tcW w:w="235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2. Definir posicionamento e composto de marketing</w:t>
            </w:r>
          </w:p>
        </w:tc>
        <w:tc>
          <w:tcPr>
            <w:tcW w:w="163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Posicionamento; produto; preço</w:t>
            </w:r>
          </w:p>
        </w:tc>
        <w:tc>
          <w:tcPr>
            <w:tcW w:w="32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Atributos da experiência; satisfação por atributo; preço; variedade; acervo</w:t>
            </w:r>
          </w:p>
        </w:tc>
        <w:tc>
          <w:tcPr>
            <w:tcW w:w="181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A03, A06-A09, B01-B03, B06, F01-F02</w:t>
            </w:r>
          </w:p>
        </w:tc>
      </w:tr>
      <w:tr>
        <w:trPr>
          <w:cantSplit/>
        </w:trPr>
        <w:tc>
          <w:tcPr>
            <w:tcW w:w="235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3. Estimar demanda, ocupação e giro</w:t>
            </w:r>
          </w:p>
        </w:tc>
        <w:tc>
          <w:tcPr>
            <w:tcW w:w="163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Demanda</w:t>
            </w:r>
          </w:p>
        </w:tc>
        <w:tc>
          <w:tcPr>
            <w:tcW w:w="32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Taxa de ocupação; transações; permanência; pessoas por mesa; velocidade de avaliações; tamanho do mercado</w:t>
            </w:r>
          </w:p>
        </w:tc>
        <w:tc>
          <w:tcPr>
            <w:tcW w:w="181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B04, B07, D01-D06, E01</w:t>
            </w:r>
          </w:p>
        </w:tc>
      </w:tr>
      <w:tr>
        <w:trPr>
          <w:cantSplit/>
        </w:trPr>
        <w:tc>
          <w:tcPr>
            <w:tcW w:w="235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4. Dimensionar operação e requisitos jurídicos</w:t>
            </w:r>
          </w:p>
        </w:tc>
        <w:tc>
          <w:tcPr>
            <w:tcW w:w="163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Operação; aspectos legais</w:t>
            </w:r>
          </w:p>
        </w:tc>
        <w:tc>
          <w:tcPr>
            <w:tcW w:w="32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Reclamações operacionais; capacidade; custo de pessoal; tributos</w:t>
            </w:r>
          </w:p>
        </w:tc>
        <w:tc>
          <w:tcPr>
            <w:tcW w:w="181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B02-B03, D01, D03-D04, E05, E07</w:t>
            </w:r>
          </w:p>
        </w:tc>
      </w:tr>
      <w:tr>
        <w:trPr>
          <w:cantSplit/>
        </w:trPr>
        <w:tc>
          <w:tcPr>
            <w:tcW w:w="235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5. Projetar investimentos, receitas, custos e indicadores</w:t>
            </w:r>
          </w:p>
        </w:tc>
        <w:tc>
          <w:tcPr>
            <w:tcW w:w="163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Viabilidade econômico-financeira</w:t>
            </w:r>
          </w:p>
        </w:tc>
        <w:tc>
          <w:tcPr>
            <w:tcW w:w="32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Ticket; preço efetivo; custos; benchmark setorial; taxa de desconto</w:t>
            </w:r>
          </w:p>
        </w:tc>
        <w:tc>
          <w:tcPr>
            <w:tcW w:w="181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A07-A08, B05, D07, E03-E08</w:t>
            </w:r>
          </w:p>
        </w:tc>
      </w:tr>
      <w:tr>
        <w:trPr>
          <w:cantSplit/>
        </w:trPr>
        <w:tc>
          <w:tcPr>
            <w:tcW w:w="235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6. Identificar premissas críticas e pontos de ruptura</w:t>
            </w:r>
          </w:p>
        </w:tc>
        <w:tc>
          <w:tcPr>
            <w:tcW w:w="163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Risco das premissas</w:t>
            </w:r>
          </w:p>
        </w:tc>
        <w:tc>
          <w:tcPr>
            <w:tcW w:w="32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Premissas do modelo financeiro com faixas e nível de evidência</w:t>
            </w:r>
          </w:p>
        </w:tc>
        <w:tc>
          <w:tcPr>
            <w:tcW w:w="181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Todos os itens que alimentam premissas</w:t>
            </w:r>
          </w:p>
        </w:tc>
      </w:tr>
      <w:tr>
        <w:trPr>
          <w:cantSplit/>
        </w:trPr>
        <w:tc>
          <w:tcPr>
            <w:tcW w:w="235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7. Propor contingência e validações</w:t>
            </w:r>
          </w:p>
        </w:tc>
        <w:tc>
          <w:tcPr>
            <w:tcW w:w="163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Risco do negócio</w:t>
            </w:r>
          </w:p>
        </w:tc>
        <w:tc>
          <w:tcPr>
            <w:tcW w:w="32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Premissas críticas; limitações da evidência</w:t>
            </w:r>
          </w:p>
        </w:tc>
        <w:tc>
          <w:tcPr>
            <w:tcW w:w="181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Saídas do objetivo 6</w:t>
            </w:r>
          </w:p>
        </w:tc>
      </w:tr>
    </w:tbl>
    <w:p>
      <w:pPr>
        <w:pStyle w:val="Normal"/>
        <w:keepNext w:val="false"/>
        <w:spacing w:lineRule="auto" w:line="240" w:before="0" w:after="240"/>
        <w:jc w:val="start"/>
        <w:rPr/>
      </w:pPr>
      <w:r>
        <w:rPr>
          <w:rFonts w:eastAsia="Arial" w:cs="Arial"/>
          <w:sz w:val="20"/>
          <w:szCs w:val="20"/>
        </w:rPr>
        <w:t>Fonte: elaborado pelo próprio autor</w:t>
      </w:r>
    </w:p>
    <w:p>
      <w:pPr>
        <w:pStyle w:val="Heading1"/>
        <w:keepNext w:val="true"/>
        <w:spacing w:lineRule="auto" w:line="360" w:before="360" w:after="240"/>
        <w:rPr/>
      </w:pPr>
      <w:r>
        <w:rPr>
          <w:rFonts w:eastAsia="Arial" w:cs="Arial"/>
          <w:b/>
          <w:bCs/>
          <w:sz w:val="24"/>
          <w:szCs w:val="24"/>
        </w:rPr>
        <w:t>6 TÉCNICAS DE ANÁLISE</w:t>
      </w:r>
    </w:p>
    <w:p>
      <w:pPr>
        <w:pStyle w:val="Normal"/>
        <w:keepNext w:val="true"/>
        <w:spacing w:lineRule="auto" w:line="240" w:before="240" w:after="0"/>
        <w:jc w:val="start"/>
        <w:rPr/>
      </w:pPr>
      <w:r>
        <w:rPr>
          <w:rFonts w:eastAsia="Arial" w:cs="Arial"/>
          <w:b/>
          <w:bCs/>
          <w:sz w:val="20"/>
          <w:szCs w:val="20"/>
        </w:rPr>
        <w:t>Quadro 05 -</w:t>
      </w:r>
      <w:r>
        <w:rPr>
          <w:rFonts w:eastAsia="Arial" w:cs="Arial"/>
          <w:sz w:val="20"/>
          <w:szCs w:val="20"/>
        </w:rPr>
        <w:t xml:space="preserve"> Técnicas de análise por objetivo</w:t>
      </w:r>
    </w:p>
    <w:tbl>
      <w:tblPr>
        <w:tblW w:w="9071" w:type="dxa"/>
        <w:jc w:val="start"/>
        <w:tblInd w:w="0" w:type="dxa"/>
        <w:tblLayout w:type="fixed"/>
        <w:tblCellMar>
          <w:top w:w="40" w:type="dxa"/>
          <w:start w:w="80" w:type="dxa"/>
          <w:bottom w:w="40" w:type="dxa"/>
          <w:end w:w="80" w:type="dxa"/>
        </w:tblCellMar>
      </w:tblPr>
      <w:tblGrid>
        <w:gridCol w:w="2357"/>
        <w:gridCol w:w="6714"/>
      </w:tblGrid>
      <w:tr>
        <w:trPr>
          <w:tblHeader w:val="true"/>
          <w:cantSplit/>
        </w:trPr>
        <w:tc>
          <w:tcPr>
            <w:tcW w:w="235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Objetivo específico</w:t>
            </w:r>
          </w:p>
        </w:tc>
        <w:tc>
          <w:tcPr>
            <w:tcW w:w="67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Arial" w:cs="Arial"/>
                <w:b/>
                <w:bCs/>
                <w:sz w:val="20"/>
                <w:szCs w:val="20"/>
              </w:rPr>
              <w:t>Técnicas</w:t>
            </w:r>
          </w:p>
        </w:tc>
      </w:tr>
      <w:tr>
        <w:trPr>
          <w:cantSplit/>
        </w:trPr>
        <w:tc>
          <w:tcPr>
            <w:tcW w:w="235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1</w:t>
            </w:r>
          </w:p>
        </w:tc>
        <w:tc>
          <w:tcPr>
            <w:tcW w:w="67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Estatística descritiva por metrópole, com Salvador em destaque; comparação de cardápios (preço, variedade e itens); mapa de concorrentes; Cinco Forças; PESTEL</w:t>
            </w:r>
          </w:p>
        </w:tc>
      </w:tr>
      <w:tr>
        <w:trPr>
          <w:cantSplit/>
        </w:trPr>
        <w:tc>
          <w:tcPr>
            <w:tcW w:w="235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2</w:t>
            </w:r>
          </w:p>
        </w:tc>
        <w:tc>
          <w:tcPr>
            <w:tcW w:w="67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Análise de conteúdo com dicionário validado (kappa e F1); análise de penalidade e recompensa; regressão da nota com efeito fixo por estabelecimento (H1); comparação da proporção de reclamações de preço entre políticas de cobrança (H3); grade ERRC</w:t>
            </w:r>
          </w:p>
        </w:tc>
      </w:tr>
      <w:tr>
        <w:trPr>
          <w:cantSplit/>
        </w:trPr>
        <w:tc>
          <w:tcPr>
            <w:tcW w:w="235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3</w:t>
            </w:r>
          </w:p>
        </w:tc>
        <w:tc>
          <w:tcPr>
            <w:tcW w:w="67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Pessoas por hora e permanência; notas fiscais emitidas em 15 dias × pessoas por nota; modelo de calibração (visitantes estimados na São Jogue ÷ velocidade de avaliações → fluxo dos demais concorrentes); resultados em faixa</w:t>
            </w:r>
          </w:p>
        </w:tc>
      </w:tr>
      <w:tr>
        <w:trPr>
          <w:cantSplit/>
        </w:trPr>
        <w:tc>
          <w:tcPr>
            <w:tcW w:w="235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4</w:t>
            </w:r>
          </w:p>
        </w:tc>
        <w:tc>
          <w:tcPr>
            <w:tcW w:w="67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Ranking de reclamações com intervalo de confiança; dimensionamento de mesas e equipe; levantamento documental da legislação</w:t>
            </w:r>
          </w:p>
        </w:tc>
      </w:tr>
      <w:tr>
        <w:trPr>
          <w:cantSplit/>
        </w:trPr>
        <w:tc>
          <w:tcPr>
            <w:tcW w:w="235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5</w:t>
            </w:r>
          </w:p>
        </w:tc>
        <w:tc>
          <w:tcPr>
            <w:tcW w:w="67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Cesta de consumo por pessoa calibrada pelos valores citados (H5) e checada contra a POF; árvore de direcionadores; registro de premissas com faixas; DRE e fluxo de caixa projetados; VPL, TIR, payback descontado e ponto de equilíbrio</w:t>
            </w:r>
          </w:p>
        </w:tc>
      </w:tr>
      <w:tr>
        <w:trPr>
          <w:cantSplit/>
        </w:trPr>
        <w:tc>
          <w:tcPr>
            <w:tcW w:w="235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6</w:t>
            </w:r>
          </w:p>
        </w:tc>
        <w:tc>
          <w:tcPr>
            <w:tcW w:w="67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Análise de sensibilidade (gráfico tornado); ponto de ruptura; simulação de Monte Carlo (opcional)</w:t>
            </w:r>
          </w:p>
        </w:tc>
      </w:tr>
      <w:tr>
        <w:trPr>
          <w:cantSplit/>
        </w:trPr>
        <w:tc>
          <w:tcPr>
            <w:tcW w:w="235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7</w:t>
            </w:r>
          </w:p>
        </w:tc>
        <w:tc>
          <w:tcPr>
            <w:tcW w:w="67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color="auto" w:fill="FFFFFF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Arial" w:cs="Arial"/>
                <w:b w:val="false"/>
                <w:bCs w:val="false"/>
                <w:sz w:val="20"/>
                <w:szCs w:val="20"/>
              </w:rPr>
              <w:t>Matriz SWOT; cenários pessimista, provável e otimista; matriz de riscos</w:t>
            </w:r>
          </w:p>
        </w:tc>
      </w:tr>
    </w:tbl>
    <w:p>
      <w:pPr>
        <w:pStyle w:val="Normal"/>
        <w:keepNext w:val="false"/>
        <w:spacing w:lineRule="auto" w:line="240" w:before="0" w:after="240"/>
        <w:jc w:val="start"/>
        <w:rPr/>
      </w:pPr>
      <w:r>
        <w:rPr>
          <w:rFonts w:eastAsia="Arial" w:cs="Arial"/>
          <w:sz w:val="20"/>
          <w:szCs w:val="20"/>
        </w:rPr>
        <w:t>Fonte: elaborado pelo próprio autor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Arial" w:cs="Arial"/>
          <w:sz w:val="24"/>
          <w:szCs w:val="24"/>
        </w:rPr>
        <w:t>Controles aplicados a todos os testes: registro prévio com divisão da base em metade exploratória e confirmatória; correção de Benjamini-Hochberg; tamanho de efeito junto ao valor-p; análise de sensibilidade com e sem os estabelecimentos de maior volume.</w:t>
      </w:r>
    </w:p>
    <w:p>
      <w:pPr>
        <w:pStyle w:val="Heading1"/>
        <w:keepNext w:val="true"/>
        <w:spacing w:lineRule="auto" w:line="360" w:before="360" w:after="240"/>
        <w:rPr/>
      </w:pPr>
      <w:r>
        <w:rPr>
          <w:rFonts w:eastAsia="Arial" w:cs="Arial"/>
          <w:b/>
          <w:bCs/>
          <w:sz w:val="24"/>
          <w:szCs w:val="24"/>
        </w:rPr>
        <w:t>7 CONTRIBUIÇÕES ESPERADAS</w:t>
      </w:r>
    </w:p>
    <w:p>
      <w:pPr>
        <w:pStyle w:val="Heading2"/>
        <w:keepNext w:val="true"/>
        <w:spacing w:lineRule="auto" w:line="360" w:before="240" w:after="120"/>
        <w:rPr/>
      </w:pPr>
      <w:r>
        <w:rPr>
          <w:rFonts w:eastAsia="Arial" w:cs="Arial"/>
          <w:b/>
          <w:bCs/>
          <w:sz w:val="24"/>
          <w:szCs w:val="24"/>
        </w:rPr>
        <w:t>7.1 Contribuições acadêmicas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Arial" w:cs="Arial"/>
          <w:sz w:val="24"/>
          <w:szCs w:val="24"/>
        </w:rPr>
        <w:t xml:space="preserve">O trabalho </w:t>
      </w:r>
      <w:r>
        <w:rPr>
          <w:rFonts w:eastAsia="Arial" w:cs="Arial"/>
          <w:sz w:val="24"/>
          <w:szCs w:val="24"/>
        </w:rPr>
        <w:t>produzirá</w:t>
      </w:r>
      <w:r>
        <w:rPr>
          <w:rFonts w:eastAsia="Arial" w:cs="Arial"/>
          <w:sz w:val="24"/>
          <w:szCs w:val="24"/>
        </w:rPr>
        <w:t xml:space="preserve"> o primeiro mapeamento das luderias estabelecidas nas 14 metrópoles brasileiras, com dados de avaliação, preço e cardápio. Além disso, </w:t>
      </w:r>
      <w:r>
        <w:rPr>
          <w:rFonts w:eastAsia="Arial" w:cs="Arial"/>
          <w:sz w:val="24"/>
          <w:szCs w:val="24"/>
        </w:rPr>
        <w:t xml:space="preserve">ele </w:t>
      </w:r>
      <w:r>
        <w:rPr>
          <w:rFonts w:eastAsia="Arial" w:cs="Arial"/>
          <w:sz w:val="24"/>
          <w:szCs w:val="24"/>
        </w:rPr>
        <w:t>propõe um método de plano de negócios baseado em evidências: premissas classificadas por nível de evidência, estimativa de ocupação por avaliações calibradas por observação direta e hipóteses registradas antes da análise. Esse método responde a uma fragilidade recorrente de planos de negócios: projeções apoiadas em premissas sem fonte e resultados sem controle de achados ao acaso.</w:t>
      </w:r>
    </w:p>
    <w:p>
      <w:pPr>
        <w:pStyle w:val="Heading2"/>
        <w:keepNext w:val="true"/>
        <w:spacing w:lineRule="auto" w:line="360" w:before="240" w:after="120"/>
        <w:rPr/>
      </w:pPr>
      <w:r>
        <w:rPr>
          <w:rFonts w:eastAsia="Arial" w:cs="Arial"/>
          <w:b/>
          <w:bCs/>
          <w:sz w:val="24"/>
          <w:szCs w:val="24"/>
        </w:rPr>
        <w:t>7.2 Contribuições práticas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Arial" w:cs="Arial"/>
          <w:sz w:val="24"/>
          <w:szCs w:val="24"/>
        </w:rPr>
        <w:t>O trabalho orienta decisões concretas de investimento: a escolha do bairro em Salvador, o modelo de cobrança, o dimensionamento de mesas e a composição do cardápio. O registro de premissas e o modelo financeiro dirigido por parâmetros permitem ao empreendedor atualizar as projeções à medida que novos dados surgem. Os pontos de ruptura indicam os valores mínimos de ocupação e ticket que sustentam o negócio e servem de indicadores de monitoramento após a abertura.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Arial" w:cs="Arial"/>
          <w:sz w:val="24"/>
          <w:szCs w:val="24"/>
        </w:rPr>
        <w:t>O processo é replicável por outros negócios de lazer em fase de estruturação, que enfrentam a mesma ausência de dados sobre demanda e concorrência. O repositório de coleta e análise, o dicionário de dados e o site de apresentação ficam disponíveis como produto de consulta para empreendedores e pesquisadores do setor.</w:t>
      </w:r>
      <w:r>
        <w:br w:type="page"/>
      </w:r>
    </w:p>
    <w:p>
      <w:pPr>
        <w:pStyle w:val="Heading1"/>
        <w:spacing w:before="0" w:after="240"/>
        <w:jc w:val="center"/>
        <w:rPr/>
      </w:pPr>
      <w:r>
        <w:rPr>
          <w:rFonts w:eastAsia="Arial" w:cs="Arial"/>
          <w:b/>
          <w:bCs/>
          <w:sz w:val="24"/>
          <w:szCs w:val="24"/>
        </w:rPr>
        <w:t>REFERÊNCIAS</w:t>
      </w:r>
    </w:p>
    <w:p>
      <w:pPr>
        <w:pStyle w:val="Normal"/>
        <w:spacing w:lineRule="auto" w:line="240" w:before="0" w:after="240"/>
        <w:jc w:val="start"/>
        <w:rPr/>
      </w:pPr>
      <w:r>
        <w:rPr>
          <w:rFonts w:eastAsia="Arial" w:cs="Arial"/>
          <w:sz w:val="24"/>
          <w:szCs w:val="24"/>
        </w:rPr>
        <w:t xml:space="preserve">ABRINQ. </w:t>
      </w:r>
      <w:r>
        <w:rPr>
          <w:rFonts w:eastAsia="Arial" w:cs="Arial"/>
          <w:i/>
          <w:iCs/>
          <w:sz w:val="24"/>
          <w:szCs w:val="24"/>
        </w:rPr>
        <w:t>Anuário da Abrinq 2026</w:t>
      </w:r>
      <w:r>
        <w:rPr>
          <w:rFonts w:eastAsia="Arial" w:cs="Arial"/>
          <w:sz w:val="24"/>
          <w:szCs w:val="24"/>
        </w:rPr>
        <w:t>. Associação Brasileira dos Fabricantes de Brinquedos, 2026.</w:t>
      </w:r>
    </w:p>
    <w:p>
      <w:pPr>
        <w:pStyle w:val="Normal"/>
        <w:spacing w:lineRule="auto" w:line="240" w:before="0" w:after="240"/>
        <w:jc w:val="start"/>
        <w:rPr/>
      </w:pPr>
      <w:r>
        <w:rPr>
          <w:rFonts w:eastAsia="Arial" w:cs="Arial"/>
          <w:sz w:val="24"/>
          <w:szCs w:val="24"/>
        </w:rPr>
        <w:t xml:space="preserve">ASAKURA, P. N.; SILVA, A. R. da; MELLO, D. A. Estudo de viabilidade econômica de um boardgame café no município de Ourinhos/SP. </w:t>
      </w:r>
      <w:r>
        <w:rPr>
          <w:rFonts w:eastAsia="Arial" w:cs="Arial"/>
          <w:i/>
          <w:iCs/>
          <w:sz w:val="24"/>
          <w:szCs w:val="24"/>
        </w:rPr>
        <w:t>Anais do CIC - FIO</w:t>
      </w:r>
      <w:r>
        <w:rPr>
          <w:rFonts w:eastAsia="Arial" w:cs="Arial"/>
          <w:sz w:val="24"/>
          <w:szCs w:val="24"/>
        </w:rPr>
        <w:t>, Ourinhos, 2018. Disponível em: http://www.cic.fio.edu.br/anaisCIC/anais2018/pdf/05_01.pdf.  Acesso em: 2 out. 2026.</w:t>
      </w:r>
    </w:p>
    <w:p>
      <w:pPr>
        <w:pStyle w:val="Normal"/>
        <w:spacing w:lineRule="auto" w:line="240" w:before="0" w:after="240"/>
        <w:jc w:val="start"/>
        <w:rPr/>
      </w:pPr>
      <w:r>
        <w:rPr>
          <w:rFonts w:eastAsia="Arial" w:cs="Arial"/>
          <w:sz w:val="24"/>
          <w:szCs w:val="24"/>
        </w:rPr>
        <w:t xml:space="preserve">GILOVICH, Thomas; KUMAR, Amit; JAMPOL, Lily. A wonderful life: experiential consumption and the pursuit of happiness. </w:t>
      </w:r>
      <w:r>
        <w:rPr>
          <w:rFonts w:eastAsia="Arial" w:cs="Arial"/>
          <w:i/>
          <w:iCs/>
          <w:sz w:val="24"/>
          <w:szCs w:val="24"/>
        </w:rPr>
        <w:t>Journal of Consumer Psychology</w:t>
      </w:r>
      <w:r>
        <w:rPr>
          <w:rFonts w:eastAsia="Arial" w:cs="Arial"/>
          <w:sz w:val="24"/>
          <w:szCs w:val="24"/>
        </w:rPr>
        <w:t>, v. 25, n. 1, p. 152-165, 2015. DOI: 10.1016/j.jcps.2014.08.004.</w:t>
      </w:r>
    </w:p>
    <w:p>
      <w:pPr>
        <w:pStyle w:val="Normal"/>
        <w:spacing w:lineRule="auto" w:line="240" w:before="0" w:after="240"/>
        <w:jc w:val="start"/>
        <w:rPr/>
      </w:pPr>
      <w:r>
        <w:rPr>
          <w:rFonts w:eastAsia="Arial" w:cs="Arial"/>
          <w:sz w:val="24"/>
          <w:szCs w:val="24"/>
        </w:rPr>
        <w:t xml:space="preserve">KAM INSIGHT. </w:t>
      </w:r>
      <w:r>
        <w:rPr>
          <w:rFonts w:eastAsia="Arial" w:cs="Arial"/>
          <w:i/>
          <w:iCs/>
          <w:sz w:val="24"/>
          <w:szCs w:val="24"/>
        </w:rPr>
        <w:t>Competitive socialising</w:t>
      </w:r>
      <w:r>
        <w:rPr>
          <w:rFonts w:eastAsia="Arial" w:cs="Arial"/>
          <w:sz w:val="24"/>
          <w:szCs w:val="24"/>
        </w:rPr>
        <w:t>: winning a new customer occasion. KAM Media, 2022. Disponível em: https://kaminsight.com/wp-content/uploads/sites/2044/2023/07/KAM-Competitive-Socialising-Feb-22.pdf.  Acesso em: 2 out. 2026.</w:t>
      </w:r>
    </w:p>
    <w:p>
      <w:pPr>
        <w:pStyle w:val="Normal"/>
        <w:spacing w:lineRule="auto" w:line="240" w:before="0" w:after="240"/>
        <w:jc w:val="start"/>
        <w:rPr/>
      </w:pPr>
      <w:r>
        <w:rPr>
          <w:rFonts w:eastAsia="Arial" w:cs="Arial"/>
          <w:sz w:val="24"/>
          <w:szCs w:val="24"/>
        </w:rPr>
        <w:t xml:space="preserve">MERCADO&amp;CONSUMO. Lazer é a segunda maior motivação de ida a shopping centers. </w:t>
      </w:r>
      <w:r>
        <w:rPr>
          <w:rFonts w:eastAsia="Arial" w:cs="Arial"/>
          <w:i/>
          <w:iCs/>
          <w:sz w:val="24"/>
          <w:szCs w:val="24"/>
        </w:rPr>
        <w:t>Mercado&amp;Consumo</w:t>
      </w:r>
      <w:r>
        <w:rPr>
          <w:rFonts w:eastAsia="Arial" w:cs="Arial"/>
          <w:sz w:val="24"/>
          <w:szCs w:val="24"/>
        </w:rPr>
        <w:t>, 8 jan. 2025. Disponível em: https://mercadoeconsumo.com.br/08/01/2025/shopping-centers/lazer-e-a-segunda-maior-motivacao-de-ida-a-shopping-centers. Acesso em: 2 out. 2026.</w:t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701" w:right="1134" w:gutter="0" w:header="0" w:top="1701" w:footer="708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/>
    <w:family w:val="swiss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>
        <w:rFonts w:eastAsia="Arial" w:cs="Arial"/>
        <w:sz w:val="24"/>
        <w:szCs w:val="24"/>
      </w:rPr>
      <w:fldChar w:fldCharType="begin"/>
    </w:r>
    <w:r>
      <w:rPr>
        <w:rFonts w:eastAsia="Arial" w:cs="Arial"/>
        <w:sz w:val="24"/>
        <w:szCs w:val="24"/>
      </w:rPr>
      <w:instrText xml:space="preserve"> PAGE </w:instrText>
    </w:r>
    <w:r>
      <w:rPr>
        <w:rFonts w:eastAsia="Arial" w:cs="Arial"/>
        <w:sz w:val="24"/>
        <w:szCs w:val="24"/>
      </w:rPr>
      <w:fldChar w:fldCharType="separate"/>
    </w:r>
    <w:r>
      <w:rPr>
        <w:rFonts w:eastAsia="Arial" w:cs="Arial"/>
        <w:sz w:val="24"/>
        <w:szCs w:val="24"/>
      </w:rPr>
      <w:t>11</w:t>
    </w:r>
    <w:r>
      <w:rPr>
        <w:rFonts w:eastAsia="Arial" w:cs="Arial"/>
        <w:sz w:val="24"/>
        <w:szCs w:val="24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>
        <w:rFonts w:eastAsia="Arial" w:cs="Arial"/>
        <w:sz w:val="24"/>
        <w:szCs w:val="24"/>
      </w:rPr>
      <w:fldChar w:fldCharType="begin"/>
    </w:r>
    <w:r>
      <w:rPr>
        <w:rFonts w:eastAsia="Arial" w:cs="Arial"/>
        <w:sz w:val="24"/>
        <w:szCs w:val="24"/>
      </w:rPr>
      <w:instrText xml:space="preserve"> PAGE </w:instrText>
    </w:r>
    <w:r>
      <w:rPr>
        <w:rFonts w:eastAsia="Arial" w:cs="Arial"/>
        <w:sz w:val="24"/>
        <w:szCs w:val="24"/>
      </w:rPr>
      <w:fldChar w:fldCharType="separate"/>
    </w:r>
    <w:r>
      <w:rPr>
        <w:rFonts w:eastAsia="Arial" w:cs="Arial"/>
        <w:sz w:val="24"/>
        <w:szCs w:val="24"/>
      </w:rPr>
      <w:t>11</w:t>
    </w:r>
    <w:r>
      <w:rPr>
        <w:rFonts w:eastAsia="Arial" w:cs="Arial"/>
        <w:sz w:val="24"/>
        <w:szCs w:val="24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09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09" w:hanging="284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1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45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4"/>
      <w:szCs w:val="24"/>
      <w:lang w:val="pt-BR" w:eastAsia="zh-CN" w:bidi="hi-IN"/>
    </w:rPr>
  </w:style>
  <w:style w:type="paragraph" w:styleId="Heading1">
    <w:name w:val="heading 1"/>
    <w:basedOn w:val="Ttulo"/>
    <w:qFormat/>
    <w:pPr>
      <w:outlineLvl w:val="0"/>
    </w:pPr>
    <w:rPr>
      <w:rFonts w:ascii="Arial" w:hAnsi="Arial" w:eastAsia="Arial" w:cs="Arial"/>
      <w:b/>
      <w:bCs/>
      <w:color w:val="000000"/>
      <w:sz w:val="24"/>
      <w:szCs w:val="24"/>
    </w:rPr>
  </w:style>
  <w:style w:type="paragraph" w:styleId="Heading2">
    <w:name w:val="heading 2"/>
    <w:basedOn w:val="Ttulo"/>
    <w:qFormat/>
    <w:pPr>
      <w:outlineLvl w:val="1"/>
    </w:pPr>
    <w:rPr>
      <w:rFonts w:ascii="Arial" w:hAnsi="Arial" w:eastAsia="Arial" w:cs="Arial"/>
      <w:b/>
      <w:bCs/>
      <w:color w:val="000000"/>
      <w:sz w:val="24"/>
      <w:szCs w:val="24"/>
    </w:rPr>
  </w:style>
  <w:style w:type="paragraph" w:styleId="Heading3">
    <w:name w:val="heading 3"/>
    <w:basedOn w:val="Ttulo"/>
    <w:qFormat/>
    <w:pPr/>
    <w:rPr>
      <w:color w:val="1F4D78"/>
      <w:sz w:val="24"/>
      <w:szCs w:val="24"/>
    </w:rPr>
  </w:style>
  <w:style w:type="paragraph" w:styleId="Heading4">
    <w:name w:val="heading 4"/>
    <w:basedOn w:val="Ttulo"/>
    <w:qFormat/>
    <w:pPr/>
    <w:rPr>
      <w:i/>
      <w:iCs/>
      <w:color w:val="2E74B5"/>
    </w:rPr>
  </w:style>
  <w:style w:type="paragraph" w:styleId="Heading5">
    <w:name w:val="heading 5"/>
    <w:basedOn w:val="Ttulo"/>
    <w:qFormat/>
    <w:pPr/>
    <w:rPr>
      <w:color w:val="2E74B5"/>
    </w:rPr>
  </w:style>
  <w:style w:type="paragraph" w:styleId="Heading6">
    <w:name w:val="heading 6"/>
    <w:basedOn w:val="Ttulo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Caracteresdenotaderodap">
    <w:name w:val="Caracteres de nota de rodapé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Caracteresdenotadefim">
    <w:name w:val="Caracteres de nota de fim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Arial" w:hAnsi="Arial" w:eastAsia="Arial"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Arial" w:hAnsi="Arial" w:eastAsia="Arial" w:cs="Arial Unicode M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ascii="Arial" w:hAnsi="Arial" w:eastAsia="Arial" w:cs="Arial Unicode MS"/>
    </w:rPr>
  </w:style>
  <w:style w:type="paragraph" w:styleId="Title">
    <w:name w:val="Title"/>
    <w:basedOn w:val="Ttulo"/>
    <w:qFormat/>
    <w:pPr/>
    <w:rPr>
      <w:rFonts w:ascii="Arial" w:hAnsi="Arial" w:eastAsia="Arial" w:cs="Arial"/>
      <w:b/>
      <w:bCs/>
      <w:color w:val="000000"/>
      <w:sz w:val="24"/>
      <w:szCs w:val="24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Arial" w:hAnsi="Arial" w:eastAsia="Arial" w:cs="Arial"/>
      <w:b/>
      <w:bCs/>
      <w:color w:val="auto"/>
      <w:kern w:val="0"/>
      <w:sz w:val="24"/>
      <w:szCs w:val="24"/>
      <w:lang w:val="pt-BR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4"/>
      <w:szCs w:val="24"/>
      <w:lang w:val="pt-BR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Cabealhoerodap">
    <w:name w:val="Cabeçalho e rodapé"/>
    <w:basedOn w:val="Normal"/>
    <w:qFormat/>
    <w:pPr/>
    <w:rPr/>
  </w:style>
  <w:style w:type="paragraph" w:styleId="Footer">
    <w:name w:val="footer"/>
    <w:basedOn w:val="Cabealhoerodap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</TotalTime>
  <Application>LibreOffice/26.2.3.2$MacOSX_AARCH64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2026-10-03T02:36:03Z</dcterms:created>
  <dc:creator>Un-named</dc:creator>
  <dc:description/>
  <dc:language>pt-BR</dc:language>
  <cp:lastModifiedBy/>
  <dcterms:modified xsi:type="dcterms:W3CDTF">2026-10-02T23:56:03Z</dcterms:modified>
  <cp:revision>2</cp:revision>
  <dc:subject/>
  <dc:title/>
</cp:coreProperties>
</file>