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CRONOGRAMA INDIVIDUAL - TCC LUDERIA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Atualizado em 17/09/2026.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As semanas vão de sábado a sexta-feira. Assim, cada entrega definida pela orientação cai no último dia de uma semana.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Entregas definidas pela orientação</w:t>
      </w:r>
    </w:p>
    <w:tbl>
      <w:tblPr>
        <w:tblW w:type="dxa" w:w="1313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95"/>
        <w:gridCol w:w="3282"/>
        <w:gridCol w:w="5253"/>
      </w:tblGrid>
      <w:tr>
        <w:trPr>
          <w:cantSplit/>
          <w:tblHeader/>
        </w:trPr>
        <w:tc>
          <w:tcPr>
            <w:tcW w:type="dxa" w:w="45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32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Dia</w:t>
            </w:r>
          </w:p>
        </w:tc>
        <w:tc>
          <w:tcPr>
            <w:tcW w:type="dxa" w:w="52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Entrega</w:t>
            </w:r>
          </w:p>
        </w:tc>
      </w:tr>
      <w:tr>
        <w:trPr>
          <w:cantSplit/>
          <w:tblHeader w:val="false"/>
        </w:trPr>
        <w:tc>
          <w:tcPr>
            <w:tcW w:type="dxa" w:w="45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18/09/2026</w:t>
            </w:r>
          </w:p>
        </w:tc>
        <w:tc>
          <w:tcPr>
            <w:tcW w:type="dxa" w:w="32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sexta</w:t>
            </w:r>
          </w:p>
        </w:tc>
        <w:tc>
          <w:tcPr>
            <w:tcW w:type="dxa" w:w="52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Cronograma individual</w:t>
            </w:r>
          </w:p>
        </w:tc>
      </w:tr>
      <w:tr>
        <w:trPr>
          <w:cantSplit/>
          <w:tblHeader w:val="false"/>
        </w:trPr>
        <w:tc>
          <w:tcPr>
            <w:tcW w:type="dxa" w:w="45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02/10/2026</w:t>
            </w:r>
          </w:p>
        </w:tc>
        <w:tc>
          <w:tcPr>
            <w:tcW w:type="dxa" w:w="32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sexta</w:t>
            </w:r>
          </w:p>
        </w:tc>
        <w:tc>
          <w:tcPr>
            <w:tcW w:type="dxa" w:w="52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Projeto consolidado</w:t>
            </w:r>
          </w:p>
        </w:tc>
      </w:tr>
      <w:tr>
        <w:trPr>
          <w:cantSplit/>
          <w:tblHeader w:val="false"/>
        </w:trPr>
        <w:tc>
          <w:tcPr>
            <w:tcW w:type="dxa" w:w="45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16/10/2026</w:t>
            </w:r>
          </w:p>
        </w:tc>
        <w:tc>
          <w:tcPr>
            <w:tcW w:type="dxa" w:w="32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sexta</w:t>
            </w:r>
          </w:p>
        </w:tc>
        <w:tc>
          <w:tcPr>
            <w:tcW w:type="dxa" w:w="52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Coleta e organização dos dados em estágio avançado</w:t>
            </w:r>
          </w:p>
        </w:tc>
      </w:tr>
      <w:tr>
        <w:trPr>
          <w:cantSplit/>
          <w:tblHeader w:val="false"/>
        </w:trPr>
        <w:tc>
          <w:tcPr>
            <w:tcW w:type="dxa" w:w="45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30/10/2026</w:t>
            </w:r>
          </w:p>
        </w:tc>
        <w:tc>
          <w:tcPr>
            <w:tcW w:type="dxa" w:w="32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sexta</w:t>
            </w:r>
          </w:p>
        </w:tc>
        <w:tc>
          <w:tcPr>
            <w:tcW w:type="dxa" w:w="52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Primeira versão dos resultados e análises</w:t>
            </w:r>
          </w:p>
        </w:tc>
      </w:tr>
      <w:tr>
        <w:trPr>
          <w:cantSplit/>
          <w:tblHeader w:val="false"/>
        </w:trPr>
        <w:tc>
          <w:tcPr>
            <w:tcW w:type="dxa" w:w="45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06/11/2026</w:t>
            </w:r>
          </w:p>
        </w:tc>
        <w:tc>
          <w:tcPr>
            <w:tcW w:type="dxa" w:w="32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sexta</w:t>
            </w:r>
          </w:p>
        </w:tc>
        <w:tc>
          <w:tcPr>
            <w:tcW w:type="dxa" w:w="52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Versão completa para leitura da orientação</w:t>
            </w:r>
          </w:p>
        </w:tc>
      </w:tr>
      <w:tr>
        <w:trPr>
          <w:cantSplit/>
          <w:tblHeader w:val="false"/>
        </w:trPr>
        <w:tc>
          <w:tcPr>
            <w:tcW w:type="dxa" w:w="45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16/11/2026</w:t>
            </w:r>
          </w:p>
        </w:tc>
        <w:tc>
          <w:tcPr>
            <w:tcW w:type="dxa" w:w="32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segunda</w:t>
            </w:r>
          </w:p>
        </w:tc>
        <w:tc>
          <w:tcPr>
            <w:tcW w:type="dxa" w:w="52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Versão final para a banca (data de referência)</w:t>
            </w:r>
          </w:p>
        </w:tc>
      </w:tr>
      <w:tr>
        <w:trPr>
          <w:cantSplit/>
          <w:tblHeader w:val="false"/>
        </w:trPr>
        <w:tc>
          <w:tcPr>
            <w:tcW w:type="dxa" w:w="45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Final de novembro</w:t>
            </w:r>
          </w:p>
        </w:tc>
        <w:tc>
          <w:tcPr>
            <w:tcW w:type="dxa" w:w="32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52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Defesa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Feriados nacionais no período: 12/10 (segunda), 02/11 (segunda) e 20/11 (sexta).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Situação em 17/09/2026</w:t>
      </w:r>
    </w:p>
    <w:tbl>
      <w:tblPr>
        <w:tblW w:type="dxa" w:w="1313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8"/>
        <w:gridCol w:w="7222"/>
      </w:tblGrid>
      <w:tr>
        <w:trPr>
          <w:cantSplit/>
          <w:tblHeader/>
        </w:trPr>
        <w:tc>
          <w:tcPr>
            <w:tcW w:type="dxa" w:w="59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Etapa</w:t>
            </w:r>
          </w:p>
        </w:tc>
        <w:tc>
          <w:tcPr>
            <w:tcW w:type="dxa" w:w="72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Situação</w:t>
            </w:r>
          </w:p>
        </w:tc>
      </w:tr>
      <w:tr>
        <w:trPr>
          <w:cantSplit/>
          <w:tblHeader w:val="false"/>
        </w:trPr>
        <w:tc>
          <w:tcPr>
            <w:tcW w:type="dxa" w:w="59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Introdução (cap. 1)</w:t>
            </w:r>
          </w:p>
        </w:tc>
        <w:tc>
          <w:tcPr>
            <w:tcW w:type="dxa" w:w="72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Rascunho concluído</w:t>
            </w:r>
          </w:p>
        </w:tc>
      </w:tr>
      <w:tr>
        <w:trPr>
          <w:cantSplit/>
          <w:tblHeader w:val="false"/>
        </w:trPr>
        <w:tc>
          <w:tcPr>
            <w:tcW w:type="dxa" w:w="59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prévio das hipóteses</w:t>
            </w:r>
          </w:p>
        </w:tc>
        <w:tc>
          <w:tcPr>
            <w:tcW w:type="dxa" w:w="72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Concluído e datado em 14/09</w:t>
            </w:r>
          </w:p>
        </w:tc>
      </w:tr>
      <w:tr>
        <w:trPr>
          <w:cantSplit/>
          <w:tblHeader w:val="false"/>
        </w:trPr>
        <w:tc>
          <w:tcPr>
            <w:tcW w:type="dxa" w:w="59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Bases públicas (IBGE, CAGED, FipeZap, Simples Nacional, Banco Central)</w:t>
            </w:r>
          </w:p>
        </w:tc>
        <w:tc>
          <w:tcPr>
            <w:tcW w:type="dxa" w:w="72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Coletadas e tratadas em 14/09</w:t>
            </w:r>
          </w:p>
        </w:tc>
      </w:tr>
      <w:tr>
        <w:trPr>
          <w:cantSplit/>
          <w:tblHeader w:val="false"/>
        </w:trPr>
        <w:tc>
          <w:tcPr>
            <w:tcW w:type="dxa" w:w="59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Busca dos estabelecimentos concorrentes nas 27 capitais</w:t>
            </w:r>
          </w:p>
        </w:tc>
        <w:tc>
          <w:tcPr>
            <w:tcW w:type="dxa" w:w="72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Concluída: 737 candidatos nas capitais e em suas regiões metropolitanas</w:t>
            </w:r>
          </w:p>
        </w:tc>
      </w:tr>
      <w:tr>
        <w:trPr>
          <w:cantSplit/>
          <w:tblHeader w:val="false"/>
        </w:trPr>
        <w:tc>
          <w:tcPr>
            <w:tcW w:type="dxa" w:w="59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Seleção final dos estabelecimentos a analisar</w:t>
            </w:r>
          </w:p>
        </w:tc>
        <w:tc>
          <w:tcPr>
            <w:tcW w:type="dxa" w:w="72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Em andamento: falta definir o número mínimo de avaliações e confirmar quais são espaços de jogo</w:t>
            </w:r>
          </w:p>
        </w:tc>
      </w:tr>
      <w:tr>
        <w:trPr>
          <w:cantSplit/>
          <w:tblHeader w:val="false"/>
        </w:trPr>
        <w:tc>
          <w:tcPr>
            <w:tcW w:type="dxa" w:w="59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Avaliações, perfis dos avaliadores, cardápios e contagem de ocupação</w:t>
            </w:r>
          </w:p>
        </w:tc>
        <w:tc>
          <w:tcPr>
            <w:tcW w:type="dxa" w:w="72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Não iniciados</w:t>
            </w:r>
          </w:p>
        </w:tc>
      </w:tr>
    </w:tbl>
    <w:p>
      <w:pPr>
        <w:spacing w:after="120"/>
      </w:pP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Etapas que definem o prazo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Cinco etapas condicionam o restante do cronograma: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Perfis dos avaliadores.</w:t>
      </w:r>
      <w:r>
        <w:rPr>
          <w:rFonts w:ascii="Arial" w:cs="Arial" w:eastAsia="Arial" w:hAnsi="Arial"/>
          <w:sz w:val="20"/>
          <w:szCs w:val="20"/>
        </w:rPr>
        <w:t xml:space="preserve"> É a coleta mais longa. Começa quando as primeiras avaliações estiverem copiadas e termina até 14/10.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Validação da codificação das avaliações.</w:t>
      </w:r>
      <w:r>
        <w:rPr>
          <w:rFonts w:ascii="Arial" w:cs="Arial" w:eastAsia="Arial" w:hAnsi="Arial"/>
          <w:sz w:val="20"/>
          <w:szCs w:val="20"/>
        </w:rPr>
        <w:t xml:space="preserve"> A mesma amostra de 200 avaliações é codificada duas vezes, com intervalo mínimo de 14 dias. A primeira codificação termina em 02/10; a segunda começa em 16/10.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Emenda ao registro prévio.</w:t>
      </w:r>
      <w:r>
        <w:rPr>
          <w:rFonts w:ascii="Arial" w:cs="Arial" w:eastAsia="Arial" w:hAnsi="Arial"/>
          <w:sz w:val="20"/>
          <w:szCs w:val="20"/>
        </w:rPr>
        <w:t xml:space="preserve"> Os ajustes feitos na parte exploratória da base são registrados até 23/10. Só depois disso a parte confirmatória é aberta.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Contagem de ocupação na São Jogue.</w:t>
      </w:r>
      <w:r>
        <w:rPr>
          <w:rFonts w:ascii="Arial" w:cs="Arial" w:eastAsia="Arial" w:hAnsi="Arial"/>
          <w:sz w:val="20"/>
          <w:szCs w:val="20"/>
        </w:rPr>
        <w:t xml:space="preserve"> São quatro visitas entre 29/09 e 28/10. A estimativa de ocupação depende delas.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Registro de premissas.</w:t>
      </w:r>
      <w:r>
        <w:rPr>
          <w:rFonts w:ascii="Arial" w:cs="Arial" w:eastAsia="Arial" w:hAnsi="Arial"/>
          <w:sz w:val="20"/>
          <w:szCs w:val="20"/>
        </w:rPr>
        <w:t xml:space="preserve"> O modelo financeiro só é montado quando ocupação, ticket médio e custos têm faixa e fonte.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Contagem de ocupação na São Jogue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 contagem é a única coleta presencial do trabalho. Ela mede quantas mesas e pessoas ocupam a luderia em cada horário.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Quatro visitas no total</w:t>
      </w:r>
      <w:r>
        <w:rPr>
          <w:rFonts w:ascii="Arial" w:cs="Arial" w:eastAsia="Arial" w:hAnsi="Arial"/>
          <w:sz w:val="20"/>
          <w:szCs w:val="20"/>
        </w:rPr>
        <w:t xml:space="preserve">, duas em cada unidade da São Jogue.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Dois períodos</w:t>
      </w:r>
      <w:r>
        <w:rPr>
          <w:rFonts w:ascii="Arial" w:cs="Arial" w:eastAsia="Arial" w:hAnsi="Arial"/>
          <w:sz w:val="20"/>
          <w:szCs w:val="20"/>
        </w:rPr>
        <w:t xml:space="preserve">, definidos pelo pagamento dos servidores estaduais da Bahia (29/09 para inativos e pensionistas; 30/09 para ativos):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quinzena após o pagamento: 29/09 a 13/10;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quinzena antes do pagamento seguinte: 14/10 a 28/10.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Em cada quinzena</w:t>
      </w:r>
      <w:r>
        <w:rPr>
          <w:rFonts w:ascii="Arial" w:cs="Arial" w:eastAsia="Arial" w:hAnsi="Arial"/>
          <w:sz w:val="20"/>
          <w:szCs w:val="20"/>
        </w:rPr>
        <w:t xml:space="preserve">, uma visita em dia útil (segunda a quinta) e uma no fim de semana (sexta a domingo). Cada unidade recebe uma visita por quinzena e uma de cada tipo de dia.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Horário:</w:t>
      </w:r>
      <w:r>
        <w:rPr>
          <w:rFonts w:ascii="Arial" w:cs="Arial" w:eastAsia="Arial" w:hAnsi="Arial"/>
          <w:sz w:val="20"/>
          <w:szCs w:val="20"/>
        </w:rPr>
        <w:t xml:space="preserve"> a São Jogue funciona das 12h00 às 22h00. Cada visita dura 3 horas, em um de três turnos (12h00-15h00, 15h30-18h30 ou 19h00-22h00), com uma contagem a cada 30 minutos.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Sorteio:</w:t>
      </w:r>
      <w:r>
        <w:rPr>
          <w:rFonts w:ascii="Arial" w:cs="Arial" w:eastAsia="Arial" w:hAnsi="Arial"/>
          <w:sz w:val="20"/>
          <w:szCs w:val="20"/>
        </w:rPr>
        <w:t xml:space="preserve"> os dias e turnos são sorteados na planilha contagem_sorteio_visitas.xlsx antes da primeira visita. Feriados e dias sem funcionamento ficam de fora.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Fonte das datas de pagamento: Governo da Bahia, Tabela de Pagamentos 2026 dos servidores estaduais.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Cronograma semanal</w:t>
      </w:r>
    </w:p>
    <w:tbl>
      <w:tblPr>
        <w:tblW w:type="dxa" w:w="1313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9"/>
        <w:gridCol w:w="1287"/>
        <w:gridCol w:w="5663"/>
        <w:gridCol w:w="3089"/>
        <w:gridCol w:w="2062"/>
      </w:tblGrid>
      <w:tr>
        <w:trPr>
          <w:cantSplit/>
          <w:tblHeader/>
        </w:trPr>
        <w:tc>
          <w:tcPr>
            <w:tcW w:type="dxa" w:w="10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Semana</w:t>
            </w: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Período</w:t>
            </w:r>
          </w:p>
        </w:tc>
        <w:tc>
          <w:tcPr>
            <w:tcW w:type="dxa" w:w="56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Coleta e análise</w:t>
            </w:r>
          </w:p>
        </w:tc>
        <w:tc>
          <w:tcPr>
            <w:tcW w:type="dxa" w:w="30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Escrita</w:t>
            </w:r>
          </w:p>
        </w:tc>
        <w:tc>
          <w:tcPr>
            <w:tcW w:type="dxa" w:w="20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Entrega</w:t>
            </w:r>
          </w:p>
        </w:tc>
      </w:tr>
      <w:tr>
        <w:trPr>
          <w:cantSplit/>
          <w:tblHeader w:val="false"/>
        </w:trPr>
        <w:tc>
          <w:tcPr>
            <w:tcW w:type="dxa" w:w="10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12/09 a 18/09</w:t>
            </w:r>
          </w:p>
        </w:tc>
        <w:tc>
          <w:tcPr>
            <w:tcW w:type="dxa" w:w="56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Coleta e tratamento das bases públicas (14/09)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Busca e triagem dos estabelecimentos concorrentes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Recorte pelas regiões metropolitanas das capitais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Datas de pagamento dos servidores e planilha de sorteio da contagem</w:t>
            </w:r>
          </w:p>
        </w:tc>
        <w:tc>
          <w:tcPr>
            <w:tcW w:type="dxa" w:w="30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Registro prévio (14/09)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Leitura das cinco referências essenciais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Cronograma</w:t>
            </w:r>
          </w:p>
        </w:tc>
        <w:tc>
          <w:tcPr>
            <w:tcW w:type="dxa" w:w="20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18/09: cronograma</w:t>
            </w:r>
          </w:p>
        </w:tc>
      </w:tr>
      <w:tr>
        <w:trPr>
          <w:cantSplit/>
          <w:tblHeader w:val="false"/>
        </w:trPr>
        <w:tc>
          <w:tcPr>
            <w:tcW w:type="dxa" w:w="10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19/09 a 25/09</w:t>
            </w:r>
          </w:p>
        </w:tc>
        <w:tc>
          <w:tcPr>
            <w:tcW w:type="dxa" w:w="56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Definição do número mínimo de avaliações por estabelecimento (teste em amostra)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Lista final de estabelecimentos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Início da cópia das avaliações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Início da coleta dos cardápios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Sorteio das visitas e formulário de observação da contagem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Manual de codificação das avaliações</w:t>
            </w:r>
          </w:p>
        </w:tc>
        <w:tc>
          <w:tcPr>
            <w:tcW w:type="dxa" w:w="30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Projeto: hipóteses, quadro de variáveis e modelo de análise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Rascunho do cap. 2</w:t>
            </w:r>
          </w:p>
        </w:tc>
        <w:tc>
          <w:tcPr>
            <w:tcW w:type="dxa" w:w="20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</w:tr>
      <w:tr>
        <w:trPr>
          <w:cantSplit/>
          <w:tblHeader w:val="false"/>
        </w:trPr>
        <w:tc>
          <w:tcPr>
            <w:tcW w:type="dxa" w:w="10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26/09 a 02/10</w:t>
            </w:r>
          </w:p>
        </w:tc>
        <w:tc>
          <w:tcPr>
            <w:tcW w:type="dxa" w:w="56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Conclusão da cópia das avaliações (27/09)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Início da coleta dos perfis dos avaliadores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Divisão da base em parte exploratória e parte confirmatória (28/09)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Primeira codificação das 200 avaliações da amostra (até 02/10)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Conclusão dos cardápios (30/09)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Visitas da contagem, conforme sorteio (quinzena pós-pagamento a partir de 29/09)</w:t>
            </w:r>
          </w:p>
        </w:tc>
        <w:tc>
          <w:tcPr>
            <w:tcW w:type="dxa" w:w="30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Revisão final do projeto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Rascunho do cap. 3</w:t>
            </w:r>
          </w:p>
        </w:tc>
        <w:tc>
          <w:tcPr>
            <w:tcW w:type="dxa" w:w="20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02/10: projeto consolidado</w:t>
            </w:r>
          </w:p>
        </w:tc>
      </w:tr>
      <w:tr>
        <w:trPr>
          <w:cantSplit/>
          <w:tblHeader w:val="false"/>
        </w:trPr>
        <w:tc>
          <w:tcPr>
            <w:tcW w:type="dxa" w:w="10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03/10 a 09/10</w:t>
            </w:r>
          </w:p>
        </w:tc>
        <w:tc>
          <w:tcPr>
            <w:tcW w:type="dxa" w:w="56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Coleta dos perfis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Visitas da contagem, conforme sorteio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Estrutura do modelo financeiro (premissas, cálculos e cenários)</w:t>
            </w:r>
          </w:p>
        </w:tc>
        <w:tc>
          <w:tcPr>
            <w:tcW w:type="dxa" w:w="30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Rascunho do cap. 5</w:t>
            </w:r>
          </w:p>
        </w:tc>
        <w:tc>
          <w:tcPr>
            <w:tcW w:type="dxa" w:w="20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</w:tr>
      <w:tr>
        <w:trPr>
          <w:cantSplit/>
          <w:tblHeader w:val="false"/>
        </w:trPr>
        <w:tc>
          <w:tcPr>
            <w:tcW w:type="dxa" w:w="10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10/10 a 16/10</w:t>
            </w:r>
          </w:p>
        </w:tc>
        <w:tc>
          <w:tcPr>
            <w:tcW w:type="dxa" w:w="56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Fim da quinzena pós-pagamento (13/10) e início da pré-pagamento (14/10)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Conclusão dos perfis (14/10)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Organização das bases e do dicionário de dados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Segunda codificação das 200 avaliações (a partir de 16/10)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Primeira versão do registro de premissas</w:t>
            </w:r>
          </w:p>
        </w:tc>
        <w:tc>
          <w:tcPr>
            <w:tcW w:type="dxa" w:w="30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Rascunho do cap. 6</w:t>
            </w:r>
          </w:p>
        </w:tc>
        <w:tc>
          <w:tcPr>
            <w:tcW w:type="dxa" w:w="20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16/10: coleta em estágio avançado</w:t>
            </w:r>
          </w:p>
        </w:tc>
      </w:tr>
      <w:tr>
        <w:trPr>
          <w:cantSplit/>
          <w:tblHeader w:val="false"/>
        </w:trPr>
        <w:tc>
          <w:tcPr>
            <w:tcW w:type="dxa" w:w="10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17/10 a 23/10</w:t>
            </w:r>
          </w:p>
        </w:tc>
        <w:tc>
          <w:tcPr>
            <w:tcW w:type="dxa" w:w="56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Concordância entre as duas codificações e revisão do dicionário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Análises da parte exploratória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Emenda ao registro prévio (até 23/10)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Modelo financeiro versão 1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Visitas da contagem, conforme sorteio</w:t>
            </w:r>
          </w:p>
        </w:tc>
        <w:tc>
          <w:tcPr>
            <w:tcW w:type="dxa" w:w="30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Rascunhos dos caps. 7 e 8</w:t>
            </w:r>
          </w:p>
        </w:tc>
        <w:tc>
          <w:tcPr>
            <w:tcW w:type="dxa" w:w="20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</w:tr>
      <w:tr>
        <w:trPr>
          <w:cantSplit/>
          <w:tblHeader w:val="false"/>
        </w:trPr>
        <w:tc>
          <w:tcPr>
            <w:tcW w:type="dxa" w:w="10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24/10 a 30/10</w:t>
            </w:r>
          </w:p>
        </w:tc>
        <w:tc>
          <w:tcPr>
            <w:tcW w:type="dxa" w:w="56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Última visita da contagem (até 28/10)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Estimativa de ocupação e fluxo, em faixa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Análise da parte confirmatória (rodada única)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Estatísticas descritivas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Viabilidade nos três cenários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Análise de sensibilidade e pontos de ruptura</w:t>
            </w:r>
          </w:p>
        </w:tc>
        <w:tc>
          <w:tcPr>
            <w:tcW w:type="dxa" w:w="30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Caps. 5, 6 e 9 completos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Rascunho do cap. 10</w:t>
            </w:r>
          </w:p>
        </w:tc>
        <w:tc>
          <w:tcPr>
            <w:tcW w:type="dxa" w:w="20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30/10: primeira versão dos resultados</w:t>
            </w:r>
          </w:p>
        </w:tc>
      </w:tr>
      <w:tr>
        <w:trPr>
          <w:cantSplit/>
          <w:tblHeader w:val="false"/>
        </w:trPr>
        <w:tc>
          <w:tcPr>
            <w:tcW w:type="dxa" w:w="10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31/10 a 06/11</w:t>
            </w:r>
          </w:p>
        </w:tc>
        <w:tc>
          <w:tcPr>
            <w:tcW w:type="dxa" w:w="56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Ajustes finais no modelo financeiro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Tabelas e figuras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Simulação de Monte Carlo (opcional)</w:t>
            </w:r>
          </w:p>
        </w:tc>
        <w:tc>
          <w:tcPr>
            <w:tcW w:type="dxa" w:w="30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Cap. 10 completo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Caps. 4 e 11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Revisão da introdução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Apêndices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Referências</w:t>
            </w:r>
          </w:p>
        </w:tc>
        <w:tc>
          <w:tcPr>
            <w:tcW w:type="dxa" w:w="20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06/11: versão completa</w:t>
            </w:r>
          </w:p>
        </w:tc>
      </w:tr>
      <w:tr>
        <w:trPr>
          <w:cantSplit/>
          <w:tblHeader w:val="false"/>
        </w:trPr>
        <w:tc>
          <w:tcPr>
            <w:tcW w:type="dxa" w:w="10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07/11 a 13/11</w:t>
            </w:r>
          </w:p>
        </w:tc>
        <w:tc>
          <w:tcPr>
            <w:tcW w:type="dxa" w:w="56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Atualização do site de apresentação</w:t>
            </w:r>
          </w:p>
        </w:tc>
        <w:tc>
          <w:tcPr>
            <w:tcW w:type="dxa" w:w="30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Ajustes pedidos pela orientação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Revisão de estilo e das normas ABNT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Conferência das referências pendentes</w:t>
            </w:r>
          </w:p>
        </w:tc>
        <w:tc>
          <w:tcPr>
            <w:tcW w:type="dxa" w:w="20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</w:tr>
      <w:tr>
        <w:trPr>
          <w:cantSplit/>
          <w:tblHeader w:val="false"/>
        </w:trPr>
        <w:tc>
          <w:tcPr>
            <w:tcW w:type="dxa" w:w="10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14/11 a 20/11</w:t>
            </w:r>
          </w:p>
        </w:tc>
        <w:tc>
          <w:tcPr>
            <w:tcW w:type="dxa" w:w="56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30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Preparação da apresentação</w:t>
            </w:r>
          </w:p>
        </w:tc>
        <w:tc>
          <w:tcPr>
            <w:tcW w:type="dxa" w:w="20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16/11: versão final para a banca</w:t>
            </w:r>
          </w:p>
        </w:tc>
      </w:tr>
      <w:tr>
        <w:trPr>
          <w:cantSplit/>
          <w:tblHeader w:val="false"/>
        </w:trPr>
        <w:tc>
          <w:tcPr>
            <w:tcW w:type="dxa" w:w="10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21/11 a 27/11</w:t>
            </w:r>
          </w:p>
        </w:tc>
        <w:tc>
          <w:tcPr>
            <w:tcW w:type="dxa" w:w="56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30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Ensaios da apresentação</w:t>
            </w:r>
          </w:p>
        </w:tc>
        <w:tc>
          <w:tcPr>
            <w:tcW w:type="dxa" w:w="20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Defesa (data a definir)</w:t>
            </w:r>
          </w:p>
        </w:tc>
      </w:tr>
    </w:tbl>
    <w:p>
      <w:pPr>
        <w:spacing w:after="120"/>
      </w:pP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Capítulos</w:t>
      </w:r>
    </w:p>
    <w:tbl>
      <w:tblPr>
        <w:tblW w:type="dxa" w:w="1313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52"/>
        <w:gridCol w:w="3939"/>
        <w:gridCol w:w="3939"/>
      </w:tblGrid>
      <w:tr>
        <w:trPr>
          <w:cantSplit/>
          <w:tblHeader/>
        </w:trPr>
        <w:tc>
          <w:tcPr>
            <w:tcW w:type="dxa" w:w="52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Capítulo</w:t>
            </w:r>
          </w:p>
        </w:tc>
        <w:tc>
          <w:tcPr>
            <w:tcW w:type="dxa" w:w="39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Rascunho</w:t>
            </w:r>
          </w:p>
        </w:tc>
        <w:tc>
          <w:tcPr>
            <w:tcW w:type="dxa" w:w="39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Versão completa</w:t>
            </w:r>
          </w:p>
        </w:tc>
      </w:tr>
      <w:tr>
        <w:trPr>
          <w:cantSplit/>
          <w:tblHeader w:val="false"/>
        </w:trPr>
        <w:tc>
          <w:tcPr>
            <w:tcW w:type="dxa" w:w="52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 Introdução</w:t>
            </w:r>
          </w:p>
        </w:tc>
        <w:tc>
          <w:tcPr>
            <w:tcW w:type="dxa" w:w="39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Concluído</w:t>
            </w:r>
          </w:p>
        </w:tc>
        <w:tc>
          <w:tcPr>
            <w:tcW w:type="dxa" w:w="39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06/11 (revisão)</w:t>
            </w:r>
          </w:p>
        </w:tc>
      </w:tr>
      <w:tr>
        <w:trPr>
          <w:cantSplit/>
          <w:tblHeader w:val="false"/>
        </w:trPr>
        <w:tc>
          <w:tcPr>
            <w:tcW w:type="dxa" w:w="52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 Referencial teórico</w:t>
            </w:r>
          </w:p>
        </w:tc>
        <w:tc>
          <w:tcPr>
            <w:tcW w:type="dxa" w:w="39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25/09</w:t>
            </w:r>
          </w:p>
        </w:tc>
        <w:tc>
          <w:tcPr>
            <w:tcW w:type="dxa" w:w="39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06/11</w:t>
            </w:r>
          </w:p>
        </w:tc>
      </w:tr>
      <w:tr>
        <w:trPr>
          <w:cantSplit/>
          <w:tblHeader w:val="false"/>
        </w:trPr>
        <w:tc>
          <w:tcPr>
            <w:tcW w:type="dxa" w:w="52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 Metodologia</w:t>
            </w:r>
          </w:p>
        </w:tc>
        <w:tc>
          <w:tcPr>
            <w:tcW w:type="dxa" w:w="39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02/10</w:t>
            </w:r>
          </w:p>
        </w:tc>
        <w:tc>
          <w:tcPr>
            <w:tcW w:type="dxa" w:w="39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06/11</w:t>
            </w:r>
          </w:p>
        </w:tc>
      </w:tr>
      <w:tr>
        <w:trPr>
          <w:cantSplit/>
          <w:tblHeader w:val="false"/>
        </w:trPr>
        <w:tc>
          <w:tcPr>
            <w:tcW w:type="dxa" w:w="52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 Sumário executivo</w:t>
            </w:r>
          </w:p>
        </w:tc>
        <w:tc>
          <w:tcPr>
            <w:tcW w:type="dxa" w:w="39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06/11</w:t>
            </w:r>
          </w:p>
        </w:tc>
        <w:tc>
          <w:tcPr>
            <w:tcW w:type="dxa" w:w="39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06/11</w:t>
            </w:r>
          </w:p>
        </w:tc>
      </w:tr>
      <w:tr>
        <w:trPr>
          <w:cantSplit/>
          <w:tblHeader w:val="false"/>
        </w:trPr>
        <w:tc>
          <w:tcPr>
            <w:tcW w:type="dxa" w:w="52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 Análise de mercado</w:t>
            </w:r>
          </w:p>
        </w:tc>
        <w:tc>
          <w:tcPr>
            <w:tcW w:type="dxa" w:w="39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09/10</w:t>
            </w:r>
          </w:p>
        </w:tc>
        <w:tc>
          <w:tcPr>
            <w:tcW w:type="dxa" w:w="39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30/10</w:t>
            </w:r>
          </w:p>
        </w:tc>
      </w:tr>
      <w:tr>
        <w:trPr>
          <w:cantSplit/>
          <w:tblHeader w:val="false"/>
        </w:trPr>
        <w:tc>
          <w:tcPr>
            <w:tcW w:type="dxa" w:w="52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 Plano de marketing</w:t>
            </w:r>
          </w:p>
        </w:tc>
        <w:tc>
          <w:tcPr>
            <w:tcW w:type="dxa" w:w="39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16/10</w:t>
            </w:r>
          </w:p>
        </w:tc>
        <w:tc>
          <w:tcPr>
            <w:tcW w:type="dxa" w:w="39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30/10</w:t>
            </w:r>
          </w:p>
        </w:tc>
      </w:tr>
      <w:tr>
        <w:trPr>
          <w:cantSplit/>
          <w:tblHeader w:val="false"/>
        </w:trPr>
        <w:tc>
          <w:tcPr>
            <w:tcW w:type="dxa" w:w="52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 Plano operacional</w:t>
            </w:r>
          </w:p>
        </w:tc>
        <w:tc>
          <w:tcPr>
            <w:tcW w:type="dxa" w:w="39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23/10</w:t>
            </w:r>
          </w:p>
        </w:tc>
        <w:tc>
          <w:tcPr>
            <w:tcW w:type="dxa" w:w="39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06/11</w:t>
            </w:r>
          </w:p>
        </w:tc>
      </w:tr>
      <w:tr>
        <w:trPr>
          <w:cantSplit/>
          <w:tblHeader w:val="false"/>
        </w:trPr>
        <w:tc>
          <w:tcPr>
            <w:tcW w:type="dxa" w:w="52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 Aspectos jurídicos</w:t>
            </w:r>
          </w:p>
        </w:tc>
        <w:tc>
          <w:tcPr>
            <w:tcW w:type="dxa" w:w="39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23/10</w:t>
            </w:r>
          </w:p>
        </w:tc>
        <w:tc>
          <w:tcPr>
            <w:tcW w:type="dxa" w:w="39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06/11</w:t>
            </w:r>
          </w:p>
        </w:tc>
      </w:tr>
      <w:tr>
        <w:trPr>
          <w:cantSplit/>
          <w:tblHeader w:val="false"/>
        </w:trPr>
        <w:tc>
          <w:tcPr>
            <w:tcW w:type="dxa" w:w="52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 Plano financeiro</w:t>
            </w:r>
          </w:p>
        </w:tc>
        <w:tc>
          <w:tcPr>
            <w:tcW w:type="dxa" w:w="39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23/10</w:t>
            </w:r>
          </w:p>
        </w:tc>
        <w:tc>
          <w:tcPr>
            <w:tcW w:type="dxa" w:w="39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30/10</w:t>
            </w:r>
          </w:p>
        </w:tc>
      </w:tr>
      <w:tr>
        <w:trPr>
          <w:cantSplit/>
          <w:tblHeader w:val="false"/>
        </w:trPr>
        <w:tc>
          <w:tcPr>
            <w:tcW w:type="dxa" w:w="52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 Riscos</w:t>
            </w:r>
          </w:p>
        </w:tc>
        <w:tc>
          <w:tcPr>
            <w:tcW w:type="dxa" w:w="39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30/10</w:t>
            </w:r>
          </w:p>
        </w:tc>
        <w:tc>
          <w:tcPr>
            <w:tcW w:type="dxa" w:w="39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06/11</w:t>
            </w:r>
          </w:p>
        </w:tc>
      </w:tr>
      <w:tr>
        <w:trPr>
          <w:cantSplit/>
          <w:tblHeader w:val="false"/>
        </w:trPr>
        <w:tc>
          <w:tcPr>
            <w:tcW w:type="dxa" w:w="52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 Considerações finais</w:t>
            </w:r>
          </w:p>
        </w:tc>
        <w:tc>
          <w:tcPr>
            <w:tcW w:type="dxa" w:w="39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06/11</w:t>
            </w:r>
          </w:p>
        </w:tc>
        <w:tc>
          <w:tcPr>
            <w:tcW w:type="dxa" w:w="39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06/11</w:t>
            </w:r>
          </w:p>
        </w:tc>
      </w:tr>
      <w:tr>
        <w:trPr>
          <w:cantSplit/>
          <w:tblHeader w:val="false"/>
        </w:trPr>
        <w:tc>
          <w:tcPr>
            <w:tcW w:type="dxa" w:w="52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Referências e apêndices</w:t>
            </w:r>
          </w:p>
        </w:tc>
        <w:tc>
          <w:tcPr>
            <w:tcW w:type="dxa" w:w="39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Contínuo</w:t>
            </w:r>
          </w:p>
        </w:tc>
        <w:tc>
          <w:tcPr>
            <w:tcW w:type="dxa" w:w="39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06/11</w:t>
            </w:r>
          </w:p>
        </w:tc>
      </w:tr>
    </w:tbl>
    <w:p>
      <w:pPr>
        <w:spacing w:after="120"/>
      </w:pP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Plano de corte em caso de atraso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Se uma entrega atrasar mais de três dias, os itens abaixo saem do escopo, nesta ordem. Os itens cortados entram nas considerações finais como próximos passos.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Simulação de Monte Carlo. A análise de sensibilidade e os pontos de ruptura permanecem.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Comparação de avaliadores em comum entre luderias.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Base de jogos (Ludopedia e BoardGameGeek).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Atualização do site de apresentação. As figuras do texto permanecem.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Perfis dos avaliadores reduzidos a uma amostra de 20 avaliadores por estabelecimento.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Contagem de ocupação reduzida a duas visitas, uma por quinzena, ambas no fim de semana.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Não entram no plano de corte:</w:t>
      </w:r>
      <w:r>
        <w:rPr>
          <w:rFonts w:ascii="Arial" w:cs="Arial" w:eastAsia="Arial" w:hAnsi="Arial"/>
          <w:sz w:val="20"/>
          <w:szCs w:val="20"/>
        </w:rPr>
        <w:t xml:space="preserve"> registro prévio, validação da codificação e registro de premissas. Custam pouco e sustentam a confiabilidade dos resultados.</w:t>
      </w:r>
    </w:p>
    <w:sectPr>
      <w:pgSz w:w="16838" w:h="11906" w:orient="landscape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40" w:hanging="180"/>
      </w:pPr>
    </w:lvl>
    <w:lvl w:ilvl="1" w15:tentative="1">
      <w:start w:val="1"/>
      <w:numFmt w:val="bullet"/>
      <w:lvlText w:val="◦"/>
      <w:lvlJc w:val="left"/>
      <w:pPr>
        <w:ind w:left="600" w:hanging="1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2026-09-17T11:56:26.133Z</dcterms:created>
  <dcterms:modified xsi:type="dcterms:W3CDTF">2026-09-17T11:56:26.133Z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