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0701" w14:textId="754A9D0B" w:rsidR="00B954B2" w:rsidRDefault="00594EF5">
      <w:r>
        <w:t>Revisoin Week 3</w:t>
      </w:r>
    </w:p>
    <w:p w14:paraId="6B66B669" w14:textId="77777777" w:rsidR="00594EF5" w:rsidRDefault="00594EF5"/>
    <w:p w14:paraId="25DDAF0D" w14:textId="2900E74A" w:rsidR="00594EF5" w:rsidRDefault="00594EF5" w:rsidP="00941ECC">
      <w:pPr>
        <w:pStyle w:val="Heading2"/>
      </w:pPr>
      <w:r w:rsidRPr="00594EF5">
        <w:rPr>
          <w:lang w:val="en-US"/>
        </w:rPr>
        <w:t xml:space="preserve">Familywise </w:t>
      </w:r>
      <w:r w:rsidRPr="00CD56F9">
        <w:rPr>
          <w:highlight w:val="yellow"/>
          <w:lang w:val="en-US"/>
        </w:rPr>
        <w:t>Error Increases with Number of Categories</w:t>
      </w:r>
    </w:p>
    <w:p w14:paraId="09745D9C" w14:textId="66BC15FF" w:rsidR="00594EF5" w:rsidRDefault="00F67A5D">
      <w:r w:rsidRPr="00F67A5D">
        <w:drawing>
          <wp:inline distT="0" distB="0" distL="0" distR="0" wp14:anchorId="58A4B6DF" wp14:editId="7BADDBDD">
            <wp:extent cx="5731510" cy="2816860"/>
            <wp:effectExtent l="0" t="0" r="2540" b="2540"/>
            <wp:docPr id="2091921301"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1301" name="Picture 1" descr="A graph with a line&#10;&#10;Description automatically generated with medium confidence"/>
                    <pic:cNvPicPr/>
                  </pic:nvPicPr>
                  <pic:blipFill>
                    <a:blip r:embed="rId5"/>
                    <a:stretch>
                      <a:fillRect/>
                    </a:stretch>
                  </pic:blipFill>
                  <pic:spPr>
                    <a:xfrm>
                      <a:off x="0" y="0"/>
                      <a:ext cx="5731510" cy="2816860"/>
                    </a:xfrm>
                    <a:prstGeom prst="rect">
                      <a:avLst/>
                    </a:prstGeom>
                  </pic:spPr>
                </pic:pic>
              </a:graphicData>
            </a:graphic>
          </wp:inline>
        </w:drawing>
      </w:r>
    </w:p>
    <w:p w14:paraId="036415B9" w14:textId="77777777" w:rsidR="00744211" w:rsidRPr="00744211" w:rsidRDefault="00744211" w:rsidP="00744211">
      <w:r w:rsidRPr="00744211">
        <w:rPr>
          <w:lang w:val="en-US"/>
        </w:rPr>
        <w:t>That results in a familywise error of .659</w:t>
      </w:r>
    </w:p>
    <w:p w14:paraId="31A1FDA6" w14:textId="77777777" w:rsidR="00744211" w:rsidRPr="00744211" w:rsidRDefault="00744211" w:rsidP="003E0C4F">
      <w:pPr>
        <w:pStyle w:val="ListParagraph"/>
        <w:numPr>
          <w:ilvl w:val="0"/>
          <w:numId w:val="1"/>
        </w:numPr>
      </w:pPr>
      <w:r w:rsidRPr="003E0C4F">
        <w:rPr>
          <w:lang w:val="en-US"/>
        </w:rPr>
        <w:t>So if we went with all possible contrasts, we’d have a 66% of getting at least one false positive!</w:t>
      </w:r>
    </w:p>
    <w:p w14:paraId="0B0362C8" w14:textId="77777777" w:rsidR="00594EF5" w:rsidRDefault="00594EF5"/>
    <w:p w14:paraId="27A8F977" w14:textId="582FFE50" w:rsidR="00941ECC" w:rsidRDefault="00941ECC" w:rsidP="00941ECC">
      <w:pPr>
        <w:pStyle w:val="Heading2"/>
      </w:pPr>
      <w:r w:rsidRPr="00941ECC">
        <w:rPr>
          <w:lang w:val="en-US"/>
        </w:rPr>
        <w:t>Methods for correcting for multiple comparisons</w:t>
      </w:r>
    </w:p>
    <w:p w14:paraId="1CB66366" w14:textId="77777777" w:rsidR="00941ECC" w:rsidRPr="00941ECC" w:rsidRDefault="00941ECC" w:rsidP="00941ECC">
      <w:pPr>
        <w:numPr>
          <w:ilvl w:val="0"/>
          <w:numId w:val="2"/>
        </w:numPr>
      </w:pPr>
      <w:r w:rsidRPr="00941ECC">
        <w:rPr>
          <w:lang w:val="en-US"/>
        </w:rPr>
        <w:t>Anytime you subject the same data to multiple tests, you should correct for multiple comparisons</w:t>
      </w:r>
    </w:p>
    <w:p w14:paraId="1C101207" w14:textId="77777777" w:rsidR="00941ECC" w:rsidRPr="00941ECC" w:rsidRDefault="00941ECC" w:rsidP="00941ECC">
      <w:pPr>
        <w:numPr>
          <w:ilvl w:val="0"/>
          <w:numId w:val="2"/>
        </w:numPr>
      </w:pPr>
      <w:r w:rsidRPr="00941ECC">
        <w:rPr>
          <w:lang w:val="en-US"/>
        </w:rPr>
        <w:t>There are several methods available:</w:t>
      </w:r>
    </w:p>
    <w:p w14:paraId="2F906572" w14:textId="77777777" w:rsidR="00941ECC" w:rsidRPr="00941ECC" w:rsidRDefault="00941ECC" w:rsidP="00941ECC">
      <w:pPr>
        <w:numPr>
          <w:ilvl w:val="1"/>
          <w:numId w:val="2"/>
        </w:numPr>
      </w:pPr>
      <w:r w:rsidRPr="00941ECC">
        <w:rPr>
          <w:b/>
          <w:bCs/>
          <w:lang w:val="en-US"/>
        </w:rPr>
        <w:t>Bonferroni</w:t>
      </w:r>
    </w:p>
    <w:p w14:paraId="51908427" w14:textId="77777777" w:rsidR="00941ECC" w:rsidRPr="00941ECC" w:rsidRDefault="00941ECC" w:rsidP="00941ECC">
      <w:pPr>
        <w:numPr>
          <w:ilvl w:val="1"/>
          <w:numId w:val="2"/>
        </w:numPr>
      </w:pPr>
      <w:r w:rsidRPr="00941ECC">
        <w:rPr>
          <w:b/>
          <w:bCs/>
          <w:lang w:val="en-US"/>
        </w:rPr>
        <w:t>Holm-Bonferroni</w:t>
      </w:r>
    </w:p>
    <w:p w14:paraId="302ABFC9" w14:textId="77777777" w:rsidR="00941ECC" w:rsidRPr="00941ECC" w:rsidRDefault="00941ECC" w:rsidP="00941ECC">
      <w:pPr>
        <w:numPr>
          <w:ilvl w:val="1"/>
          <w:numId w:val="2"/>
        </w:numPr>
      </w:pPr>
      <w:r w:rsidRPr="00941ECC">
        <w:rPr>
          <w:b/>
          <w:bCs/>
          <w:lang w:val="en-US"/>
        </w:rPr>
        <w:t>Tukey’s HSD (Honestly Significant Differences)</w:t>
      </w:r>
    </w:p>
    <w:p w14:paraId="730C3FE8" w14:textId="77777777" w:rsidR="00941ECC" w:rsidRPr="00941ECC" w:rsidRDefault="00941ECC" w:rsidP="00941ECC">
      <w:pPr>
        <w:numPr>
          <w:ilvl w:val="1"/>
          <w:numId w:val="2"/>
        </w:numPr>
      </w:pPr>
      <w:r w:rsidRPr="00941ECC">
        <w:rPr>
          <w:lang w:val="en-US"/>
        </w:rPr>
        <w:t>False Discovery Rate</w:t>
      </w:r>
    </w:p>
    <w:p w14:paraId="37FCA8D5" w14:textId="77777777" w:rsidR="00941ECC" w:rsidRPr="00941ECC" w:rsidRDefault="00941ECC" w:rsidP="00941ECC">
      <w:pPr>
        <w:numPr>
          <w:ilvl w:val="1"/>
          <w:numId w:val="2"/>
        </w:numPr>
      </w:pPr>
      <w:r w:rsidRPr="00941ECC">
        <w:rPr>
          <w:lang w:val="en-US"/>
        </w:rPr>
        <w:t>Cluster-based correction</w:t>
      </w:r>
    </w:p>
    <w:p w14:paraId="72E5CF77" w14:textId="77777777" w:rsidR="00941ECC" w:rsidRPr="00941ECC" w:rsidRDefault="00941ECC" w:rsidP="00941ECC">
      <w:pPr>
        <w:numPr>
          <w:ilvl w:val="1"/>
          <w:numId w:val="2"/>
        </w:numPr>
      </w:pPr>
      <w:r w:rsidRPr="00941ECC">
        <w:rPr>
          <w:lang w:val="en-US"/>
        </w:rPr>
        <w:t>Threshold-Free Cluster Enhancement (TFCE)</w:t>
      </w:r>
    </w:p>
    <w:p w14:paraId="7554EB22" w14:textId="77777777" w:rsidR="00941ECC" w:rsidRPr="00941ECC" w:rsidRDefault="00941ECC" w:rsidP="00941ECC">
      <w:pPr>
        <w:numPr>
          <w:ilvl w:val="1"/>
          <w:numId w:val="2"/>
        </w:numPr>
      </w:pPr>
      <w:r w:rsidRPr="00941ECC">
        <w:rPr>
          <w:lang w:val="en-US"/>
        </w:rPr>
        <w:t>And so many more…</w:t>
      </w:r>
    </w:p>
    <w:p w14:paraId="55CD6E90" w14:textId="77777777" w:rsidR="00941ECC" w:rsidRPr="00941ECC" w:rsidRDefault="00941ECC" w:rsidP="00941ECC">
      <w:pPr>
        <w:numPr>
          <w:ilvl w:val="0"/>
          <w:numId w:val="2"/>
        </w:numPr>
      </w:pPr>
      <w:r w:rsidRPr="00941ECC">
        <w:rPr>
          <w:lang w:val="en-US"/>
        </w:rPr>
        <w:t>We will discuss the most common</w:t>
      </w:r>
    </w:p>
    <w:p w14:paraId="63256E6F" w14:textId="77777777" w:rsidR="00941ECC" w:rsidRDefault="00941ECC"/>
    <w:p w14:paraId="7B161703" w14:textId="3CEB5EAB" w:rsidR="00B6365E" w:rsidRDefault="00B6365E" w:rsidP="00915C36">
      <w:pPr>
        <w:pStyle w:val="Heading3"/>
        <w:jc w:val="center"/>
      </w:pPr>
      <w:r>
        <w:t>Bonferroni</w:t>
      </w:r>
    </w:p>
    <w:p w14:paraId="4924DFE5" w14:textId="7AD04881" w:rsidR="00B6365E" w:rsidRDefault="00B6365E">
      <w:r w:rsidRPr="00B6365E">
        <w:drawing>
          <wp:inline distT="0" distB="0" distL="0" distR="0" wp14:anchorId="237A7068" wp14:editId="6E723F16">
            <wp:extent cx="5140960" cy="2911084"/>
            <wp:effectExtent l="0" t="0" r="2540" b="3810"/>
            <wp:docPr id="1968991571" name="Picture 1" descr="A screenshot of a math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91571" name="Picture 1" descr="A screenshot of a math method&#10;&#10;Description automatically generated"/>
                    <pic:cNvPicPr/>
                  </pic:nvPicPr>
                  <pic:blipFill>
                    <a:blip r:embed="rId6"/>
                    <a:stretch>
                      <a:fillRect/>
                    </a:stretch>
                  </pic:blipFill>
                  <pic:spPr>
                    <a:xfrm>
                      <a:off x="0" y="0"/>
                      <a:ext cx="5143666" cy="2912616"/>
                    </a:xfrm>
                    <a:prstGeom prst="rect">
                      <a:avLst/>
                    </a:prstGeom>
                  </pic:spPr>
                </pic:pic>
              </a:graphicData>
            </a:graphic>
          </wp:inline>
        </w:drawing>
      </w:r>
    </w:p>
    <w:p w14:paraId="380D5444" w14:textId="77777777" w:rsidR="00B6365E" w:rsidRPr="00B6365E" w:rsidRDefault="00B6365E" w:rsidP="00B6365E">
      <w:r w:rsidRPr="00B6365E">
        <w:t>The Bonferroni method simply scales your critical value by the number of contrasts.</w:t>
      </w:r>
    </w:p>
    <w:p w14:paraId="72667656" w14:textId="77777777" w:rsidR="00B6365E" w:rsidRPr="00B6365E" w:rsidRDefault="00B6365E" w:rsidP="00B6365E">
      <w:r w:rsidRPr="00B6365E">
        <w:t>So let’s say your initial alpha, that is the value of p that you will deem statistically significant is 0.05 and you are running 10 post-hoc comparisons, your NEW CORRECTED alpha will be: 0.05 / 10 or 0.005.</w:t>
      </w:r>
    </w:p>
    <w:p w14:paraId="5FD6C5F0" w14:textId="77777777" w:rsidR="00B6365E" w:rsidRPr="00B6365E" w:rsidRDefault="00B6365E" w:rsidP="00B6365E">
      <w:r w:rsidRPr="00B6365E">
        <w:t xml:space="preserve">So for each pairwise comparison, the p-value must now be </w:t>
      </w:r>
      <w:r w:rsidRPr="00B6365E">
        <w:rPr>
          <w:b/>
          <w:bCs/>
        </w:rPr>
        <w:t>below</w:t>
      </w:r>
      <w:r w:rsidRPr="00B6365E">
        <w:t xml:space="preserve"> 0.005.</w:t>
      </w:r>
    </w:p>
    <w:p w14:paraId="44C3EBB3" w14:textId="77777777" w:rsidR="00915C36" w:rsidRPr="00915C36" w:rsidRDefault="00915C36" w:rsidP="00915C36">
      <w:pPr>
        <w:pStyle w:val="ListParagraph"/>
        <w:numPr>
          <w:ilvl w:val="0"/>
          <w:numId w:val="1"/>
        </w:numPr>
        <w:rPr>
          <w:lang w:val="en-US"/>
        </w:rPr>
      </w:pPr>
      <w:r w:rsidRPr="00915C36">
        <w:rPr>
          <w:lang w:val="en-US"/>
        </w:rPr>
        <w:t xml:space="preserve">The Bonferroni method is very popular because it is </w:t>
      </w:r>
      <w:r w:rsidRPr="003E15CC">
        <w:rPr>
          <w:highlight w:val="green"/>
          <w:lang w:val="en-US"/>
        </w:rPr>
        <w:t>easy to implement.</w:t>
      </w:r>
    </w:p>
    <w:p w14:paraId="3CA1651F" w14:textId="271AA8A1" w:rsidR="00915C36" w:rsidRPr="00915C36" w:rsidRDefault="00915C36" w:rsidP="00915C36">
      <w:pPr>
        <w:pStyle w:val="ListParagraph"/>
        <w:numPr>
          <w:ilvl w:val="0"/>
          <w:numId w:val="1"/>
        </w:numPr>
      </w:pPr>
      <w:r w:rsidRPr="00915C36">
        <w:rPr>
          <w:lang w:val="en-US"/>
        </w:rPr>
        <w:t xml:space="preserve">However, it </w:t>
      </w:r>
      <w:r w:rsidRPr="003E15CC">
        <w:rPr>
          <w:highlight w:val="red"/>
          <w:lang w:val="en-US"/>
        </w:rPr>
        <w:t>is very conservative</w:t>
      </w:r>
      <w:r w:rsidRPr="00915C36">
        <w:rPr>
          <w:lang w:val="en-US"/>
        </w:rPr>
        <w:t>, especially when correcting for 1000s if not 1,000,000s of contrasts like you would be when analysing FMRI data.</w:t>
      </w:r>
    </w:p>
    <w:p w14:paraId="6A0989E4" w14:textId="77777777" w:rsidR="00B6365E" w:rsidRDefault="00B6365E"/>
    <w:p w14:paraId="7E5FAD25" w14:textId="092BC37F" w:rsidR="000F4535" w:rsidRDefault="000F4535" w:rsidP="000F4535">
      <w:pPr>
        <w:pStyle w:val="Heading3"/>
        <w:jc w:val="center"/>
      </w:pPr>
      <w:r>
        <w:lastRenderedPageBreak/>
        <w:t>Holm-</w:t>
      </w:r>
      <w:r>
        <w:t>Bonferroni</w:t>
      </w:r>
    </w:p>
    <w:p w14:paraId="3748C94F" w14:textId="7B343130" w:rsidR="000F4535" w:rsidRDefault="00A357EB">
      <w:r w:rsidRPr="00A357EB">
        <w:drawing>
          <wp:inline distT="0" distB="0" distL="0" distR="0" wp14:anchorId="1C4FFE31" wp14:editId="4F1E7294">
            <wp:extent cx="5731510" cy="3201670"/>
            <wp:effectExtent l="0" t="0" r="2540" b="0"/>
            <wp:docPr id="1990154576" name="Picture 1" descr="A screenshot of a math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54576" name="Picture 1" descr="A screenshot of a math method&#10;&#10;Description automatically generated"/>
                    <pic:cNvPicPr/>
                  </pic:nvPicPr>
                  <pic:blipFill>
                    <a:blip r:embed="rId7"/>
                    <a:stretch>
                      <a:fillRect/>
                    </a:stretch>
                  </pic:blipFill>
                  <pic:spPr>
                    <a:xfrm>
                      <a:off x="0" y="0"/>
                      <a:ext cx="5731510" cy="3201670"/>
                    </a:xfrm>
                    <a:prstGeom prst="rect">
                      <a:avLst/>
                    </a:prstGeom>
                  </pic:spPr>
                </pic:pic>
              </a:graphicData>
            </a:graphic>
          </wp:inline>
        </w:drawing>
      </w:r>
    </w:p>
    <w:p w14:paraId="4FA5E83E" w14:textId="77777777" w:rsidR="00A357EB" w:rsidRDefault="00A357EB"/>
    <w:p w14:paraId="37A3F0D8" w14:textId="0A5E9C0F" w:rsidR="00CF2A94" w:rsidRPr="00CF2A94" w:rsidRDefault="00CF2A94" w:rsidP="00CF2A94">
      <w:r>
        <w:rPr>
          <w:lang w:val="en-US"/>
        </w:rPr>
        <w:t>H</w:t>
      </w:r>
      <w:r w:rsidR="00407C62">
        <w:rPr>
          <w:lang w:val="en-US"/>
        </w:rPr>
        <w:t>o</w:t>
      </w:r>
      <w:r>
        <w:rPr>
          <w:lang w:val="en-US"/>
        </w:rPr>
        <w:t xml:space="preserve">lm </w:t>
      </w:r>
      <w:r w:rsidRPr="00CF2A94">
        <w:rPr>
          <w:lang w:val="en-US"/>
        </w:rPr>
        <w:t>introduced a modification whereby the critical p-value for each contrast was determined separately. This was done by dividing the Bonferroni-corrected alpha by the ranking of the current contrast.</w:t>
      </w:r>
    </w:p>
    <w:p w14:paraId="342B9B89" w14:textId="77777777" w:rsidR="00CF2A94" w:rsidRPr="00CF2A94" w:rsidRDefault="00CF2A94" w:rsidP="00CF2A94">
      <w:r w:rsidRPr="00CF2A94">
        <w:rPr>
          <w:lang w:val="en-US"/>
        </w:rPr>
        <w:t>So what this means is that each contrast is “penalized” differently, with the contrast with the smallest p-value – that is the one that is “most” significant - being penalized most harshly.</w:t>
      </w:r>
    </w:p>
    <w:p w14:paraId="07FAB76E" w14:textId="77777777" w:rsidR="00CF2A94" w:rsidRPr="00CF2A94" w:rsidRDefault="00CF2A94" w:rsidP="00CF2A94">
      <w:r w:rsidRPr="00CF2A94">
        <w:rPr>
          <w:lang w:val="en-US"/>
        </w:rPr>
        <w:t xml:space="preserve">For example, let’s say we have 5 contrasts that give us five different p values.  We rank those p values from lowest to highest.  Then, we calculate a different p-critical value for each using this formula.  In the case of the first contrast, we divide 0.05 by k, which is the total number of contrasts (which in our hypothetical example is 5) minus j (which is the rank of the current p-value, so for our first example that is 1 and then add back 1.  So that is 0.05 / 5.  The next p-value would have a critical value of 0.05 / 4, and so on.  </w:t>
      </w:r>
    </w:p>
    <w:p w14:paraId="385BB693" w14:textId="77777777" w:rsidR="00CF2A94" w:rsidRPr="00CF2A94" w:rsidRDefault="00CF2A94" w:rsidP="00CF2A94">
      <w:r w:rsidRPr="00CF2A94">
        <w:rPr>
          <w:lang w:val="en-US"/>
        </w:rPr>
        <w:t>What this means is the critical p’s will get closer and closer to 0.05 as our p-values get larger and larger.</w:t>
      </w:r>
    </w:p>
    <w:p w14:paraId="571A93B3" w14:textId="77777777" w:rsidR="00A357EB" w:rsidRDefault="00A357EB"/>
    <w:p w14:paraId="61F5A4FD" w14:textId="77777777" w:rsidR="00941ECC" w:rsidRDefault="00941ECC"/>
    <w:p w14:paraId="419168AB" w14:textId="2B974EDF" w:rsidR="004D591C" w:rsidRDefault="004D591C" w:rsidP="004D591C">
      <w:pPr>
        <w:pStyle w:val="Heading3"/>
      </w:pPr>
      <w:r>
        <w:t>Tukey’s Test</w:t>
      </w:r>
    </w:p>
    <w:p w14:paraId="440EDA9B" w14:textId="77777777" w:rsidR="00744211" w:rsidRDefault="00744211">
      <w:pPr>
        <w:pBdr>
          <w:bottom w:val="single" w:sz="6" w:space="1" w:color="auto"/>
        </w:pBdr>
      </w:pPr>
    </w:p>
    <w:p w14:paraId="39D352B7" w14:textId="77777777" w:rsidR="004D591C" w:rsidRPr="004D591C" w:rsidRDefault="004D591C" w:rsidP="004D591C">
      <w:pPr>
        <w:pBdr>
          <w:bottom w:val="single" w:sz="6" w:space="1" w:color="auto"/>
        </w:pBdr>
      </w:pPr>
      <w:r w:rsidRPr="004D591C">
        <w:rPr>
          <w:lang w:val="en-US"/>
        </w:rPr>
        <w:lastRenderedPageBreak/>
        <w:t>The last example that we will look at is Tukey’s HSD or Tukey’s Test or Tukey’s Range test.</w:t>
      </w:r>
    </w:p>
    <w:p w14:paraId="7B19120A" w14:textId="77777777" w:rsidR="004D591C" w:rsidRPr="004D591C" w:rsidRDefault="004D591C" w:rsidP="004D591C">
      <w:pPr>
        <w:pBdr>
          <w:bottom w:val="single" w:sz="6" w:space="1" w:color="auto"/>
        </w:pBdr>
      </w:pPr>
      <w:r w:rsidRPr="004D591C">
        <w:rPr>
          <w:lang w:val="en-US"/>
        </w:rPr>
        <w:t>In essence, Tukey’s runs pairwise t-tests for all possible pairings BUT it uses a special t-distribution when determining the p-value.</w:t>
      </w:r>
    </w:p>
    <w:p w14:paraId="0BD6087D" w14:textId="77777777" w:rsidR="004D591C" w:rsidRPr="004D591C" w:rsidRDefault="004D591C" w:rsidP="004D591C">
      <w:pPr>
        <w:pBdr>
          <w:bottom w:val="single" w:sz="6" w:space="1" w:color="auto"/>
        </w:pBdr>
      </w:pPr>
      <w:r w:rsidRPr="004D591C">
        <w:rPr>
          <w:lang w:val="en-US"/>
        </w:rPr>
        <w:t>Briefly, this is a modified version of the Student t-distribution (the one that is used for standard t-tests) but constrained by the range of your different group means.  So instead of a t-distribution that would extend well beyond the useful range of values, this “Studentized distribution” is specific to your dataset. In effect, it means it’s “easier” to get a statistically significant result.</w:t>
      </w:r>
    </w:p>
    <w:p w14:paraId="2D106AD1" w14:textId="77777777" w:rsidR="004D591C" w:rsidRPr="004D591C" w:rsidRDefault="004D591C" w:rsidP="004D591C">
      <w:pPr>
        <w:pBdr>
          <w:bottom w:val="single" w:sz="6" w:space="1" w:color="auto"/>
        </w:pBdr>
      </w:pPr>
      <w:r w:rsidRPr="004D591C">
        <w:rPr>
          <w:lang w:val="en-US"/>
        </w:rPr>
        <w:t>This is a true post-hoc test as it is the one method where you must use all pairwise comparisons.  Bonferroni and Holm methods can theoretically be applied to a subset of pairwise comparisons but Tukey’s must include all comparisons to work properly.</w:t>
      </w:r>
    </w:p>
    <w:p w14:paraId="69DEB1BC" w14:textId="77777777" w:rsidR="004D591C" w:rsidRPr="004D591C" w:rsidRDefault="004D591C" w:rsidP="004D591C">
      <w:pPr>
        <w:pBdr>
          <w:bottom w:val="single" w:sz="6" w:space="1" w:color="auto"/>
        </w:pBdr>
      </w:pPr>
      <w:r w:rsidRPr="004D591C">
        <w:rPr>
          <w:lang w:val="en-US"/>
        </w:rPr>
        <w:t xml:space="preserve">Also – it is more sensitive to violations of the equal variances assumption of ANOVA. </w:t>
      </w:r>
    </w:p>
    <w:p w14:paraId="1F556306" w14:textId="77777777" w:rsidR="004D591C" w:rsidRPr="004D591C" w:rsidRDefault="004D591C" w:rsidP="004D591C">
      <w:pPr>
        <w:pBdr>
          <w:bottom w:val="single" w:sz="6" w:space="1" w:color="auto"/>
        </w:pBdr>
      </w:pPr>
      <w:r w:rsidRPr="004D591C">
        <w:rPr>
          <w:lang w:val="en-US"/>
        </w:rPr>
        <w:t>So if your Levene’s test is significant, do not use Tukey’s HSD.</w:t>
      </w:r>
    </w:p>
    <w:p w14:paraId="68FF0054" w14:textId="122C3823" w:rsidR="004D591C" w:rsidRDefault="004D591C">
      <w:pPr>
        <w:pBdr>
          <w:bottom w:val="single" w:sz="6" w:space="1" w:color="auto"/>
        </w:pBdr>
      </w:pPr>
      <w:r w:rsidRPr="004D591C">
        <w:drawing>
          <wp:inline distT="0" distB="0" distL="0" distR="0" wp14:anchorId="4572629E" wp14:editId="35EEDA25">
            <wp:extent cx="5731510" cy="3127375"/>
            <wp:effectExtent l="0" t="0" r="2540" b="0"/>
            <wp:docPr id="2044006597"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06597" name="Picture 1" descr="A screenshot of a test&#10;&#10;Description automatically generated"/>
                    <pic:cNvPicPr/>
                  </pic:nvPicPr>
                  <pic:blipFill>
                    <a:blip r:embed="rId8"/>
                    <a:stretch>
                      <a:fillRect/>
                    </a:stretch>
                  </pic:blipFill>
                  <pic:spPr>
                    <a:xfrm>
                      <a:off x="0" y="0"/>
                      <a:ext cx="5731510" cy="3127375"/>
                    </a:xfrm>
                    <a:prstGeom prst="rect">
                      <a:avLst/>
                    </a:prstGeom>
                  </pic:spPr>
                </pic:pic>
              </a:graphicData>
            </a:graphic>
          </wp:inline>
        </w:drawing>
      </w:r>
    </w:p>
    <w:p w14:paraId="454A8701" w14:textId="77777777" w:rsidR="007B160F" w:rsidRPr="007B160F" w:rsidRDefault="007B160F" w:rsidP="007B160F">
      <w:pPr>
        <w:pBdr>
          <w:bottom w:val="single" w:sz="6" w:space="1" w:color="auto"/>
        </w:pBdr>
      </w:pPr>
      <w:r w:rsidRPr="007B160F">
        <w:t>It is unfortunately not possible to use pairwise.t.test to run Tukey’s so we need to introduce some new code and syntax.</w:t>
      </w:r>
    </w:p>
    <w:p w14:paraId="572A17A4" w14:textId="77777777" w:rsidR="007B160F" w:rsidRPr="007B160F" w:rsidRDefault="007B160F" w:rsidP="007B160F">
      <w:pPr>
        <w:pBdr>
          <w:bottom w:val="single" w:sz="6" w:space="1" w:color="auto"/>
        </w:pBdr>
      </w:pPr>
      <w:r w:rsidRPr="007B160F">
        <w:t>Here we will use glht() (which stands for general linear hypothesis testing) which is part of the multcomp library to run our correction.</w:t>
      </w:r>
    </w:p>
    <w:p w14:paraId="04D9C619" w14:textId="77777777" w:rsidR="007B160F" w:rsidRPr="007B160F" w:rsidRDefault="007B160F" w:rsidP="007B160F">
      <w:pPr>
        <w:pBdr>
          <w:bottom w:val="single" w:sz="6" w:space="1" w:color="auto"/>
        </w:pBdr>
      </w:pPr>
      <w:r w:rsidRPr="007B160F">
        <w:t>We need to feed this function our ANOVA object (or LM object) and set the linear function – or rather the “hypothesis to be tested”, which in this case is the multicomparison across decade using Tukey’s.</w:t>
      </w:r>
    </w:p>
    <w:p w14:paraId="3191668E" w14:textId="77777777" w:rsidR="007B160F" w:rsidRPr="007B160F" w:rsidRDefault="007B160F" w:rsidP="007B160F">
      <w:pPr>
        <w:pBdr>
          <w:bottom w:val="single" w:sz="6" w:space="1" w:color="auto"/>
        </w:pBdr>
      </w:pPr>
      <w:r w:rsidRPr="007B160F">
        <w:lastRenderedPageBreak/>
        <w:t>Conveniently or inconveniently, depending on your perspective, this method spits out the t-stat and p-value for each possible pairwise contrast, along with significance codes.</w:t>
      </w:r>
    </w:p>
    <w:p w14:paraId="32181547" w14:textId="77777777" w:rsidR="007B160F" w:rsidRPr="007B160F" w:rsidRDefault="007B160F" w:rsidP="007B160F">
      <w:pPr>
        <w:pBdr>
          <w:bottom w:val="single" w:sz="6" w:space="1" w:color="auto"/>
        </w:pBdr>
      </w:pPr>
      <w:r w:rsidRPr="007B160F">
        <w:t>And that is Tukey’s.</w:t>
      </w:r>
    </w:p>
    <w:p w14:paraId="6E6B5681" w14:textId="77777777" w:rsidR="004D591C" w:rsidRDefault="004D591C">
      <w:pPr>
        <w:pBdr>
          <w:bottom w:val="single" w:sz="6" w:space="1" w:color="auto"/>
        </w:pBdr>
      </w:pPr>
    </w:p>
    <w:p w14:paraId="4FFA2C70" w14:textId="77777777" w:rsidR="007B160F" w:rsidRDefault="007B160F">
      <w:pPr>
        <w:pBdr>
          <w:bottom w:val="single" w:sz="6" w:space="1" w:color="auto"/>
        </w:pBdr>
      </w:pPr>
    </w:p>
    <w:p w14:paraId="48F7DF16" w14:textId="302F45CF" w:rsidR="005E621C" w:rsidRDefault="005E621C" w:rsidP="005E621C">
      <w:pPr>
        <w:pStyle w:val="Heading3"/>
      </w:pPr>
      <w:r>
        <w:t>Importance of Orthogonal Planned Contrasts</w:t>
      </w:r>
    </w:p>
    <w:p w14:paraId="18A546AC" w14:textId="5D117176" w:rsidR="00225CA5" w:rsidRPr="00225CA5" w:rsidRDefault="00225CA5" w:rsidP="00225CA5">
      <w:r w:rsidRPr="00225CA5">
        <w:drawing>
          <wp:inline distT="0" distB="0" distL="0" distR="0" wp14:anchorId="013A9303" wp14:editId="4F9DDD65">
            <wp:extent cx="5731510" cy="1804035"/>
            <wp:effectExtent l="0" t="0" r="2540" b="5715"/>
            <wp:docPr id="1676555758" name="Picture 1" descr="A table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55758" name="Picture 1" descr="A table with blue and white text&#10;&#10;Description automatically generated"/>
                    <pic:cNvPicPr/>
                  </pic:nvPicPr>
                  <pic:blipFill>
                    <a:blip r:embed="rId9"/>
                    <a:stretch>
                      <a:fillRect/>
                    </a:stretch>
                  </pic:blipFill>
                  <pic:spPr>
                    <a:xfrm>
                      <a:off x="0" y="0"/>
                      <a:ext cx="5731510" cy="1804035"/>
                    </a:xfrm>
                    <a:prstGeom prst="rect">
                      <a:avLst/>
                    </a:prstGeom>
                  </pic:spPr>
                </pic:pic>
              </a:graphicData>
            </a:graphic>
          </wp:inline>
        </w:drawing>
      </w:r>
    </w:p>
    <w:p w14:paraId="2C875DEA" w14:textId="77777777" w:rsidR="005E621C" w:rsidRPr="005E621C" w:rsidRDefault="005E621C" w:rsidP="005E621C">
      <w:pPr>
        <w:numPr>
          <w:ilvl w:val="0"/>
          <w:numId w:val="3"/>
        </w:numPr>
        <w:pBdr>
          <w:bottom w:val="single" w:sz="6" w:space="1" w:color="auto"/>
        </w:pBdr>
      </w:pPr>
      <w:r w:rsidRPr="005E621C">
        <w:rPr>
          <w:lang w:val="en-US"/>
        </w:rPr>
        <w:t>In the previous examples, you may have noticed we had an additional column called “Product”, which contained the product of all weights for a given group</w:t>
      </w:r>
    </w:p>
    <w:p w14:paraId="602AA037" w14:textId="77777777" w:rsidR="005E621C" w:rsidRPr="005E621C" w:rsidRDefault="005E621C" w:rsidP="005E621C">
      <w:pPr>
        <w:numPr>
          <w:ilvl w:val="0"/>
          <w:numId w:val="3"/>
        </w:numPr>
        <w:pBdr>
          <w:bottom w:val="single" w:sz="6" w:space="1" w:color="auto"/>
        </w:pBdr>
      </w:pPr>
      <w:r w:rsidRPr="005E621C">
        <w:rPr>
          <w:lang w:val="en-US"/>
        </w:rPr>
        <w:t xml:space="preserve">When the </w:t>
      </w:r>
      <w:r w:rsidRPr="005E621C">
        <w:rPr>
          <w:b/>
          <w:bCs/>
          <w:lang w:val="en-US"/>
        </w:rPr>
        <w:t xml:space="preserve">TOTAL </w:t>
      </w:r>
      <w:r w:rsidRPr="005E621C">
        <w:rPr>
          <w:lang w:val="en-US"/>
        </w:rPr>
        <w:t xml:space="preserve">of this product column (marked in GREEN above) is zero, the contrasts are said to be </w:t>
      </w:r>
      <w:r w:rsidRPr="005E621C">
        <w:rPr>
          <w:b/>
          <w:bCs/>
          <w:i/>
          <w:iCs/>
          <w:lang w:val="en-US"/>
        </w:rPr>
        <w:t>orthogonal</w:t>
      </w:r>
      <w:r w:rsidRPr="005E621C">
        <w:rPr>
          <w:i/>
          <w:iCs/>
          <w:lang w:val="en-US"/>
        </w:rPr>
        <w:t xml:space="preserve"> </w:t>
      </w:r>
      <w:r w:rsidRPr="005E621C">
        <w:rPr>
          <w:lang w:val="en-US"/>
        </w:rPr>
        <w:t xml:space="preserve">to one another – meaning they are essentially </w:t>
      </w:r>
      <w:r w:rsidRPr="005E621C">
        <w:rPr>
          <w:b/>
          <w:bCs/>
          <w:lang w:val="en-US"/>
        </w:rPr>
        <w:t>independent</w:t>
      </w:r>
      <w:r w:rsidRPr="005E621C">
        <w:rPr>
          <w:lang w:val="en-US"/>
        </w:rPr>
        <w:t xml:space="preserve"> from one another. </w:t>
      </w:r>
    </w:p>
    <w:p w14:paraId="5E513F63" w14:textId="77777777" w:rsidR="005E621C" w:rsidRPr="005E621C" w:rsidRDefault="005E621C" w:rsidP="005E621C">
      <w:pPr>
        <w:numPr>
          <w:ilvl w:val="0"/>
          <w:numId w:val="3"/>
        </w:numPr>
        <w:pBdr>
          <w:bottom w:val="single" w:sz="6" w:space="1" w:color="auto"/>
        </w:pBdr>
      </w:pPr>
      <w:r w:rsidRPr="005E621C">
        <w:rPr>
          <w:lang w:val="en-US"/>
        </w:rPr>
        <w:t xml:space="preserve">This is desirable because it justifies our NOT correcting for multiple comparisons. It basically means that the probability of getting a significant effect in one contrast </w:t>
      </w:r>
      <w:r w:rsidRPr="005E621C">
        <w:rPr>
          <w:i/>
          <w:iCs/>
          <w:lang w:val="en-US"/>
        </w:rPr>
        <w:t>has no impact</w:t>
      </w:r>
      <w:r w:rsidRPr="005E621C">
        <w:rPr>
          <w:lang w:val="en-US"/>
        </w:rPr>
        <w:t xml:space="preserve"> on the probability of getting a significant effect in another contrast.</w:t>
      </w:r>
    </w:p>
    <w:p w14:paraId="6DF997E6" w14:textId="77777777" w:rsidR="005E621C" w:rsidRPr="005E621C" w:rsidRDefault="005E621C" w:rsidP="005E621C">
      <w:pPr>
        <w:numPr>
          <w:ilvl w:val="0"/>
          <w:numId w:val="3"/>
        </w:numPr>
        <w:pBdr>
          <w:bottom w:val="single" w:sz="6" w:space="1" w:color="auto"/>
        </w:pBdr>
      </w:pPr>
      <w:r w:rsidRPr="005E621C">
        <w:rPr>
          <w:b/>
          <w:bCs/>
          <w:lang w:val="en-US"/>
        </w:rPr>
        <w:t>If the contrasts are not orthogonal, they are not independent and therefore you should somehow correct for multiple comparisons</w:t>
      </w:r>
    </w:p>
    <w:p w14:paraId="2BC29F43" w14:textId="77777777" w:rsidR="007B160F" w:rsidRDefault="007B160F">
      <w:pPr>
        <w:pBdr>
          <w:bottom w:val="single" w:sz="6" w:space="1" w:color="auto"/>
        </w:pBdr>
      </w:pPr>
    </w:p>
    <w:p w14:paraId="3163359C" w14:textId="77777777" w:rsidR="005E621C" w:rsidRDefault="005E621C">
      <w:pPr>
        <w:pBdr>
          <w:bottom w:val="single" w:sz="6" w:space="1" w:color="auto"/>
        </w:pBdr>
      </w:pPr>
    </w:p>
    <w:p w14:paraId="3EBC111B" w14:textId="088AB9B9" w:rsidR="001C7D16" w:rsidRDefault="001C7D16">
      <w:pPr>
        <w:pBdr>
          <w:bottom w:val="single" w:sz="6" w:space="1" w:color="auto"/>
        </w:pBdr>
      </w:pPr>
      <w:r>
        <w:t>Parametric VS Non-Parametric Tests</w:t>
      </w:r>
    </w:p>
    <w:p w14:paraId="552E3E2D" w14:textId="77777777" w:rsidR="00C40F79" w:rsidRPr="00C40F79" w:rsidRDefault="00C40F79" w:rsidP="00C40F79">
      <w:pPr>
        <w:numPr>
          <w:ilvl w:val="0"/>
          <w:numId w:val="4"/>
        </w:numPr>
        <w:pBdr>
          <w:bottom w:val="single" w:sz="6" w:space="1" w:color="auto"/>
        </w:pBdr>
      </w:pPr>
      <w:r w:rsidRPr="00C40F79">
        <w:rPr>
          <w:lang w:val="en-US"/>
        </w:rPr>
        <w:t xml:space="preserve">A </w:t>
      </w:r>
      <w:r w:rsidRPr="00C40F79">
        <w:rPr>
          <w:b/>
          <w:bCs/>
          <w:lang w:val="en-US"/>
        </w:rPr>
        <w:t>parametric test</w:t>
      </w:r>
      <w:r w:rsidRPr="00C40F79">
        <w:rPr>
          <w:lang w:val="en-US"/>
        </w:rPr>
        <w:t xml:space="preserve"> (e.g., t-test) assumes the data are distributed in a certain way. In most “standard” cases, it assumes the data follow a normal distribution with two parameters: mean, </w:t>
      </w:r>
      <w:r w:rsidRPr="00C40F79">
        <w:rPr>
          <w:rFonts w:ascii="Cambria Math" w:hAnsi="Cambria Math" w:cs="Cambria Math"/>
          <w:lang w:val="en-US"/>
        </w:rPr>
        <w:t>𝜇</w:t>
      </w:r>
      <w:r w:rsidRPr="00C40F79">
        <w:rPr>
          <w:lang w:val="en-US"/>
        </w:rPr>
        <w:t xml:space="preserve"> and standard deviation, </w:t>
      </w:r>
      <w:r w:rsidRPr="00C40F79">
        <w:rPr>
          <w:rFonts w:ascii="Cambria Math" w:hAnsi="Cambria Math" w:cs="Cambria Math"/>
          <w:lang w:val="en-US"/>
        </w:rPr>
        <w:t>𝜎</w:t>
      </w:r>
      <w:r w:rsidRPr="00C40F79">
        <w:rPr>
          <w:lang w:val="en-US"/>
        </w:rPr>
        <w:t>.</w:t>
      </w:r>
    </w:p>
    <w:p w14:paraId="6A141F4F" w14:textId="77777777" w:rsidR="00C40F79" w:rsidRPr="00C40F79" w:rsidRDefault="00C40F79" w:rsidP="00C40F79">
      <w:pPr>
        <w:numPr>
          <w:ilvl w:val="0"/>
          <w:numId w:val="4"/>
        </w:numPr>
        <w:pBdr>
          <w:bottom w:val="single" w:sz="6" w:space="1" w:color="auto"/>
        </w:pBdr>
      </w:pPr>
      <w:r w:rsidRPr="00C40F79">
        <w:rPr>
          <w:lang w:val="en-US"/>
        </w:rPr>
        <w:lastRenderedPageBreak/>
        <w:t xml:space="preserve">A </w:t>
      </w:r>
      <w:r w:rsidRPr="00C40F79">
        <w:rPr>
          <w:b/>
          <w:bCs/>
          <w:lang w:val="en-US"/>
        </w:rPr>
        <w:t>non-parametric test</w:t>
      </w:r>
      <w:r w:rsidRPr="00C40F79">
        <w:rPr>
          <w:lang w:val="en-US"/>
        </w:rPr>
        <w:t xml:space="preserve"> makes no assumptions about the underlying distribution of the data (that is, it is </w:t>
      </w:r>
      <w:r w:rsidRPr="00C40F79">
        <w:rPr>
          <w:i/>
          <w:iCs/>
          <w:lang w:val="en-US"/>
        </w:rPr>
        <w:t>parameter-free</w:t>
      </w:r>
      <w:r w:rsidRPr="00C40F79">
        <w:rPr>
          <w:lang w:val="en-US"/>
        </w:rPr>
        <w:t xml:space="preserve">). It often uses </w:t>
      </w:r>
      <w:r w:rsidRPr="00C40F79">
        <w:rPr>
          <w:i/>
          <w:iCs/>
          <w:lang w:val="en-US"/>
        </w:rPr>
        <w:t>relative rankings</w:t>
      </w:r>
    </w:p>
    <w:p w14:paraId="1D6A5EC0" w14:textId="2146F103" w:rsidR="001C7D16" w:rsidRDefault="00D2281D">
      <w:pPr>
        <w:pBdr>
          <w:bottom w:val="single" w:sz="6" w:space="1" w:color="auto"/>
        </w:pBdr>
      </w:pPr>
      <w:r w:rsidRPr="00D2281D">
        <w:drawing>
          <wp:inline distT="0" distB="0" distL="0" distR="0" wp14:anchorId="3998D5CF" wp14:editId="3DFEB6C8">
            <wp:extent cx="5731510" cy="1713230"/>
            <wp:effectExtent l="0" t="0" r="2540" b="1270"/>
            <wp:docPr id="89036700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67006" name="Picture 1" descr="A screenshot of a test&#10;&#10;Description automatically generated"/>
                    <pic:cNvPicPr/>
                  </pic:nvPicPr>
                  <pic:blipFill>
                    <a:blip r:embed="rId10"/>
                    <a:stretch>
                      <a:fillRect/>
                    </a:stretch>
                  </pic:blipFill>
                  <pic:spPr>
                    <a:xfrm>
                      <a:off x="0" y="0"/>
                      <a:ext cx="5731510" cy="1713230"/>
                    </a:xfrm>
                    <a:prstGeom prst="rect">
                      <a:avLst/>
                    </a:prstGeom>
                  </pic:spPr>
                </pic:pic>
              </a:graphicData>
            </a:graphic>
          </wp:inline>
        </w:drawing>
      </w:r>
    </w:p>
    <w:p w14:paraId="256DAB58" w14:textId="77777777" w:rsidR="001C7D16" w:rsidRDefault="001C7D16">
      <w:pPr>
        <w:pBdr>
          <w:bottom w:val="single" w:sz="6" w:space="1" w:color="auto"/>
        </w:pBdr>
      </w:pPr>
    </w:p>
    <w:p w14:paraId="67138BF6" w14:textId="77777777" w:rsidR="005E621C" w:rsidRDefault="005E621C">
      <w:pPr>
        <w:pBdr>
          <w:bottom w:val="single" w:sz="6" w:space="1" w:color="auto"/>
        </w:pBdr>
      </w:pPr>
    </w:p>
    <w:p w14:paraId="4B256AE1" w14:textId="77777777" w:rsidR="00AF7966" w:rsidRDefault="00AF7966"/>
    <w:p w14:paraId="2E8660D3" w14:textId="105E2B90" w:rsidR="00AF7966" w:rsidRDefault="00AF7966" w:rsidP="00AF7966">
      <w:pPr>
        <w:pStyle w:val="Heading1"/>
      </w:pPr>
      <w:r>
        <w:t>TODOs</w:t>
      </w:r>
    </w:p>
    <w:p w14:paraId="11B7BC8E" w14:textId="5345332B" w:rsidR="00594EF5" w:rsidRDefault="00594EF5">
      <w:r>
        <w:t>./</w:t>
      </w:r>
    </w:p>
    <w:sectPr w:rsidR="00594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4DF8"/>
    <w:multiLevelType w:val="hybridMultilevel"/>
    <w:tmpl w:val="B21A1DB2"/>
    <w:lvl w:ilvl="0" w:tplc="A350D06E">
      <w:start w:val="1"/>
      <w:numFmt w:val="bullet"/>
      <w:lvlText w:val="•"/>
      <w:lvlJc w:val="left"/>
      <w:pPr>
        <w:tabs>
          <w:tab w:val="num" w:pos="720"/>
        </w:tabs>
        <w:ind w:left="720" w:hanging="360"/>
      </w:pPr>
      <w:rPr>
        <w:rFonts w:ascii="Arial" w:hAnsi="Arial" w:hint="default"/>
      </w:rPr>
    </w:lvl>
    <w:lvl w:ilvl="1" w:tplc="8DAC6FC0">
      <w:numFmt w:val="bullet"/>
      <w:lvlText w:val="•"/>
      <w:lvlJc w:val="left"/>
      <w:pPr>
        <w:tabs>
          <w:tab w:val="num" w:pos="1440"/>
        </w:tabs>
        <w:ind w:left="1440" w:hanging="360"/>
      </w:pPr>
      <w:rPr>
        <w:rFonts w:ascii="Arial" w:hAnsi="Arial" w:hint="default"/>
      </w:rPr>
    </w:lvl>
    <w:lvl w:ilvl="2" w:tplc="B81460A4" w:tentative="1">
      <w:start w:val="1"/>
      <w:numFmt w:val="bullet"/>
      <w:lvlText w:val="•"/>
      <w:lvlJc w:val="left"/>
      <w:pPr>
        <w:tabs>
          <w:tab w:val="num" w:pos="2160"/>
        </w:tabs>
        <w:ind w:left="2160" w:hanging="360"/>
      </w:pPr>
      <w:rPr>
        <w:rFonts w:ascii="Arial" w:hAnsi="Arial" w:hint="default"/>
      </w:rPr>
    </w:lvl>
    <w:lvl w:ilvl="3" w:tplc="0E122C52" w:tentative="1">
      <w:start w:val="1"/>
      <w:numFmt w:val="bullet"/>
      <w:lvlText w:val="•"/>
      <w:lvlJc w:val="left"/>
      <w:pPr>
        <w:tabs>
          <w:tab w:val="num" w:pos="2880"/>
        </w:tabs>
        <w:ind w:left="2880" w:hanging="360"/>
      </w:pPr>
      <w:rPr>
        <w:rFonts w:ascii="Arial" w:hAnsi="Arial" w:hint="default"/>
      </w:rPr>
    </w:lvl>
    <w:lvl w:ilvl="4" w:tplc="928EB470" w:tentative="1">
      <w:start w:val="1"/>
      <w:numFmt w:val="bullet"/>
      <w:lvlText w:val="•"/>
      <w:lvlJc w:val="left"/>
      <w:pPr>
        <w:tabs>
          <w:tab w:val="num" w:pos="3600"/>
        </w:tabs>
        <w:ind w:left="3600" w:hanging="360"/>
      </w:pPr>
      <w:rPr>
        <w:rFonts w:ascii="Arial" w:hAnsi="Arial" w:hint="default"/>
      </w:rPr>
    </w:lvl>
    <w:lvl w:ilvl="5" w:tplc="AF04D74C" w:tentative="1">
      <w:start w:val="1"/>
      <w:numFmt w:val="bullet"/>
      <w:lvlText w:val="•"/>
      <w:lvlJc w:val="left"/>
      <w:pPr>
        <w:tabs>
          <w:tab w:val="num" w:pos="4320"/>
        </w:tabs>
        <w:ind w:left="4320" w:hanging="360"/>
      </w:pPr>
      <w:rPr>
        <w:rFonts w:ascii="Arial" w:hAnsi="Arial" w:hint="default"/>
      </w:rPr>
    </w:lvl>
    <w:lvl w:ilvl="6" w:tplc="3726300C" w:tentative="1">
      <w:start w:val="1"/>
      <w:numFmt w:val="bullet"/>
      <w:lvlText w:val="•"/>
      <w:lvlJc w:val="left"/>
      <w:pPr>
        <w:tabs>
          <w:tab w:val="num" w:pos="5040"/>
        </w:tabs>
        <w:ind w:left="5040" w:hanging="360"/>
      </w:pPr>
      <w:rPr>
        <w:rFonts w:ascii="Arial" w:hAnsi="Arial" w:hint="default"/>
      </w:rPr>
    </w:lvl>
    <w:lvl w:ilvl="7" w:tplc="A516E5DE" w:tentative="1">
      <w:start w:val="1"/>
      <w:numFmt w:val="bullet"/>
      <w:lvlText w:val="•"/>
      <w:lvlJc w:val="left"/>
      <w:pPr>
        <w:tabs>
          <w:tab w:val="num" w:pos="5760"/>
        </w:tabs>
        <w:ind w:left="5760" w:hanging="360"/>
      </w:pPr>
      <w:rPr>
        <w:rFonts w:ascii="Arial" w:hAnsi="Arial" w:hint="default"/>
      </w:rPr>
    </w:lvl>
    <w:lvl w:ilvl="8" w:tplc="2EA6E50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5435A7"/>
    <w:multiLevelType w:val="hybridMultilevel"/>
    <w:tmpl w:val="2218631A"/>
    <w:lvl w:ilvl="0" w:tplc="557620AE">
      <w:start w:val="1"/>
      <w:numFmt w:val="bullet"/>
      <w:lvlText w:val="•"/>
      <w:lvlJc w:val="left"/>
      <w:pPr>
        <w:tabs>
          <w:tab w:val="num" w:pos="720"/>
        </w:tabs>
        <w:ind w:left="720" w:hanging="360"/>
      </w:pPr>
      <w:rPr>
        <w:rFonts w:ascii="Arial" w:hAnsi="Arial" w:hint="default"/>
      </w:rPr>
    </w:lvl>
    <w:lvl w:ilvl="1" w:tplc="39A866AC" w:tentative="1">
      <w:start w:val="1"/>
      <w:numFmt w:val="bullet"/>
      <w:lvlText w:val="•"/>
      <w:lvlJc w:val="left"/>
      <w:pPr>
        <w:tabs>
          <w:tab w:val="num" w:pos="1440"/>
        </w:tabs>
        <w:ind w:left="1440" w:hanging="360"/>
      </w:pPr>
      <w:rPr>
        <w:rFonts w:ascii="Arial" w:hAnsi="Arial" w:hint="default"/>
      </w:rPr>
    </w:lvl>
    <w:lvl w:ilvl="2" w:tplc="5DD64EEA" w:tentative="1">
      <w:start w:val="1"/>
      <w:numFmt w:val="bullet"/>
      <w:lvlText w:val="•"/>
      <w:lvlJc w:val="left"/>
      <w:pPr>
        <w:tabs>
          <w:tab w:val="num" w:pos="2160"/>
        </w:tabs>
        <w:ind w:left="2160" w:hanging="360"/>
      </w:pPr>
      <w:rPr>
        <w:rFonts w:ascii="Arial" w:hAnsi="Arial" w:hint="default"/>
      </w:rPr>
    </w:lvl>
    <w:lvl w:ilvl="3" w:tplc="F4343482" w:tentative="1">
      <w:start w:val="1"/>
      <w:numFmt w:val="bullet"/>
      <w:lvlText w:val="•"/>
      <w:lvlJc w:val="left"/>
      <w:pPr>
        <w:tabs>
          <w:tab w:val="num" w:pos="2880"/>
        </w:tabs>
        <w:ind w:left="2880" w:hanging="360"/>
      </w:pPr>
      <w:rPr>
        <w:rFonts w:ascii="Arial" w:hAnsi="Arial" w:hint="default"/>
      </w:rPr>
    </w:lvl>
    <w:lvl w:ilvl="4" w:tplc="D792AC08" w:tentative="1">
      <w:start w:val="1"/>
      <w:numFmt w:val="bullet"/>
      <w:lvlText w:val="•"/>
      <w:lvlJc w:val="left"/>
      <w:pPr>
        <w:tabs>
          <w:tab w:val="num" w:pos="3600"/>
        </w:tabs>
        <w:ind w:left="3600" w:hanging="360"/>
      </w:pPr>
      <w:rPr>
        <w:rFonts w:ascii="Arial" w:hAnsi="Arial" w:hint="default"/>
      </w:rPr>
    </w:lvl>
    <w:lvl w:ilvl="5" w:tplc="64161B32" w:tentative="1">
      <w:start w:val="1"/>
      <w:numFmt w:val="bullet"/>
      <w:lvlText w:val="•"/>
      <w:lvlJc w:val="left"/>
      <w:pPr>
        <w:tabs>
          <w:tab w:val="num" w:pos="4320"/>
        </w:tabs>
        <w:ind w:left="4320" w:hanging="360"/>
      </w:pPr>
      <w:rPr>
        <w:rFonts w:ascii="Arial" w:hAnsi="Arial" w:hint="default"/>
      </w:rPr>
    </w:lvl>
    <w:lvl w:ilvl="6" w:tplc="D166BCD4" w:tentative="1">
      <w:start w:val="1"/>
      <w:numFmt w:val="bullet"/>
      <w:lvlText w:val="•"/>
      <w:lvlJc w:val="left"/>
      <w:pPr>
        <w:tabs>
          <w:tab w:val="num" w:pos="5040"/>
        </w:tabs>
        <w:ind w:left="5040" w:hanging="360"/>
      </w:pPr>
      <w:rPr>
        <w:rFonts w:ascii="Arial" w:hAnsi="Arial" w:hint="default"/>
      </w:rPr>
    </w:lvl>
    <w:lvl w:ilvl="7" w:tplc="89C6E90E" w:tentative="1">
      <w:start w:val="1"/>
      <w:numFmt w:val="bullet"/>
      <w:lvlText w:val="•"/>
      <w:lvlJc w:val="left"/>
      <w:pPr>
        <w:tabs>
          <w:tab w:val="num" w:pos="5760"/>
        </w:tabs>
        <w:ind w:left="5760" w:hanging="360"/>
      </w:pPr>
      <w:rPr>
        <w:rFonts w:ascii="Arial" w:hAnsi="Arial" w:hint="default"/>
      </w:rPr>
    </w:lvl>
    <w:lvl w:ilvl="8" w:tplc="625010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466176"/>
    <w:multiLevelType w:val="hybridMultilevel"/>
    <w:tmpl w:val="187C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F761B5"/>
    <w:multiLevelType w:val="hybridMultilevel"/>
    <w:tmpl w:val="2B52471C"/>
    <w:lvl w:ilvl="0" w:tplc="70B66A1E">
      <w:start w:val="1"/>
      <w:numFmt w:val="bullet"/>
      <w:lvlText w:val="•"/>
      <w:lvlJc w:val="left"/>
      <w:pPr>
        <w:tabs>
          <w:tab w:val="num" w:pos="720"/>
        </w:tabs>
        <w:ind w:left="720" w:hanging="360"/>
      </w:pPr>
      <w:rPr>
        <w:rFonts w:ascii="Arial" w:hAnsi="Arial" w:hint="default"/>
      </w:rPr>
    </w:lvl>
    <w:lvl w:ilvl="1" w:tplc="666CD216" w:tentative="1">
      <w:start w:val="1"/>
      <w:numFmt w:val="bullet"/>
      <w:lvlText w:val="•"/>
      <w:lvlJc w:val="left"/>
      <w:pPr>
        <w:tabs>
          <w:tab w:val="num" w:pos="1440"/>
        </w:tabs>
        <w:ind w:left="1440" w:hanging="360"/>
      </w:pPr>
      <w:rPr>
        <w:rFonts w:ascii="Arial" w:hAnsi="Arial" w:hint="default"/>
      </w:rPr>
    </w:lvl>
    <w:lvl w:ilvl="2" w:tplc="1DC8D6C0" w:tentative="1">
      <w:start w:val="1"/>
      <w:numFmt w:val="bullet"/>
      <w:lvlText w:val="•"/>
      <w:lvlJc w:val="left"/>
      <w:pPr>
        <w:tabs>
          <w:tab w:val="num" w:pos="2160"/>
        </w:tabs>
        <w:ind w:left="2160" w:hanging="360"/>
      </w:pPr>
      <w:rPr>
        <w:rFonts w:ascii="Arial" w:hAnsi="Arial" w:hint="default"/>
      </w:rPr>
    </w:lvl>
    <w:lvl w:ilvl="3" w:tplc="0926312C" w:tentative="1">
      <w:start w:val="1"/>
      <w:numFmt w:val="bullet"/>
      <w:lvlText w:val="•"/>
      <w:lvlJc w:val="left"/>
      <w:pPr>
        <w:tabs>
          <w:tab w:val="num" w:pos="2880"/>
        </w:tabs>
        <w:ind w:left="2880" w:hanging="360"/>
      </w:pPr>
      <w:rPr>
        <w:rFonts w:ascii="Arial" w:hAnsi="Arial" w:hint="default"/>
      </w:rPr>
    </w:lvl>
    <w:lvl w:ilvl="4" w:tplc="C4767BD2" w:tentative="1">
      <w:start w:val="1"/>
      <w:numFmt w:val="bullet"/>
      <w:lvlText w:val="•"/>
      <w:lvlJc w:val="left"/>
      <w:pPr>
        <w:tabs>
          <w:tab w:val="num" w:pos="3600"/>
        </w:tabs>
        <w:ind w:left="3600" w:hanging="360"/>
      </w:pPr>
      <w:rPr>
        <w:rFonts w:ascii="Arial" w:hAnsi="Arial" w:hint="default"/>
      </w:rPr>
    </w:lvl>
    <w:lvl w:ilvl="5" w:tplc="B510C626" w:tentative="1">
      <w:start w:val="1"/>
      <w:numFmt w:val="bullet"/>
      <w:lvlText w:val="•"/>
      <w:lvlJc w:val="left"/>
      <w:pPr>
        <w:tabs>
          <w:tab w:val="num" w:pos="4320"/>
        </w:tabs>
        <w:ind w:left="4320" w:hanging="360"/>
      </w:pPr>
      <w:rPr>
        <w:rFonts w:ascii="Arial" w:hAnsi="Arial" w:hint="default"/>
      </w:rPr>
    </w:lvl>
    <w:lvl w:ilvl="6" w:tplc="49103CF2" w:tentative="1">
      <w:start w:val="1"/>
      <w:numFmt w:val="bullet"/>
      <w:lvlText w:val="•"/>
      <w:lvlJc w:val="left"/>
      <w:pPr>
        <w:tabs>
          <w:tab w:val="num" w:pos="5040"/>
        </w:tabs>
        <w:ind w:left="5040" w:hanging="360"/>
      </w:pPr>
      <w:rPr>
        <w:rFonts w:ascii="Arial" w:hAnsi="Arial" w:hint="default"/>
      </w:rPr>
    </w:lvl>
    <w:lvl w:ilvl="7" w:tplc="8DD6EA66" w:tentative="1">
      <w:start w:val="1"/>
      <w:numFmt w:val="bullet"/>
      <w:lvlText w:val="•"/>
      <w:lvlJc w:val="left"/>
      <w:pPr>
        <w:tabs>
          <w:tab w:val="num" w:pos="5760"/>
        </w:tabs>
        <w:ind w:left="5760" w:hanging="360"/>
      </w:pPr>
      <w:rPr>
        <w:rFonts w:ascii="Arial" w:hAnsi="Arial" w:hint="default"/>
      </w:rPr>
    </w:lvl>
    <w:lvl w:ilvl="8" w:tplc="D0D03692" w:tentative="1">
      <w:start w:val="1"/>
      <w:numFmt w:val="bullet"/>
      <w:lvlText w:val="•"/>
      <w:lvlJc w:val="left"/>
      <w:pPr>
        <w:tabs>
          <w:tab w:val="num" w:pos="6480"/>
        </w:tabs>
        <w:ind w:left="6480" w:hanging="360"/>
      </w:pPr>
      <w:rPr>
        <w:rFonts w:ascii="Arial" w:hAnsi="Arial" w:hint="default"/>
      </w:rPr>
    </w:lvl>
  </w:abstractNum>
  <w:num w:numId="1" w16cid:durableId="9721963">
    <w:abstractNumId w:val="2"/>
  </w:num>
  <w:num w:numId="2" w16cid:durableId="1859662531">
    <w:abstractNumId w:val="0"/>
  </w:num>
  <w:num w:numId="3" w16cid:durableId="1802723085">
    <w:abstractNumId w:val="3"/>
  </w:num>
  <w:num w:numId="4" w16cid:durableId="1359309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F5"/>
    <w:rsid w:val="000F4535"/>
    <w:rsid w:val="001C7D16"/>
    <w:rsid w:val="00225CA5"/>
    <w:rsid w:val="003E0C4F"/>
    <w:rsid w:val="003E15CC"/>
    <w:rsid w:val="00407C62"/>
    <w:rsid w:val="004D591C"/>
    <w:rsid w:val="00594EF5"/>
    <w:rsid w:val="005E621C"/>
    <w:rsid w:val="00744211"/>
    <w:rsid w:val="007B160F"/>
    <w:rsid w:val="00915C36"/>
    <w:rsid w:val="00941ECC"/>
    <w:rsid w:val="00A357EB"/>
    <w:rsid w:val="00AF18BA"/>
    <w:rsid w:val="00AF7966"/>
    <w:rsid w:val="00B6365E"/>
    <w:rsid w:val="00B954B2"/>
    <w:rsid w:val="00C40F79"/>
    <w:rsid w:val="00CD56F9"/>
    <w:rsid w:val="00CF2A94"/>
    <w:rsid w:val="00D2281D"/>
    <w:rsid w:val="00F67A5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566E9"/>
  <w15:chartTrackingRefBased/>
  <w15:docId w15:val="{FCE6157A-E258-4D10-BC26-1B8F7656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4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4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EF5"/>
    <w:rPr>
      <w:rFonts w:eastAsiaTheme="majorEastAsia" w:cstheme="majorBidi"/>
      <w:color w:val="272727" w:themeColor="text1" w:themeTint="D8"/>
    </w:rPr>
  </w:style>
  <w:style w:type="paragraph" w:styleId="Title">
    <w:name w:val="Title"/>
    <w:basedOn w:val="Normal"/>
    <w:next w:val="Normal"/>
    <w:link w:val="TitleChar"/>
    <w:uiPriority w:val="10"/>
    <w:qFormat/>
    <w:rsid w:val="00594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EF5"/>
    <w:pPr>
      <w:spacing w:before="160"/>
      <w:jc w:val="center"/>
    </w:pPr>
    <w:rPr>
      <w:i/>
      <w:iCs/>
      <w:color w:val="404040" w:themeColor="text1" w:themeTint="BF"/>
    </w:rPr>
  </w:style>
  <w:style w:type="character" w:customStyle="1" w:styleId="QuoteChar">
    <w:name w:val="Quote Char"/>
    <w:basedOn w:val="DefaultParagraphFont"/>
    <w:link w:val="Quote"/>
    <w:uiPriority w:val="29"/>
    <w:rsid w:val="00594EF5"/>
    <w:rPr>
      <w:i/>
      <w:iCs/>
      <w:color w:val="404040" w:themeColor="text1" w:themeTint="BF"/>
    </w:rPr>
  </w:style>
  <w:style w:type="paragraph" w:styleId="ListParagraph">
    <w:name w:val="List Paragraph"/>
    <w:basedOn w:val="Normal"/>
    <w:uiPriority w:val="34"/>
    <w:qFormat/>
    <w:rsid w:val="00594EF5"/>
    <w:pPr>
      <w:ind w:left="720"/>
      <w:contextualSpacing/>
    </w:pPr>
  </w:style>
  <w:style w:type="character" w:styleId="IntenseEmphasis">
    <w:name w:val="Intense Emphasis"/>
    <w:basedOn w:val="DefaultParagraphFont"/>
    <w:uiPriority w:val="21"/>
    <w:qFormat/>
    <w:rsid w:val="00594EF5"/>
    <w:rPr>
      <w:i/>
      <w:iCs/>
      <w:color w:val="0F4761" w:themeColor="accent1" w:themeShade="BF"/>
    </w:rPr>
  </w:style>
  <w:style w:type="paragraph" w:styleId="IntenseQuote">
    <w:name w:val="Intense Quote"/>
    <w:basedOn w:val="Normal"/>
    <w:next w:val="Normal"/>
    <w:link w:val="IntenseQuoteChar"/>
    <w:uiPriority w:val="30"/>
    <w:qFormat/>
    <w:rsid w:val="00594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EF5"/>
    <w:rPr>
      <w:i/>
      <w:iCs/>
      <w:color w:val="0F4761" w:themeColor="accent1" w:themeShade="BF"/>
    </w:rPr>
  </w:style>
  <w:style w:type="character" w:styleId="IntenseReference">
    <w:name w:val="Intense Reference"/>
    <w:basedOn w:val="DefaultParagraphFont"/>
    <w:uiPriority w:val="32"/>
    <w:qFormat/>
    <w:rsid w:val="00594E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7390">
      <w:bodyDiv w:val="1"/>
      <w:marLeft w:val="0"/>
      <w:marRight w:val="0"/>
      <w:marTop w:val="0"/>
      <w:marBottom w:val="0"/>
      <w:divBdr>
        <w:top w:val="none" w:sz="0" w:space="0" w:color="auto"/>
        <w:left w:val="none" w:sz="0" w:space="0" w:color="auto"/>
        <w:bottom w:val="none" w:sz="0" w:space="0" w:color="auto"/>
        <w:right w:val="none" w:sz="0" w:space="0" w:color="auto"/>
      </w:divBdr>
      <w:divsChild>
        <w:div w:id="1059281517">
          <w:marLeft w:val="432"/>
          <w:marRight w:val="0"/>
          <w:marTop w:val="0"/>
          <w:marBottom w:val="240"/>
          <w:divBdr>
            <w:top w:val="none" w:sz="0" w:space="0" w:color="auto"/>
            <w:left w:val="none" w:sz="0" w:space="0" w:color="auto"/>
            <w:bottom w:val="none" w:sz="0" w:space="0" w:color="auto"/>
            <w:right w:val="none" w:sz="0" w:space="0" w:color="auto"/>
          </w:divBdr>
        </w:div>
        <w:div w:id="1875731991">
          <w:marLeft w:val="432"/>
          <w:marRight w:val="0"/>
          <w:marTop w:val="0"/>
          <w:marBottom w:val="240"/>
          <w:divBdr>
            <w:top w:val="none" w:sz="0" w:space="0" w:color="auto"/>
            <w:left w:val="none" w:sz="0" w:space="0" w:color="auto"/>
            <w:bottom w:val="none" w:sz="0" w:space="0" w:color="auto"/>
            <w:right w:val="none" w:sz="0" w:space="0" w:color="auto"/>
          </w:divBdr>
        </w:div>
        <w:div w:id="386883927">
          <w:marLeft w:val="432"/>
          <w:marRight w:val="0"/>
          <w:marTop w:val="0"/>
          <w:marBottom w:val="240"/>
          <w:divBdr>
            <w:top w:val="none" w:sz="0" w:space="0" w:color="auto"/>
            <w:left w:val="none" w:sz="0" w:space="0" w:color="auto"/>
            <w:bottom w:val="none" w:sz="0" w:space="0" w:color="auto"/>
            <w:right w:val="none" w:sz="0" w:space="0" w:color="auto"/>
          </w:divBdr>
        </w:div>
        <w:div w:id="1429886105">
          <w:marLeft w:val="432"/>
          <w:marRight w:val="0"/>
          <w:marTop w:val="0"/>
          <w:marBottom w:val="240"/>
          <w:divBdr>
            <w:top w:val="none" w:sz="0" w:space="0" w:color="auto"/>
            <w:left w:val="none" w:sz="0" w:space="0" w:color="auto"/>
            <w:bottom w:val="none" w:sz="0" w:space="0" w:color="auto"/>
            <w:right w:val="none" w:sz="0" w:space="0" w:color="auto"/>
          </w:divBdr>
        </w:div>
      </w:divsChild>
    </w:div>
    <w:div w:id="216281912">
      <w:bodyDiv w:val="1"/>
      <w:marLeft w:val="0"/>
      <w:marRight w:val="0"/>
      <w:marTop w:val="0"/>
      <w:marBottom w:val="0"/>
      <w:divBdr>
        <w:top w:val="none" w:sz="0" w:space="0" w:color="auto"/>
        <w:left w:val="none" w:sz="0" w:space="0" w:color="auto"/>
        <w:bottom w:val="none" w:sz="0" w:space="0" w:color="auto"/>
        <w:right w:val="none" w:sz="0" w:space="0" w:color="auto"/>
      </w:divBdr>
      <w:divsChild>
        <w:div w:id="229777350">
          <w:marLeft w:val="432"/>
          <w:marRight w:val="0"/>
          <w:marTop w:val="0"/>
          <w:marBottom w:val="0"/>
          <w:divBdr>
            <w:top w:val="none" w:sz="0" w:space="0" w:color="auto"/>
            <w:left w:val="none" w:sz="0" w:space="0" w:color="auto"/>
            <w:bottom w:val="none" w:sz="0" w:space="0" w:color="auto"/>
            <w:right w:val="none" w:sz="0" w:space="0" w:color="auto"/>
          </w:divBdr>
        </w:div>
        <w:div w:id="389303962">
          <w:marLeft w:val="432"/>
          <w:marRight w:val="0"/>
          <w:marTop w:val="0"/>
          <w:marBottom w:val="0"/>
          <w:divBdr>
            <w:top w:val="none" w:sz="0" w:space="0" w:color="auto"/>
            <w:left w:val="none" w:sz="0" w:space="0" w:color="auto"/>
            <w:bottom w:val="none" w:sz="0" w:space="0" w:color="auto"/>
            <w:right w:val="none" w:sz="0" w:space="0" w:color="auto"/>
          </w:divBdr>
        </w:div>
      </w:divsChild>
    </w:div>
    <w:div w:id="231086094">
      <w:bodyDiv w:val="1"/>
      <w:marLeft w:val="0"/>
      <w:marRight w:val="0"/>
      <w:marTop w:val="0"/>
      <w:marBottom w:val="0"/>
      <w:divBdr>
        <w:top w:val="none" w:sz="0" w:space="0" w:color="auto"/>
        <w:left w:val="none" w:sz="0" w:space="0" w:color="auto"/>
        <w:bottom w:val="none" w:sz="0" w:space="0" w:color="auto"/>
        <w:right w:val="none" w:sz="0" w:space="0" w:color="auto"/>
      </w:divBdr>
    </w:div>
    <w:div w:id="241112676">
      <w:bodyDiv w:val="1"/>
      <w:marLeft w:val="0"/>
      <w:marRight w:val="0"/>
      <w:marTop w:val="0"/>
      <w:marBottom w:val="0"/>
      <w:divBdr>
        <w:top w:val="none" w:sz="0" w:space="0" w:color="auto"/>
        <w:left w:val="none" w:sz="0" w:space="0" w:color="auto"/>
        <w:bottom w:val="none" w:sz="0" w:space="0" w:color="auto"/>
        <w:right w:val="none" w:sz="0" w:space="0" w:color="auto"/>
      </w:divBdr>
    </w:div>
    <w:div w:id="339966551">
      <w:bodyDiv w:val="1"/>
      <w:marLeft w:val="0"/>
      <w:marRight w:val="0"/>
      <w:marTop w:val="0"/>
      <w:marBottom w:val="0"/>
      <w:divBdr>
        <w:top w:val="none" w:sz="0" w:space="0" w:color="auto"/>
        <w:left w:val="none" w:sz="0" w:space="0" w:color="auto"/>
        <w:bottom w:val="none" w:sz="0" w:space="0" w:color="auto"/>
        <w:right w:val="none" w:sz="0" w:space="0" w:color="auto"/>
      </w:divBdr>
    </w:div>
    <w:div w:id="429086083">
      <w:bodyDiv w:val="1"/>
      <w:marLeft w:val="0"/>
      <w:marRight w:val="0"/>
      <w:marTop w:val="0"/>
      <w:marBottom w:val="0"/>
      <w:divBdr>
        <w:top w:val="none" w:sz="0" w:space="0" w:color="auto"/>
        <w:left w:val="none" w:sz="0" w:space="0" w:color="auto"/>
        <w:bottom w:val="none" w:sz="0" w:space="0" w:color="auto"/>
        <w:right w:val="none" w:sz="0" w:space="0" w:color="auto"/>
      </w:divBdr>
    </w:div>
    <w:div w:id="702442266">
      <w:bodyDiv w:val="1"/>
      <w:marLeft w:val="0"/>
      <w:marRight w:val="0"/>
      <w:marTop w:val="0"/>
      <w:marBottom w:val="0"/>
      <w:divBdr>
        <w:top w:val="none" w:sz="0" w:space="0" w:color="auto"/>
        <w:left w:val="none" w:sz="0" w:space="0" w:color="auto"/>
        <w:bottom w:val="none" w:sz="0" w:space="0" w:color="auto"/>
        <w:right w:val="none" w:sz="0" w:space="0" w:color="auto"/>
      </w:divBdr>
    </w:div>
    <w:div w:id="820346729">
      <w:bodyDiv w:val="1"/>
      <w:marLeft w:val="0"/>
      <w:marRight w:val="0"/>
      <w:marTop w:val="0"/>
      <w:marBottom w:val="0"/>
      <w:divBdr>
        <w:top w:val="none" w:sz="0" w:space="0" w:color="auto"/>
        <w:left w:val="none" w:sz="0" w:space="0" w:color="auto"/>
        <w:bottom w:val="none" w:sz="0" w:space="0" w:color="auto"/>
        <w:right w:val="none" w:sz="0" w:space="0" w:color="auto"/>
      </w:divBdr>
    </w:div>
    <w:div w:id="1042749541">
      <w:bodyDiv w:val="1"/>
      <w:marLeft w:val="0"/>
      <w:marRight w:val="0"/>
      <w:marTop w:val="0"/>
      <w:marBottom w:val="0"/>
      <w:divBdr>
        <w:top w:val="none" w:sz="0" w:space="0" w:color="auto"/>
        <w:left w:val="none" w:sz="0" w:space="0" w:color="auto"/>
        <w:bottom w:val="none" w:sz="0" w:space="0" w:color="auto"/>
        <w:right w:val="none" w:sz="0" w:space="0" w:color="auto"/>
      </w:divBdr>
    </w:div>
    <w:div w:id="1410495302">
      <w:bodyDiv w:val="1"/>
      <w:marLeft w:val="0"/>
      <w:marRight w:val="0"/>
      <w:marTop w:val="0"/>
      <w:marBottom w:val="0"/>
      <w:divBdr>
        <w:top w:val="none" w:sz="0" w:space="0" w:color="auto"/>
        <w:left w:val="none" w:sz="0" w:space="0" w:color="auto"/>
        <w:bottom w:val="none" w:sz="0" w:space="0" w:color="auto"/>
        <w:right w:val="none" w:sz="0" w:space="0" w:color="auto"/>
      </w:divBdr>
    </w:div>
    <w:div w:id="1479497485">
      <w:bodyDiv w:val="1"/>
      <w:marLeft w:val="0"/>
      <w:marRight w:val="0"/>
      <w:marTop w:val="0"/>
      <w:marBottom w:val="0"/>
      <w:divBdr>
        <w:top w:val="none" w:sz="0" w:space="0" w:color="auto"/>
        <w:left w:val="none" w:sz="0" w:space="0" w:color="auto"/>
        <w:bottom w:val="none" w:sz="0" w:space="0" w:color="auto"/>
        <w:right w:val="none" w:sz="0" w:space="0" w:color="auto"/>
      </w:divBdr>
      <w:divsChild>
        <w:div w:id="417137087">
          <w:marLeft w:val="432"/>
          <w:marRight w:val="0"/>
          <w:marTop w:val="0"/>
          <w:marBottom w:val="0"/>
          <w:divBdr>
            <w:top w:val="none" w:sz="0" w:space="0" w:color="auto"/>
            <w:left w:val="none" w:sz="0" w:space="0" w:color="auto"/>
            <w:bottom w:val="none" w:sz="0" w:space="0" w:color="auto"/>
            <w:right w:val="none" w:sz="0" w:space="0" w:color="auto"/>
          </w:divBdr>
        </w:div>
        <w:div w:id="281764237">
          <w:marLeft w:val="432"/>
          <w:marRight w:val="0"/>
          <w:marTop w:val="0"/>
          <w:marBottom w:val="0"/>
          <w:divBdr>
            <w:top w:val="none" w:sz="0" w:space="0" w:color="auto"/>
            <w:left w:val="none" w:sz="0" w:space="0" w:color="auto"/>
            <w:bottom w:val="none" w:sz="0" w:space="0" w:color="auto"/>
            <w:right w:val="none" w:sz="0" w:space="0" w:color="auto"/>
          </w:divBdr>
        </w:div>
        <w:div w:id="1887181811">
          <w:marLeft w:val="850"/>
          <w:marRight w:val="0"/>
          <w:marTop w:val="0"/>
          <w:marBottom w:val="0"/>
          <w:divBdr>
            <w:top w:val="none" w:sz="0" w:space="0" w:color="auto"/>
            <w:left w:val="none" w:sz="0" w:space="0" w:color="auto"/>
            <w:bottom w:val="none" w:sz="0" w:space="0" w:color="auto"/>
            <w:right w:val="none" w:sz="0" w:space="0" w:color="auto"/>
          </w:divBdr>
        </w:div>
        <w:div w:id="512037444">
          <w:marLeft w:val="850"/>
          <w:marRight w:val="0"/>
          <w:marTop w:val="0"/>
          <w:marBottom w:val="0"/>
          <w:divBdr>
            <w:top w:val="none" w:sz="0" w:space="0" w:color="auto"/>
            <w:left w:val="none" w:sz="0" w:space="0" w:color="auto"/>
            <w:bottom w:val="none" w:sz="0" w:space="0" w:color="auto"/>
            <w:right w:val="none" w:sz="0" w:space="0" w:color="auto"/>
          </w:divBdr>
        </w:div>
        <w:div w:id="1272470144">
          <w:marLeft w:val="850"/>
          <w:marRight w:val="0"/>
          <w:marTop w:val="0"/>
          <w:marBottom w:val="0"/>
          <w:divBdr>
            <w:top w:val="none" w:sz="0" w:space="0" w:color="auto"/>
            <w:left w:val="none" w:sz="0" w:space="0" w:color="auto"/>
            <w:bottom w:val="none" w:sz="0" w:space="0" w:color="auto"/>
            <w:right w:val="none" w:sz="0" w:space="0" w:color="auto"/>
          </w:divBdr>
        </w:div>
        <w:div w:id="1242956991">
          <w:marLeft w:val="850"/>
          <w:marRight w:val="0"/>
          <w:marTop w:val="0"/>
          <w:marBottom w:val="0"/>
          <w:divBdr>
            <w:top w:val="none" w:sz="0" w:space="0" w:color="auto"/>
            <w:left w:val="none" w:sz="0" w:space="0" w:color="auto"/>
            <w:bottom w:val="none" w:sz="0" w:space="0" w:color="auto"/>
            <w:right w:val="none" w:sz="0" w:space="0" w:color="auto"/>
          </w:divBdr>
        </w:div>
        <w:div w:id="1711301446">
          <w:marLeft w:val="850"/>
          <w:marRight w:val="0"/>
          <w:marTop w:val="0"/>
          <w:marBottom w:val="0"/>
          <w:divBdr>
            <w:top w:val="none" w:sz="0" w:space="0" w:color="auto"/>
            <w:left w:val="none" w:sz="0" w:space="0" w:color="auto"/>
            <w:bottom w:val="none" w:sz="0" w:space="0" w:color="auto"/>
            <w:right w:val="none" w:sz="0" w:space="0" w:color="auto"/>
          </w:divBdr>
        </w:div>
        <w:div w:id="900554499">
          <w:marLeft w:val="850"/>
          <w:marRight w:val="0"/>
          <w:marTop w:val="0"/>
          <w:marBottom w:val="0"/>
          <w:divBdr>
            <w:top w:val="none" w:sz="0" w:space="0" w:color="auto"/>
            <w:left w:val="none" w:sz="0" w:space="0" w:color="auto"/>
            <w:bottom w:val="none" w:sz="0" w:space="0" w:color="auto"/>
            <w:right w:val="none" w:sz="0" w:space="0" w:color="auto"/>
          </w:divBdr>
        </w:div>
        <w:div w:id="1771586986">
          <w:marLeft w:val="850"/>
          <w:marRight w:val="0"/>
          <w:marTop w:val="0"/>
          <w:marBottom w:val="0"/>
          <w:divBdr>
            <w:top w:val="none" w:sz="0" w:space="0" w:color="auto"/>
            <w:left w:val="none" w:sz="0" w:space="0" w:color="auto"/>
            <w:bottom w:val="none" w:sz="0" w:space="0" w:color="auto"/>
            <w:right w:val="none" w:sz="0" w:space="0" w:color="auto"/>
          </w:divBdr>
        </w:div>
        <w:div w:id="1097679435">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Minseok Ryu</dc:creator>
  <cp:keywords/>
  <dc:description/>
  <cp:lastModifiedBy>Minseok Ryu</cp:lastModifiedBy>
  <cp:revision>22</cp:revision>
  <dcterms:created xsi:type="dcterms:W3CDTF">2024-01-11T03:19:00Z</dcterms:created>
  <dcterms:modified xsi:type="dcterms:W3CDTF">2024-01-11T05:01:00Z</dcterms:modified>
</cp:coreProperties>
</file>