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BF886" w14:textId="77777777" w:rsidR="008664D8" w:rsidRDefault="00B83A67">
      <w:pPr>
        <w:jc w:val="center"/>
        <w:rPr>
          <w:b/>
          <w:bCs/>
        </w:rPr>
      </w:pPr>
      <w:r>
        <w:rPr>
          <w:b/>
          <w:bCs/>
        </w:rPr>
        <w:t>Project 4: Non-linear tree allometry</w:t>
      </w:r>
    </w:p>
    <w:p w14:paraId="4789FC41" w14:textId="77777777" w:rsidR="008664D8" w:rsidRDefault="008664D8"/>
    <w:p w14:paraId="139F1FB5" w14:textId="77777777" w:rsidR="008664D8" w:rsidRDefault="00B83A67">
      <w:pPr>
        <w:ind w:firstLine="432"/>
        <w:rPr>
          <w:sz w:val="23"/>
          <w:szCs w:val="23"/>
        </w:rPr>
      </w:pPr>
      <w:r>
        <w:rPr>
          <w:b/>
          <w:bCs/>
          <w:sz w:val="23"/>
          <w:szCs w:val="23"/>
        </w:rPr>
        <w:t>Overview:</w:t>
      </w:r>
      <w:r>
        <w:rPr>
          <w:sz w:val="23"/>
          <w:szCs w:val="23"/>
        </w:rPr>
        <w:t xml:space="preserve"> In this project, we will implement a nonlinear model for tree height (</w:t>
      </w:r>
      <w:r>
        <w:rPr>
          <w:i/>
          <w:iCs/>
          <w:sz w:val="23"/>
          <w:szCs w:val="23"/>
        </w:rPr>
        <w:t>H</w:t>
      </w:r>
      <w:r>
        <w:rPr>
          <w:sz w:val="23"/>
          <w:szCs w:val="23"/>
        </w:rPr>
        <w:t>) versus trunk radius (</w:t>
      </w:r>
      <w:r>
        <w:rPr>
          <w:i/>
          <w:iCs/>
          <w:sz w:val="23"/>
          <w:szCs w:val="23"/>
        </w:rPr>
        <w:t>R</w:t>
      </w:r>
      <w:r>
        <w:rPr>
          <w:sz w:val="23"/>
          <w:szCs w:val="23"/>
        </w:rPr>
        <w:t xml:space="preserve">). This model involves a classical error-in-variables model for repeated observations of the “explanatory” covariate, </w:t>
      </w:r>
      <w:r>
        <w:rPr>
          <w:i/>
          <w:iCs/>
          <w:sz w:val="23"/>
          <w:szCs w:val="23"/>
        </w:rPr>
        <w:t>R</w:t>
      </w:r>
      <w:r>
        <w:rPr>
          <w:sz w:val="23"/>
          <w:szCs w:val="23"/>
        </w:rPr>
        <w:t xml:space="preserve">, with relatively noninformative priors for the “true” or “latent” radius, </w:t>
      </w:r>
      <w:proofErr w:type="spellStart"/>
      <w:r>
        <w:rPr>
          <w:i/>
          <w:iCs/>
          <w:sz w:val="23"/>
          <w:szCs w:val="23"/>
        </w:rPr>
        <w:t>μR</w:t>
      </w:r>
      <w:proofErr w:type="spellEnd"/>
      <w:r>
        <w:rPr>
          <w:sz w:val="23"/>
          <w:szCs w:val="23"/>
        </w:rPr>
        <w:t>. We will implement a model that accounts for measurement uncertainty in both the response (</w:t>
      </w:r>
      <w:r>
        <w:rPr>
          <w:i/>
          <w:iCs/>
          <w:sz w:val="23"/>
          <w:szCs w:val="23"/>
        </w:rPr>
        <w:t>H</w:t>
      </w:r>
      <w:r>
        <w:rPr>
          <w:sz w:val="23"/>
          <w:szCs w:val="23"/>
        </w:rPr>
        <w:t>) and explanatory (</w:t>
      </w:r>
      <w:r>
        <w:rPr>
          <w:i/>
          <w:iCs/>
          <w:sz w:val="23"/>
          <w:szCs w:val="23"/>
        </w:rPr>
        <w:t>R</w:t>
      </w:r>
      <w:r>
        <w:rPr>
          <w:sz w:val="23"/>
          <w:szCs w:val="23"/>
        </w:rPr>
        <w:t>) variables. The general form of the nonlinear mean function is:</w:t>
      </w:r>
    </w:p>
    <w:p w14:paraId="5A903147" w14:textId="5F151D91" w:rsidR="008664D8" w:rsidRDefault="00B83A6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ab/>
      </w:r>
      <w:r>
        <w:rPr>
          <w:noProof/>
          <w:color w:val="000000"/>
          <w:sz w:val="23"/>
          <w:szCs w:val="23"/>
          <w:vertAlign w:val="subscript"/>
        </w:rPr>
        <w:drawing>
          <wp:inline distT="0" distB="0" distL="114300" distR="114300" wp14:anchorId="2E23BC96" wp14:editId="2C069E29">
            <wp:extent cx="2034539" cy="51054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4539" cy="510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3"/>
          <w:szCs w:val="23"/>
        </w:rPr>
        <w:tab/>
      </w:r>
      <w:r w:rsidR="00712DC6">
        <w:rPr>
          <w:color w:val="000000"/>
          <w:sz w:val="23"/>
          <w:szCs w:val="23"/>
        </w:rPr>
        <w:t>(1)</w:t>
      </w:r>
    </w:p>
    <w:p w14:paraId="68BF586B" w14:textId="3A771214" w:rsidR="008664D8" w:rsidRDefault="00B83A67">
      <w:pPr>
        <w:rPr>
          <w:sz w:val="23"/>
          <w:szCs w:val="23"/>
        </w:rPr>
      </w:pPr>
      <w:r>
        <w:rPr>
          <w:sz w:val="23"/>
          <w:szCs w:val="23"/>
        </w:rPr>
        <w:t xml:space="preserve">Where </w:t>
      </w:r>
      <w:proofErr w:type="spellStart"/>
      <w:r>
        <w:rPr>
          <w:i/>
          <w:iCs/>
          <w:sz w:val="23"/>
          <w:szCs w:val="23"/>
        </w:rPr>
        <w:t>μR</w:t>
      </w:r>
      <w:proofErr w:type="spellEnd"/>
      <w:r>
        <w:rPr>
          <w:sz w:val="23"/>
          <w:szCs w:val="23"/>
        </w:rPr>
        <w:t xml:space="preserve"> is the “true” trunk radius, </w:t>
      </w:r>
      <w:proofErr w:type="spellStart"/>
      <w:r>
        <w:rPr>
          <w:i/>
          <w:iCs/>
          <w:sz w:val="23"/>
          <w:szCs w:val="23"/>
        </w:rPr>
        <w:t>H</w:t>
      </w:r>
      <w:r>
        <w:rPr>
          <w:i/>
          <w:iCs/>
          <w:sz w:val="23"/>
          <w:szCs w:val="23"/>
          <w:vertAlign w:val="subscript"/>
        </w:rPr>
        <w:t>max</w:t>
      </w:r>
      <w:proofErr w:type="spellEnd"/>
      <w:r>
        <w:rPr>
          <w:sz w:val="23"/>
          <w:szCs w:val="23"/>
        </w:rPr>
        <w:t xml:space="preserve"> as the maximum potential height of the trees, and </w:t>
      </w:r>
      <w:r w:rsidR="00712DC6">
        <w:rPr>
          <w:i/>
          <w:iCs/>
          <w:sz w:val="23"/>
          <w:szCs w:val="23"/>
        </w:rPr>
        <w:sym w:font="Symbol" w:char="F066"/>
      </w:r>
      <w:r w:rsidR="00712DC6">
        <w:rPr>
          <w:i/>
          <w:iCs/>
          <w:sz w:val="23"/>
          <w:szCs w:val="23"/>
        </w:rPr>
        <w:t xml:space="preserve"> </w:t>
      </w:r>
      <w:r>
        <w:rPr>
          <w:sz w:val="23"/>
          <w:szCs w:val="23"/>
        </w:rPr>
        <w:t xml:space="preserve">describes the initial rate of change (i.e., rate at which </w:t>
      </w:r>
      <w:r>
        <w:rPr>
          <w:i/>
          <w:iCs/>
          <w:sz w:val="23"/>
          <w:szCs w:val="23"/>
        </w:rPr>
        <w:t>H</w:t>
      </w:r>
      <w:r>
        <w:rPr>
          <w:sz w:val="23"/>
          <w:szCs w:val="23"/>
        </w:rPr>
        <w:t xml:space="preserve"> changes with </w:t>
      </w:r>
      <w:r>
        <w:rPr>
          <w:i/>
          <w:iCs/>
          <w:sz w:val="23"/>
          <w:szCs w:val="23"/>
        </w:rPr>
        <w:t>R</w:t>
      </w:r>
      <w:r>
        <w:rPr>
          <w:sz w:val="23"/>
          <w:szCs w:val="23"/>
        </w:rPr>
        <w:t xml:space="preserve"> for young, small trees).</w:t>
      </w:r>
    </w:p>
    <w:p w14:paraId="0FAFE2BB" w14:textId="77777777" w:rsidR="008664D8" w:rsidRDefault="00B83A67">
      <w:pPr>
        <w:spacing w:before="120"/>
        <w:ind w:firstLine="432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The data: </w:t>
      </w:r>
      <w:r>
        <w:rPr>
          <w:sz w:val="23"/>
          <w:szCs w:val="23"/>
        </w:rPr>
        <w:t xml:space="preserve">The data are </w:t>
      </w:r>
      <w:r>
        <w:rPr>
          <w:i/>
          <w:iCs/>
          <w:sz w:val="23"/>
          <w:szCs w:val="23"/>
        </w:rPr>
        <w:t>H</w:t>
      </w:r>
      <w:r>
        <w:rPr>
          <w:i/>
          <w:iCs/>
          <w:sz w:val="23"/>
          <w:szCs w:val="23"/>
          <w:vertAlign w:val="subscript"/>
        </w:rPr>
        <w:t>i</w:t>
      </w:r>
      <w:r>
        <w:rPr>
          <w:sz w:val="23"/>
          <w:szCs w:val="23"/>
        </w:rPr>
        <w:t xml:space="preserve"> = height of tree </w:t>
      </w:r>
      <w:proofErr w:type="spellStart"/>
      <w:r>
        <w:rPr>
          <w:i/>
          <w:iCs/>
          <w:sz w:val="23"/>
          <w:szCs w:val="23"/>
        </w:rPr>
        <w:t>i</w:t>
      </w:r>
      <w:proofErr w:type="spellEnd"/>
      <w:r>
        <w:rPr>
          <w:i/>
          <w:iCs/>
          <w:sz w:val="23"/>
          <w:szCs w:val="23"/>
        </w:rPr>
        <w:t xml:space="preserve"> </w:t>
      </w:r>
      <w:r>
        <w:rPr>
          <w:sz w:val="23"/>
          <w:szCs w:val="23"/>
        </w:rPr>
        <w:t>(</w:t>
      </w:r>
      <w:proofErr w:type="spellStart"/>
      <w:r>
        <w:rPr>
          <w:i/>
          <w:iCs/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 = 1, 2, …, 184) and </w:t>
      </w:r>
      <w:proofErr w:type="spellStart"/>
      <w:proofErr w:type="gramStart"/>
      <w:r>
        <w:rPr>
          <w:i/>
          <w:iCs/>
          <w:sz w:val="23"/>
          <w:szCs w:val="23"/>
        </w:rPr>
        <w:t>R</w:t>
      </w:r>
      <w:r>
        <w:rPr>
          <w:i/>
          <w:iCs/>
          <w:sz w:val="23"/>
          <w:szCs w:val="23"/>
          <w:vertAlign w:val="subscript"/>
        </w:rPr>
        <w:t>i,r</w:t>
      </w:r>
      <w:proofErr w:type="spellEnd"/>
      <w:proofErr w:type="gramEnd"/>
      <w:r>
        <w:rPr>
          <w:sz w:val="23"/>
          <w:szCs w:val="23"/>
        </w:rPr>
        <w:t xml:space="preserve"> = trunk radius of tree </w:t>
      </w:r>
      <w:proofErr w:type="spellStart"/>
      <w:r>
        <w:rPr>
          <w:i/>
          <w:iCs/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 measured for </w:t>
      </w:r>
      <w:r>
        <w:rPr>
          <w:i/>
          <w:iCs/>
          <w:sz w:val="23"/>
          <w:szCs w:val="23"/>
        </w:rPr>
        <w:t>r</w:t>
      </w:r>
      <w:r>
        <w:rPr>
          <w:sz w:val="23"/>
          <w:szCs w:val="23"/>
        </w:rPr>
        <w:t xml:space="preserve"> = 1, 2, and 3 repeated observations. You may want to plot the data (</w:t>
      </w:r>
      <w:r>
        <w:rPr>
          <w:i/>
          <w:iCs/>
          <w:sz w:val="23"/>
          <w:szCs w:val="23"/>
        </w:rPr>
        <w:t>H</w:t>
      </w:r>
      <w:r>
        <w:rPr>
          <w:sz w:val="23"/>
          <w:szCs w:val="23"/>
        </w:rPr>
        <w:t xml:space="preserve"> vs </w:t>
      </w:r>
      <w:r>
        <w:rPr>
          <w:i/>
          <w:iCs/>
          <w:sz w:val="23"/>
          <w:szCs w:val="23"/>
        </w:rPr>
        <w:t>R</w:t>
      </w:r>
      <w:r>
        <w:rPr>
          <w:sz w:val="23"/>
          <w:szCs w:val="23"/>
        </w:rPr>
        <w:t xml:space="preserve">) to get a better feeling for the potential relationship between </w:t>
      </w:r>
      <w:r>
        <w:rPr>
          <w:i/>
          <w:iCs/>
          <w:sz w:val="23"/>
          <w:szCs w:val="23"/>
        </w:rPr>
        <w:t>H</w:t>
      </w:r>
      <w:r>
        <w:rPr>
          <w:sz w:val="23"/>
          <w:szCs w:val="23"/>
        </w:rPr>
        <w:t xml:space="preserve"> and </w:t>
      </w:r>
      <w:r>
        <w:rPr>
          <w:i/>
          <w:iCs/>
          <w:sz w:val="23"/>
          <w:szCs w:val="23"/>
        </w:rPr>
        <w:t>R</w:t>
      </w:r>
      <w:r>
        <w:rPr>
          <w:sz w:val="23"/>
          <w:szCs w:val="23"/>
        </w:rPr>
        <w:t>.</w:t>
      </w:r>
    </w:p>
    <w:p w14:paraId="6999DBF3" w14:textId="77777777" w:rsidR="008664D8" w:rsidRDefault="00B83A67">
      <w:pPr>
        <w:spacing w:before="120"/>
        <w:ind w:firstLine="432"/>
        <w:rPr>
          <w:sz w:val="23"/>
          <w:szCs w:val="23"/>
        </w:rPr>
      </w:pPr>
      <w:r>
        <w:rPr>
          <w:b/>
          <w:bCs/>
          <w:sz w:val="23"/>
          <w:szCs w:val="23"/>
        </w:rPr>
        <w:t>The model:</w:t>
      </w:r>
      <w:r>
        <w:rPr>
          <w:sz w:val="23"/>
          <w:szCs w:val="23"/>
        </w:rPr>
        <w:t xml:space="preserve"> To define the likelihood, we will assume that tree height is normally distributed:</w:t>
      </w:r>
    </w:p>
    <w:p w14:paraId="4E97E613" w14:textId="38E51489" w:rsidR="008664D8" w:rsidRDefault="00B83A6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ab/>
      </w:r>
      <w:r>
        <w:rPr>
          <w:noProof/>
          <w:color w:val="000000"/>
          <w:sz w:val="23"/>
          <w:szCs w:val="23"/>
          <w:vertAlign w:val="subscript"/>
        </w:rPr>
        <w:drawing>
          <wp:inline distT="0" distB="0" distL="114300" distR="114300" wp14:anchorId="14EE524E" wp14:editId="15D831C9">
            <wp:extent cx="861060" cy="2286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3"/>
          <w:szCs w:val="23"/>
        </w:rPr>
        <w:tab/>
      </w:r>
      <w:r w:rsidR="00712DC6">
        <w:rPr>
          <w:color w:val="000000"/>
          <w:sz w:val="23"/>
          <w:szCs w:val="23"/>
        </w:rPr>
        <w:t>(2)</w:t>
      </w:r>
    </w:p>
    <w:p w14:paraId="346236DA" w14:textId="0828B7F9" w:rsidR="008664D8" w:rsidRDefault="00B83A67">
      <w:pPr>
        <w:rPr>
          <w:sz w:val="23"/>
          <w:szCs w:val="23"/>
        </w:rPr>
      </w:pPr>
      <w:r>
        <w:rPr>
          <w:sz w:val="23"/>
          <w:szCs w:val="23"/>
        </w:rPr>
        <w:t xml:space="preserve">Where the mean, μ, is given by </w:t>
      </w:r>
      <w:proofErr w:type="spellStart"/>
      <w:r>
        <w:rPr>
          <w:sz w:val="23"/>
          <w:szCs w:val="23"/>
        </w:rPr>
        <w:t>Eqn</w:t>
      </w:r>
      <w:proofErr w:type="spellEnd"/>
      <w:r>
        <w:rPr>
          <w:sz w:val="23"/>
          <w:szCs w:val="23"/>
        </w:rPr>
        <w:t xml:space="preserve"> </w:t>
      </w:r>
      <w:r w:rsidR="00712DC6">
        <w:rPr>
          <w:sz w:val="23"/>
          <w:szCs w:val="23"/>
        </w:rPr>
        <w:t>(1)</w:t>
      </w:r>
      <w:r>
        <w:rPr>
          <w:sz w:val="23"/>
          <w:szCs w:val="23"/>
        </w:rPr>
        <w:t xml:space="preserve">, and the true radius varies by tree </w:t>
      </w:r>
      <w:proofErr w:type="spellStart"/>
      <w:r>
        <w:rPr>
          <w:i/>
          <w:iCs/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i/>
          <w:iCs/>
          <w:sz w:val="23"/>
          <w:szCs w:val="23"/>
        </w:rPr>
        <w:t>μR</w:t>
      </w:r>
      <w:r>
        <w:rPr>
          <w:i/>
          <w:iCs/>
          <w:sz w:val="23"/>
          <w:szCs w:val="23"/>
          <w:vertAlign w:val="subscript"/>
        </w:rPr>
        <w:t>i</w:t>
      </w:r>
      <w:proofErr w:type="spellEnd"/>
      <w:r>
        <w:rPr>
          <w:sz w:val="23"/>
          <w:szCs w:val="23"/>
        </w:rPr>
        <w:t>. Assume that the repeated observations of trunk radius are normally distributed with a mean given by the true or latent radius of each tree:</w:t>
      </w:r>
    </w:p>
    <w:p w14:paraId="36DF1BC4" w14:textId="4FA19431" w:rsidR="008664D8" w:rsidRDefault="00B83A6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ab/>
      </w:r>
      <w:r>
        <w:rPr>
          <w:noProof/>
          <w:color w:val="000000"/>
          <w:sz w:val="23"/>
          <w:szCs w:val="23"/>
          <w:vertAlign w:val="subscript"/>
        </w:rPr>
        <w:drawing>
          <wp:inline distT="0" distB="0" distL="114300" distR="114300" wp14:anchorId="21FAAF62" wp14:editId="29270165">
            <wp:extent cx="1066800" cy="24384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43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3"/>
          <w:szCs w:val="23"/>
        </w:rPr>
        <w:tab/>
      </w:r>
      <w:r w:rsidR="00712DC6">
        <w:rPr>
          <w:color w:val="000000"/>
          <w:sz w:val="23"/>
          <w:szCs w:val="23"/>
        </w:rPr>
        <w:t>(3)</w:t>
      </w:r>
    </w:p>
    <w:p w14:paraId="28390E7D" w14:textId="4464A5F7" w:rsidR="008664D8" w:rsidRDefault="00B83A67">
      <w:pPr>
        <w:rPr>
          <w:sz w:val="23"/>
          <w:szCs w:val="23"/>
        </w:rPr>
      </w:pPr>
      <w:r>
        <w:rPr>
          <w:sz w:val="23"/>
          <w:szCs w:val="23"/>
        </w:rPr>
        <w:t>To complete the Bayesian model, assign standard, relatively non-informative priors to the allometry parameters (</w:t>
      </w:r>
      <w:proofErr w:type="spellStart"/>
      <w:r>
        <w:rPr>
          <w:i/>
          <w:iCs/>
          <w:sz w:val="23"/>
          <w:szCs w:val="23"/>
        </w:rPr>
        <w:t>H</w:t>
      </w:r>
      <w:r>
        <w:rPr>
          <w:i/>
          <w:iCs/>
          <w:sz w:val="23"/>
          <w:szCs w:val="23"/>
          <w:vertAlign w:val="subscript"/>
        </w:rPr>
        <w:t>max</w:t>
      </w:r>
      <w:proofErr w:type="spellEnd"/>
      <w:r>
        <w:rPr>
          <w:sz w:val="23"/>
          <w:szCs w:val="23"/>
        </w:rPr>
        <w:t xml:space="preserve"> and </w:t>
      </w:r>
      <w:r w:rsidR="00712DC6">
        <w:rPr>
          <w:i/>
          <w:iCs/>
          <w:sz w:val="23"/>
          <w:szCs w:val="23"/>
        </w:rPr>
        <w:sym w:font="Symbol" w:char="F066"/>
      </w:r>
      <w:r>
        <w:rPr>
          <w:sz w:val="23"/>
          <w:szCs w:val="23"/>
        </w:rPr>
        <w:t xml:space="preserve">) and the standard deviations associated with each likelihood (e.g., σ and </w:t>
      </w:r>
      <w:proofErr w:type="spellStart"/>
      <w:r>
        <w:rPr>
          <w:sz w:val="23"/>
          <w:szCs w:val="23"/>
        </w:rPr>
        <w:t>σ</w:t>
      </w:r>
      <w:r>
        <w:rPr>
          <w:i/>
          <w:iCs/>
          <w:sz w:val="23"/>
          <w:szCs w:val="23"/>
          <w:vertAlign w:val="subscript"/>
        </w:rPr>
        <w:t>R</w:t>
      </w:r>
      <w:proofErr w:type="spellEnd"/>
      <w:r>
        <w:rPr>
          <w:sz w:val="23"/>
          <w:szCs w:val="23"/>
        </w:rPr>
        <w:t xml:space="preserve">). The precisions are computed as τ = σ </w:t>
      </w:r>
      <w:r>
        <w:rPr>
          <w:sz w:val="23"/>
          <w:szCs w:val="23"/>
          <w:vertAlign w:val="superscript"/>
        </w:rPr>
        <w:t>–2</w:t>
      </w:r>
      <w:r>
        <w:rPr>
          <w:sz w:val="23"/>
          <w:szCs w:val="23"/>
        </w:rPr>
        <w:t xml:space="preserve"> and </w:t>
      </w:r>
      <w:proofErr w:type="spellStart"/>
      <w:r>
        <w:rPr>
          <w:sz w:val="23"/>
          <w:szCs w:val="23"/>
        </w:rPr>
        <w:t>τ</w:t>
      </w:r>
      <w:r>
        <w:rPr>
          <w:i/>
          <w:iCs/>
          <w:sz w:val="23"/>
          <w:szCs w:val="23"/>
          <w:vertAlign w:val="subscript"/>
        </w:rPr>
        <w:t>R</w:t>
      </w:r>
      <w:proofErr w:type="spellEnd"/>
      <w:r>
        <w:rPr>
          <w:sz w:val="23"/>
          <w:szCs w:val="23"/>
        </w:rPr>
        <w:t xml:space="preserve"> = </w:t>
      </w:r>
      <w:proofErr w:type="spellStart"/>
      <w:r>
        <w:rPr>
          <w:sz w:val="23"/>
          <w:szCs w:val="23"/>
        </w:rPr>
        <w:t>σ</w:t>
      </w:r>
      <w:r>
        <w:rPr>
          <w:i/>
          <w:iCs/>
          <w:sz w:val="23"/>
          <w:szCs w:val="23"/>
          <w:vertAlign w:val="subscript"/>
        </w:rPr>
        <w:t>R</w:t>
      </w:r>
      <w:proofErr w:type="spellEnd"/>
      <w:r>
        <w:rPr>
          <w:sz w:val="23"/>
          <w:szCs w:val="23"/>
          <w:vertAlign w:val="superscript"/>
        </w:rPr>
        <w:t xml:space="preserve">–2 </w:t>
      </w:r>
      <w:r>
        <w:rPr>
          <w:sz w:val="23"/>
          <w:szCs w:val="23"/>
        </w:rPr>
        <w:t>(i.e., precision = 1/variance). Use the following priors:</w:t>
      </w:r>
    </w:p>
    <w:p w14:paraId="2FED948C" w14:textId="1439807C" w:rsidR="008664D8" w:rsidRDefault="00B83A6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ab/>
      </w:r>
      <w:r>
        <w:rPr>
          <w:noProof/>
          <w:color w:val="000000"/>
          <w:sz w:val="23"/>
          <w:szCs w:val="23"/>
          <w:vertAlign w:val="subscript"/>
        </w:rPr>
        <w:drawing>
          <wp:inline distT="0" distB="0" distL="114300" distR="114300" wp14:anchorId="586D3B68" wp14:editId="718CFC10">
            <wp:extent cx="1470660" cy="480059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480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3"/>
          <w:szCs w:val="23"/>
        </w:rPr>
        <w:tab/>
      </w:r>
      <w:r w:rsidR="00712DC6">
        <w:rPr>
          <w:color w:val="000000"/>
          <w:sz w:val="23"/>
          <w:szCs w:val="23"/>
        </w:rPr>
        <w:t>(4)</w:t>
      </w:r>
    </w:p>
    <w:p w14:paraId="48688F1B" w14:textId="77777777" w:rsidR="008664D8" w:rsidRDefault="00B83A67">
      <w:pPr>
        <w:rPr>
          <w:sz w:val="23"/>
          <w:szCs w:val="23"/>
        </w:rPr>
      </w:pPr>
      <w:r>
        <w:rPr>
          <w:sz w:val="23"/>
          <w:szCs w:val="23"/>
        </w:rPr>
        <w:t xml:space="preserve">The </w:t>
      </w:r>
      <w:proofErr w:type="gramStart"/>
      <w:r>
        <w:rPr>
          <w:sz w:val="23"/>
          <w:szCs w:val="23"/>
        </w:rPr>
        <w:t>tree</w:t>
      </w:r>
      <w:proofErr w:type="gramEnd"/>
      <w:r>
        <w:rPr>
          <w:sz w:val="23"/>
          <w:szCs w:val="23"/>
        </w:rPr>
        <w:t xml:space="preserve">-specific true radii are also unknown parameters and require a prior. Use a standard (conjugate), relatively non-informative prior for the latent </w:t>
      </w:r>
      <w:proofErr w:type="gramStart"/>
      <w:r>
        <w:rPr>
          <w:sz w:val="23"/>
          <w:szCs w:val="23"/>
        </w:rPr>
        <w:t>radii</w:t>
      </w:r>
      <w:proofErr w:type="gramEnd"/>
      <w:r>
        <w:rPr>
          <w:sz w:val="23"/>
          <w:szCs w:val="23"/>
        </w:rPr>
        <w:t>:</w:t>
      </w:r>
    </w:p>
    <w:p w14:paraId="6E46ED40" w14:textId="38982027" w:rsidR="008664D8" w:rsidRDefault="00B83A6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ab/>
      </w:r>
      <w:r>
        <w:rPr>
          <w:noProof/>
          <w:color w:val="000000"/>
          <w:sz w:val="23"/>
          <w:szCs w:val="23"/>
          <w:vertAlign w:val="subscript"/>
        </w:rPr>
        <w:drawing>
          <wp:inline distT="0" distB="0" distL="114300" distR="114300" wp14:anchorId="48AEF89C" wp14:editId="7B8449D1">
            <wp:extent cx="1280160" cy="228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3"/>
          <w:szCs w:val="23"/>
        </w:rPr>
        <w:tab/>
      </w:r>
      <w:r w:rsidR="00712DC6">
        <w:rPr>
          <w:color w:val="000000"/>
          <w:sz w:val="23"/>
          <w:szCs w:val="23"/>
        </w:rPr>
        <w:t>(5)</w:t>
      </w:r>
    </w:p>
    <w:p w14:paraId="3208A66A" w14:textId="1D8CF306" w:rsidR="008664D8" w:rsidRDefault="00B83A67">
      <w:pPr>
        <w:rPr>
          <w:sz w:val="23"/>
          <w:szCs w:val="23"/>
        </w:rPr>
      </w:pPr>
      <w:r>
        <w:rPr>
          <w:sz w:val="23"/>
          <w:szCs w:val="23"/>
        </w:rPr>
        <w:t xml:space="preserve">Both normal priors in </w:t>
      </w:r>
      <w:proofErr w:type="spellStart"/>
      <w:r>
        <w:rPr>
          <w:sz w:val="23"/>
          <w:szCs w:val="23"/>
        </w:rPr>
        <w:t>Eqns</w:t>
      </w:r>
      <w:proofErr w:type="spellEnd"/>
      <w:r>
        <w:rPr>
          <w:sz w:val="23"/>
          <w:szCs w:val="23"/>
        </w:rPr>
        <w:t xml:space="preserve"> </w:t>
      </w:r>
      <w:r w:rsidR="00712DC6">
        <w:rPr>
          <w:sz w:val="23"/>
          <w:szCs w:val="23"/>
        </w:rPr>
        <w:t>(4)</w:t>
      </w:r>
      <w:r>
        <w:rPr>
          <w:sz w:val="23"/>
          <w:szCs w:val="23"/>
        </w:rPr>
        <w:t xml:space="preserve"> and</w:t>
      </w:r>
      <w:r w:rsidR="00712DC6">
        <w:rPr>
          <w:sz w:val="23"/>
          <w:szCs w:val="23"/>
        </w:rPr>
        <w:t xml:space="preserve"> (5) </w:t>
      </w:r>
      <w:r>
        <w:rPr>
          <w:sz w:val="23"/>
          <w:szCs w:val="23"/>
        </w:rPr>
        <w:t>are parameterized in terms of a prior precision of 0.00001 (prior variance = 100,000).</w:t>
      </w:r>
    </w:p>
    <w:p w14:paraId="10E4F538" w14:textId="3B34A0FD" w:rsidR="008664D8" w:rsidRDefault="00B83A67">
      <w:pPr>
        <w:ind w:firstLine="432"/>
        <w:rPr>
          <w:sz w:val="23"/>
          <w:szCs w:val="23"/>
        </w:rPr>
      </w:pPr>
      <w:r>
        <w:rPr>
          <w:sz w:val="23"/>
          <w:szCs w:val="23"/>
        </w:rPr>
        <w:t xml:space="preserve">Code and run the above model via R and Jags </w:t>
      </w:r>
      <w:r w:rsidR="00712DC6">
        <w:rPr>
          <w:sz w:val="23"/>
          <w:szCs w:val="23"/>
        </w:rPr>
        <w:t>(</w:t>
      </w:r>
      <w:proofErr w:type="spellStart"/>
      <w:r w:rsidR="00712DC6">
        <w:rPr>
          <w:sz w:val="23"/>
          <w:szCs w:val="23"/>
        </w:rPr>
        <w:t>rjags</w:t>
      </w:r>
      <w:proofErr w:type="spellEnd"/>
      <w:r w:rsidR="00712DC6">
        <w:rPr>
          <w:sz w:val="23"/>
          <w:szCs w:val="23"/>
        </w:rPr>
        <w:t xml:space="preserve">) </w:t>
      </w:r>
      <w:r>
        <w:rPr>
          <w:sz w:val="23"/>
          <w:szCs w:val="23"/>
        </w:rPr>
        <w:t>for 3 parallel MCMC chains. You might want to provide rough estimates (initials) for the 4 parameters</w:t>
      </w:r>
      <w:r w:rsidR="00712DC6">
        <w:rPr>
          <w:sz w:val="23"/>
          <w:szCs w:val="23"/>
        </w:rPr>
        <w:t xml:space="preserve"> indicated in </w:t>
      </w:r>
      <w:proofErr w:type="spellStart"/>
      <w:r w:rsidR="00712DC6">
        <w:rPr>
          <w:sz w:val="23"/>
          <w:szCs w:val="23"/>
        </w:rPr>
        <w:t>Equn</w:t>
      </w:r>
      <w:proofErr w:type="spellEnd"/>
      <w:r w:rsidR="00712DC6">
        <w:rPr>
          <w:sz w:val="23"/>
          <w:szCs w:val="23"/>
        </w:rPr>
        <w:t xml:space="preserve"> (4) </w:t>
      </w:r>
      <w:r>
        <w:rPr>
          <w:sz w:val="23"/>
          <w:szCs w:val="23"/>
        </w:rPr>
        <w:t>for each of the 3 chains or see if Jags can simulate initials. Evaluate MCMC behavior (mixing and convergence) and produce posterior estimates of the model parameters.</w:t>
      </w:r>
    </w:p>
    <w:p w14:paraId="3AA02E79" w14:textId="37B2CBFC" w:rsidR="008664D8" w:rsidRDefault="00B83A67">
      <w:pPr>
        <w:spacing w:before="120"/>
        <w:ind w:firstLine="432"/>
      </w:pPr>
      <w:r>
        <w:rPr>
          <w:b/>
          <w:bCs/>
          <w:sz w:val="23"/>
          <w:szCs w:val="23"/>
        </w:rPr>
        <w:t>Potential extension:</w:t>
      </w:r>
      <w:r>
        <w:rPr>
          <w:sz w:val="23"/>
          <w:szCs w:val="23"/>
        </w:rPr>
        <w:t xml:space="preserve"> Assume these trees are from a plantation where four different genotypes were planted, denoted as </w:t>
      </w:r>
      <w:r>
        <w:rPr>
          <w:i/>
          <w:iCs/>
          <w:sz w:val="23"/>
          <w:szCs w:val="23"/>
        </w:rPr>
        <w:t xml:space="preserve">g </w:t>
      </w:r>
      <w:r>
        <w:rPr>
          <w:sz w:val="23"/>
          <w:szCs w:val="23"/>
        </w:rPr>
        <w:t>= 1, 2, 3, or 4. The genotype of each tree is provided in the dataset. Modify the model to accommodate “genotype effects” such that the allometry parameters (</w:t>
      </w:r>
      <w:proofErr w:type="spellStart"/>
      <w:r>
        <w:rPr>
          <w:i/>
          <w:iCs/>
          <w:sz w:val="23"/>
          <w:szCs w:val="23"/>
        </w:rPr>
        <w:t>H</w:t>
      </w:r>
      <w:r>
        <w:rPr>
          <w:i/>
          <w:iCs/>
          <w:sz w:val="23"/>
          <w:szCs w:val="23"/>
          <w:vertAlign w:val="subscript"/>
        </w:rPr>
        <w:t>max</w:t>
      </w:r>
      <w:proofErr w:type="spellEnd"/>
      <w:r>
        <w:rPr>
          <w:sz w:val="23"/>
          <w:szCs w:val="23"/>
        </w:rPr>
        <w:t xml:space="preserve"> and </w:t>
      </w:r>
      <w:r w:rsidR="00712DC6">
        <w:rPr>
          <w:i/>
          <w:iCs/>
          <w:sz w:val="23"/>
          <w:szCs w:val="23"/>
        </w:rPr>
        <w:sym w:font="Symbol" w:char="F066"/>
      </w:r>
      <w:r>
        <w:rPr>
          <w:sz w:val="23"/>
          <w:szCs w:val="23"/>
        </w:rPr>
        <w:t xml:space="preserve">) vary by genotype. Specify a hierarchical prior that assumes that the genotype-specific parameters </w:t>
      </w:r>
      <w:proofErr w:type="gramStart"/>
      <w:r>
        <w:rPr>
          <w:sz w:val="23"/>
          <w:szCs w:val="23"/>
        </w:rPr>
        <w:t>arises</w:t>
      </w:r>
      <w:proofErr w:type="gramEnd"/>
      <w:r>
        <w:rPr>
          <w:sz w:val="23"/>
          <w:szCs w:val="23"/>
        </w:rPr>
        <w:t xml:space="preserve"> from a normal distribution described by an overall mean (e.g., μ</w:t>
      </w:r>
      <w:r w:rsidR="00712DC6" w:rsidRPr="00712DC6">
        <w:rPr>
          <w:i/>
          <w:iCs/>
          <w:sz w:val="23"/>
          <w:szCs w:val="23"/>
          <w:vertAlign w:val="subscript"/>
        </w:rPr>
        <w:sym w:font="Symbol" w:char="F066"/>
      </w:r>
      <w:r>
        <w:rPr>
          <w:sz w:val="23"/>
          <w:szCs w:val="23"/>
        </w:rPr>
        <w:t>) and variance or precision (e.g., τ</w:t>
      </w:r>
      <w:r w:rsidR="00712DC6" w:rsidRPr="00712DC6">
        <w:rPr>
          <w:i/>
          <w:iCs/>
          <w:sz w:val="23"/>
          <w:szCs w:val="23"/>
          <w:vertAlign w:val="subscript"/>
        </w:rPr>
        <w:sym w:font="Symbol" w:char="F066"/>
      </w:r>
      <w:r>
        <w:rPr>
          <w:sz w:val="23"/>
          <w:szCs w:val="23"/>
        </w:rPr>
        <w:t>) that quantifies variability among genotypes. Is there evidence for genotype-specific height vs radius allometries? E.g., do the allometry parameters differ among genotypes?</w:t>
      </w:r>
    </w:p>
    <w:sectPr w:rsidR="008664D8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D69C6" w14:textId="77777777" w:rsidR="00B83A67" w:rsidRDefault="00B83A67">
      <w:r>
        <w:separator/>
      </w:r>
    </w:p>
  </w:endnote>
  <w:endnote w:type="continuationSeparator" w:id="0">
    <w:p w14:paraId="61AFF0A9" w14:textId="77777777" w:rsidR="00B83A67" w:rsidRDefault="00B83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B686AF74-B747-4FB1-A2DB-10176A16AC86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2C07D35-A946-477B-97A0-B37EA28F52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318E845-DC18-42B6-A5C9-BB20576F4D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4D5C2" w14:textId="77777777" w:rsidR="008664D8" w:rsidRDefault="00B83A6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12DC6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F019D" w14:textId="77777777" w:rsidR="00B83A67" w:rsidRDefault="00B83A67">
      <w:r>
        <w:separator/>
      </w:r>
    </w:p>
  </w:footnote>
  <w:footnote w:type="continuationSeparator" w:id="0">
    <w:p w14:paraId="10C1FD9F" w14:textId="77777777" w:rsidR="00B83A67" w:rsidRDefault="00B83A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AE0CD" w14:textId="77777777" w:rsidR="008664D8" w:rsidRDefault="008664D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4D8"/>
    <w:rsid w:val="00712DC6"/>
    <w:rsid w:val="008664D8"/>
    <w:rsid w:val="00B83A67"/>
    <w:rsid w:val="00FB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50BEA"/>
  <w15:docId w15:val="{F11C7810-CAC2-4DAF-9AD8-99DD53367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712D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2DC6"/>
  </w:style>
  <w:style w:type="paragraph" w:styleId="Footer">
    <w:name w:val="footer"/>
    <w:basedOn w:val="Normal"/>
    <w:link w:val="FooterChar"/>
    <w:uiPriority w:val="99"/>
    <w:unhideWhenUsed/>
    <w:rsid w:val="00712D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2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CscoeKDrts1Dl8E88RwaE7+qXA==">CgMxLjA4AHIhMUpnMDN5d3p1ZTBpWFN2XzFTR2tEZFZiVTFxNkJvV2da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Kiona Ogle</cp:lastModifiedBy>
  <cp:revision>2</cp:revision>
  <dcterms:created xsi:type="dcterms:W3CDTF">2026-07-20T21:24:00Z</dcterms:created>
  <dcterms:modified xsi:type="dcterms:W3CDTF">2026-07-20T21:29:00Z</dcterms:modified>
</cp:coreProperties>
</file>