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Project 1: Invasive plants &amp; snowfences</w:t>
      </w:r>
    </w:p>
    <w:p w:rsidR="00000000" w:rsidDel="00000000" w:rsidP="00000000" w:rsidRDefault="00000000" w:rsidRPr="00000000" w14:paraId="00000002">
      <w:pPr>
        <w:spacing w:after="0" w:line="240" w:lineRule="auto"/>
        <w:ind w:firstLine="720"/>
        <w:jc w:val="left"/>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In this project, we will program a single parameter model in R/JAGS. In particular, we will work with pseudodata on the number of invasive plant species recorded in the footprint of a snowfence, for multiple snowfences. The model represents a simple Poisson model parameterized in terms of a rate and exposure (the “exposure” is the area of each snowfence footprint). </w:t>
      </w:r>
    </w:p>
    <w:p w:rsidR="00000000" w:rsidDel="00000000" w:rsidP="00000000" w:rsidRDefault="00000000" w:rsidRPr="00000000" w14:paraId="00000003">
      <w:pPr>
        <w:spacing w:after="0" w:line="240" w:lineRule="auto"/>
        <w:ind w:firstLine="720"/>
        <w:jc w:val="left"/>
        <w:rPr>
          <w:b w:val="1"/>
          <w:bCs w:val="1"/>
          <w:sz w:val="24"/>
          <w:szCs w:val="24"/>
        </w:rPr>
      </w:pPr>
      <w:r w:rsidDel="00000000" w:rsidR="00000000" w:rsidRPr="00000000">
        <w:rPr>
          <w:rtl w:val="0"/>
        </w:rPr>
      </w:r>
    </w:p>
    <w:p w:rsidR="00000000" w:rsidDel="00000000" w:rsidP="00000000" w:rsidRDefault="00000000" w:rsidRPr="00000000" w14:paraId="00000004">
      <w:pPr>
        <w:spacing w:after="0" w:line="240" w:lineRule="auto"/>
        <w:ind w:firstLine="720"/>
        <w:jc w:val="left"/>
        <w:rPr>
          <w:sz w:val="24"/>
          <w:szCs w:val="24"/>
        </w:rPr>
      </w:pPr>
      <w:r w:rsidDel="00000000" w:rsidR="00000000" w:rsidRPr="00000000">
        <w:rPr>
          <w:b w:val="1"/>
          <w:bCs w:val="1"/>
          <w:sz w:val="24"/>
          <w:szCs w:val="24"/>
          <w:rtl w:val="0"/>
        </w:rPr>
        <w:t xml:space="preserve">The data</w:t>
      </w:r>
      <w:r w:rsidDel="00000000" w:rsidR="00000000" w:rsidRPr="00000000">
        <w:rPr>
          <w:sz w:val="24"/>
          <w:szCs w:val="24"/>
          <w:rtl w:val="0"/>
        </w:rPr>
        <w:t xml:space="preserve">: Here, </w:t>
      </w:r>
      <w:r w:rsidDel="00000000" w:rsidR="00000000" w:rsidRPr="00000000">
        <w:rPr>
          <w:i w:val="1"/>
          <w:iCs w:val="1"/>
          <w:sz w:val="24"/>
          <w:szCs w:val="24"/>
          <w:rtl w:val="0"/>
        </w:rPr>
        <w:t xml:space="preserve">y </w:t>
      </w:r>
      <w:r w:rsidDel="00000000" w:rsidR="00000000" w:rsidRPr="00000000">
        <w:rPr>
          <w:sz w:val="24"/>
          <w:szCs w:val="24"/>
          <w:rtl w:val="0"/>
        </w:rPr>
        <w:t xml:space="preserve">= the number of invasive plants associated with a snowfence, and </w:t>
      </w:r>
      <w:r w:rsidDel="00000000" w:rsidR="00000000" w:rsidRPr="00000000">
        <w:rPr>
          <w:i w:val="1"/>
          <w:iCs w:val="1"/>
          <w:sz w:val="24"/>
          <w:szCs w:val="24"/>
          <w:rtl w:val="0"/>
        </w:rPr>
        <w:t xml:space="preserve">x </w:t>
      </w:r>
      <w:r w:rsidDel="00000000" w:rsidR="00000000" w:rsidRPr="00000000">
        <w:rPr>
          <w:sz w:val="24"/>
          <w:szCs w:val="24"/>
          <w:rtl w:val="0"/>
        </w:rPr>
        <w:t xml:space="preserve">= the footprint (area) of the snowfence. In particular, </w:t>
      </w:r>
      <w:r w:rsidDel="00000000" w:rsidR="00000000" w:rsidRPr="00000000">
        <w:rPr>
          <w:i w:val="1"/>
          <w:iCs w:val="1"/>
          <w:sz w:val="24"/>
          <w:szCs w:val="24"/>
          <w:rtl w:val="0"/>
        </w:rPr>
        <w:t xml:space="preserve">y </w:t>
      </w:r>
      <w:r w:rsidDel="00000000" w:rsidR="00000000" w:rsidRPr="00000000">
        <w:rPr>
          <w:sz w:val="24"/>
          <w:szCs w:val="24"/>
          <w:rtl w:val="0"/>
        </w:rPr>
        <w:t xml:space="preserve">represents counts that arise from a Poisson distribution, and </w:t>
      </w:r>
      <w:r w:rsidDel="00000000" w:rsidR="00000000" w:rsidRPr="00000000">
        <w:rPr>
          <w:i w:val="1"/>
          <w:iCs w:val="1"/>
          <w:sz w:val="24"/>
          <w:szCs w:val="24"/>
          <w:rtl w:val="0"/>
        </w:rPr>
        <w:t xml:space="preserve">x </w:t>
      </w:r>
      <w:r w:rsidDel="00000000" w:rsidR="00000000" w:rsidRPr="00000000">
        <w:rPr>
          <w:sz w:val="24"/>
          <w:szCs w:val="24"/>
          <w:rtl w:val="0"/>
        </w:rPr>
        <w:t xml:space="preserve">is the “exposure” associated with each count. </w:t>
      </w:r>
    </w:p>
    <w:p w:rsidR="00000000" w:rsidDel="00000000" w:rsidP="00000000" w:rsidRDefault="00000000" w:rsidRPr="00000000" w14:paraId="00000005">
      <w:pPr>
        <w:spacing w:after="0" w:line="240" w:lineRule="auto"/>
        <w:ind w:firstLine="720"/>
        <w:jc w:val="left"/>
        <w:rPr>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720"/>
        <w:jc w:val="left"/>
        <w:rPr>
          <w:sz w:val="24"/>
          <w:szCs w:val="24"/>
        </w:rPr>
      </w:pPr>
      <w:r w:rsidDel="00000000" w:rsidR="00000000" w:rsidRPr="00000000">
        <w:rPr>
          <w:b w:val="1"/>
          <w:bCs w:val="1"/>
          <w:sz w:val="24"/>
          <w:szCs w:val="24"/>
          <w:rtl w:val="0"/>
        </w:rPr>
        <w:t xml:space="preserve">The goal</w:t>
      </w:r>
      <w:r w:rsidDel="00000000" w:rsidR="00000000" w:rsidRPr="00000000">
        <w:rPr>
          <w:sz w:val="24"/>
          <w:szCs w:val="24"/>
          <w:rtl w:val="0"/>
        </w:rPr>
        <w:t xml:space="preserve">: As a very simple example, the goal is to gain experience working with Jags and exploring posterior results. You will implement a simple Poisson Bayesian model to learn about (i.e., obtain the posterior and summarize it) the rate parameter, 𝛳, which describes the “average” number of invasive plants per square meter of snowfence footprint. You will gain experience specifying priors—you will explore three different priors that range in their level of “informativeness” (priors A, B, and C) and evaluate their influence on the posterior. The data are provided in the csv file called: Snowfencedata.csv</w:t>
      </w:r>
    </w:p>
    <w:p w:rsidR="00000000" w:rsidDel="00000000" w:rsidP="00000000" w:rsidRDefault="00000000" w:rsidRPr="00000000" w14:paraId="00000007">
      <w:pPr>
        <w:spacing w:after="0" w:line="240" w:lineRule="auto"/>
        <w:ind w:firstLine="720"/>
        <w:jc w:val="left"/>
        <w:rPr>
          <w:sz w:val="24"/>
          <w:szCs w:val="24"/>
        </w:rPr>
      </w:pPr>
      <w:r w:rsidDel="00000000" w:rsidR="00000000" w:rsidRPr="00000000">
        <w:rPr>
          <w:rtl w:val="0"/>
        </w:rPr>
      </w:r>
    </w:p>
    <w:p w:rsidR="00000000" w:rsidDel="00000000" w:rsidP="00000000" w:rsidRDefault="00000000" w:rsidRPr="00000000" w14:paraId="00000008">
      <w:pPr>
        <w:spacing w:after="0" w:line="240" w:lineRule="auto"/>
        <w:jc w:val="left"/>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The model:</w:t>
      </w:r>
      <w:r w:rsidDel="00000000" w:rsidR="00000000" w:rsidRPr="00000000">
        <w:rPr>
          <w:sz w:val="24"/>
          <w:szCs w:val="24"/>
          <w:rtl w:val="0"/>
        </w:rPr>
        <w:t xml:space="preserve"> To define the likelihood of the data, we will assume that the counts arise from a Poisson distribution such that for observation (snowfence) </w:t>
      </w:r>
      <w:r w:rsidDel="00000000" w:rsidR="00000000" w:rsidRPr="00000000">
        <w:rPr>
          <w:i w:val="1"/>
          <w:iCs w:val="1"/>
          <w:sz w:val="24"/>
          <w:szCs w:val="24"/>
          <w:rtl w:val="0"/>
        </w:rPr>
        <w:t xml:space="preserve">i</w:t>
      </w:r>
      <w:r w:rsidDel="00000000" w:rsidR="00000000" w:rsidRPr="00000000">
        <w:rPr>
          <w:sz w:val="24"/>
          <w:szCs w:val="24"/>
          <w:rtl w:val="0"/>
        </w:rPr>
        <w:t xml:space="preserve">: </w:t>
      </w:r>
    </w:p>
    <w:p w:rsidR="00000000" w:rsidDel="00000000" w:rsidP="00000000" w:rsidRDefault="00000000" w:rsidRPr="00000000" w14:paraId="00000009">
      <w:pPr>
        <w:spacing w:after="120" w:before="12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 Poisson(</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θ)</m:t>
        </m:r>
      </m:oMath>
      <w:r w:rsidDel="00000000" w:rsidR="00000000" w:rsidRPr="00000000">
        <w:rPr>
          <w:rtl w:val="0"/>
        </w:rPr>
      </w:r>
    </w:p>
    <w:p w:rsidR="00000000" w:rsidDel="00000000" w:rsidP="00000000" w:rsidRDefault="00000000" w:rsidRPr="00000000" w14:paraId="0000000A">
      <w:pPr>
        <w:spacing w:line="240" w:lineRule="auto"/>
        <w:jc w:val="left"/>
        <w:rPr>
          <w:sz w:val="24"/>
          <w:szCs w:val="24"/>
        </w:rPr>
      </w:pPr>
      <w:r w:rsidDel="00000000" w:rsidR="00000000" w:rsidRPr="00000000">
        <w:rPr>
          <w:sz w:val="24"/>
          <w:szCs w:val="24"/>
          <w:rtl w:val="0"/>
        </w:rPr>
        <w:t xml:space="preserve">Three conjugate priors for 𝛳 representing vary degrees of “informativeness” (A = least informative, C = most informative):</w:t>
      </w:r>
    </w:p>
    <w:p w:rsidR="00000000" w:rsidDel="00000000" w:rsidP="00000000" w:rsidRDefault="00000000" w:rsidRPr="00000000" w14:paraId="0000000B">
      <w:pPr>
        <w:spacing w:line="240" w:lineRule="auto"/>
        <w:ind w:left="2880" w:firstLine="720"/>
        <w:rPr>
          <w:i w:val="1"/>
          <w:iCs w:val="1"/>
          <w:sz w:val="24"/>
          <w:szCs w:val="24"/>
        </w:rPr>
      </w:pPr>
      <m:oMath>
        <m:r>
          <m:t>θ</m:t>
        </m:r>
        <m:r>
          <w:rPr>
            <w:rFonts w:ascii="Cambria Math" w:cs="Cambria Math" w:eastAsia="Cambria Math" w:hAnsi="Cambria Math"/>
            <w:sz w:val="24"/>
            <w:szCs w:val="24"/>
          </w:rPr>
          <m:t xml:space="preserve"> ~ Gamma(0.001,0.001)</m:t>
        </m:r>
      </m:oMath>
      <w:r w:rsidDel="00000000" w:rsidR="00000000" w:rsidRPr="00000000">
        <w:rPr>
          <w:sz w:val="24"/>
          <w:szCs w:val="24"/>
          <w:rtl w:val="0"/>
        </w:rPr>
        <w:tab/>
        <w:tab/>
        <w:tab/>
      </w:r>
      <w:r w:rsidDel="00000000" w:rsidR="00000000" w:rsidRPr="00000000">
        <w:rPr>
          <w:i w:val="1"/>
          <w:iCs w:val="1"/>
          <w:sz w:val="24"/>
          <w:szCs w:val="24"/>
          <w:rtl w:val="0"/>
        </w:rPr>
        <w:t xml:space="preserve">Prior A</w:t>
      </w:r>
    </w:p>
    <w:p w:rsidR="00000000" w:rsidDel="00000000" w:rsidP="00000000" w:rsidRDefault="00000000" w:rsidRPr="00000000" w14:paraId="0000000C">
      <w:pPr>
        <w:spacing w:line="240" w:lineRule="auto"/>
        <w:ind w:left="2880" w:firstLine="720"/>
        <w:rPr>
          <w:i w:val="1"/>
          <w:iCs w:val="1"/>
          <w:sz w:val="24"/>
          <w:szCs w:val="24"/>
        </w:rPr>
      </w:pPr>
      <m:oMath>
        <m:r>
          <w:rPr>
            <w:rFonts w:ascii="Cambria Math" w:cs="Cambria Math" w:eastAsia="Cambria Math" w:hAnsi="Cambria Math"/>
            <w:sz w:val="24"/>
            <w:szCs w:val="24"/>
          </w:rPr>
          <m:t xml:space="preserve">θ ~ Gamma(10,10)</m:t>
        </m:r>
      </m:oMath>
      <w:r w:rsidDel="00000000" w:rsidR="00000000" w:rsidRPr="00000000">
        <w:rPr>
          <w:sz w:val="24"/>
          <w:szCs w:val="24"/>
          <w:rtl w:val="0"/>
        </w:rPr>
        <w:tab/>
        <w:tab/>
        <w:tab/>
        <w:tab/>
      </w:r>
      <w:r w:rsidDel="00000000" w:rsidR="00000000" w:rsidRPr="00000000">
        <w:rPr>
          <w:i w:val="1"/>
          <w:iCs w:val="1"/>
          <w:sz w:val="24"/>
          <w:szCs w:val="24"/>
          <w:rtl w:val="0"/>
        </w:rPr>
        <w:t xml:space="preserve">Prior B</w:t>
      </w:r>
    </w:p>
    <w:p w:rsidR="00000000" w:rsidDel="00000000" w:rsidP="00000000" w:rsidRDefault="00000000" w:rsidRPr="00000000" w14:paraId="0000000D">
      <w:pPr>
        <w:spacing w:line="240" w:lineRule="auto"/>
        <w:ind w:left="2880" w:firstLine="720"/>
        <w:rPr>
          <w:i w:val="1"/>
          <w:iCs w:val="1"/>
          <w:sz w:val="24"/>
          <w:szCs w:val="24"/>
        </w:rPr>
      </w:pPr>
      <m:oMath>
        <m:r>
          <w:rPr>
            <w:rFonts w:ascii="Cambria Math" w:cs="Cambria Math" w:eastAsia="Cambria Math" w:hAnsi="Cambria Math"/>
            <w:sz w:val="24"/>
            <w:szCs w:val="24"/>
          </w:rPr>
          <m:t xml:space="preserve">θ ~ Gamma(65.8,32.5)</m:t>
        </m:r>
      </m:oMath>
      <w:r w:rsidDel="00000000" w:rsidR="00000000" w:rsidRPr="00000000">
        <w:rPr>
          <w:sz w:val="24"/>
          <w:szCs w:val="24"/>
          <w:rtl w:val="0"/>
        </w:rPr>
        <w:tab/>
        <w:tab/>
        <w:tab/>
      </w:r>
      <w:r w:rsidDel="00000000" w:rsidR="00000000" w:rsidRPr="00000000">
        <w:rPr>
          <w:i w:val="1"/>
          <w:iCs w:val="1"/>
          <w:sz w:val="24"/>
          <w:szCs w:val="24"/>
          <w:rtl w:val="0"/>
        </w:rPr>
        <w:t xml:space="preserve">Prior C</w:t>
      </w:r>
    </w:p>
    <w:p w:rsidR="00000000" w:rsidDel="00000000" w:rsidP="00000000" w:rsidRDefault="00000000" w:rsidRPr="00000000" w14:paraId="0000000E">
      <w:pPr>
        <w:spacing w:after="0"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You will compare the posterior results (summary statistics) obtained under the different priors to explore “how much” each prior influences the (posterior) results. Run each model (for each of the three priors) for 3 chains, for 5000 iterations per chain. Compute posterior summary statistics, including the posterior mean, median, standard deviation, central 95% CI, and the 95% HPD (Highest Posterior Density) interval. Plotting code is provided to overlay the posteriors for </w:t>
      </w:r>
      <w:r w:rsidDel="00000000" w:rsidR="00000000" w:rsidRPr="00000000">
        <w:rPr>
          <w:sz w:val="24"/>
          <w:szCs w:val="24"/>
          <w:rtl w:val="0"/>
        </w:rPr>
        <w:t xml:space="preserve">𝛳 </w:t>
      </w:r>
      <w:r w:rsidDel="00000000" w:rsidR="00000000" w:rsidRPr="00000000">
        <w:rPr>
          <w:rFonts w:ascii="Times" w:cs="Times" w:eastAsia="Times" w:hAnsi="Times"/>
          <w:sz w:val="24"/>
          <w:szCs w:val="24"/>
          <w:rtl w:val="0"/>
        </w:rPr>
        <w:t xml:space="preserve">associated with each prior (i.e., prior A, B, and C).</w:t>
      </w:r>
    </w:p>
    <w:p w:rsidR="00000000" w:rsidDel="00000000" w:rsidP="00000000" w:rsidRDefault="00000000" w:rsidRPr="00000000" w14:paraId="0000000F">
      <w:pPr>
        <w:ind w:left="2880" w:firstLine="720"/>
        <w:rPr>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ind w:left="432" w:hanging="432"/>
      <w:jc w:val="left"/>
    </w:pPr>
    <w:rPr>
      <w:smallCaps w:val="1"/>
      <w:sz w:val="32"/>
      <w:szCs w:val="32"/>
    </w:rPr>
  </w:style>
  <w:style w:type="paragraph" w:styleId="Heading2">
    <w:name w:val="heading 2"/>
    <w:basedOn w:val="Normal"/>
    <w:next w:val="Normal"/>
    <w:pPr>
      <w:spacing w:after="0" w:lineRule="auto"/>
      <w:ind w:left="576" w:hanging="576"/>
      <w:jc w:val="left"/>
    </w:pPr>
    <w:rPr>
      <w:smallCaps w:val="1"/>
      <w:sz w:val="28"/>
      <w:szCs w:val="28"/>
    </w:rPr>
  </w:style>
  <w:style w:type="paragraph" w:styleId="Heading3">
    <w:name w:val="heading 3"/>
    <w:basedOn w:val="Normal"/>
    <w:next w:val="Normal"/>
    <w:pPr>
      <w:spacing w:after="0" w:lineRule="auto"/>
      <w:ind w:left="720" w:hanging="720"/>
      <w:jc w:val="left"/>
    </w:pPr>
    <w:rPr>
      <w:smallCaps w:val="1"/>
      <w:sz w:val="24"/>
      <w:szCs w:val="24"/>
    </w:rPr>
  </w:style>
  <w:style w:type="paragraph" w:styleId="Heading4">
    <w:name w:val="heading 4"/>
    <w:basedOn w:val="Normal"/>
    <w:next w:val="Normal"/>
    <w:pPr>
      <w:spacing w:after="0" w:lineRule="auto"/>
      <w:ind w:left="864" w:hanging="864"/>
      <w:jc w:val="left"/>
    </w:pPr>
    <w:rPr>
      <w:i w:val="1"/>
      <w:iCs w:val="1"/>
      <w:smallCaps w:val="1"/>
      <w:sz w:val="22"/>
      <w:szCs w:val="22"/>
    </w:rPr>
  </w:style>
  <w:style w:type="paragraph" w:styleId="Heading5">
    <w:name w:val="heading 5"/>
    <w:basedOn w:val="Normal"/>
    <w:next w:val="Normal"/>
    <w:pPr>
      <w:spacing w:after="0" w:lineRule="auto"/>
      <w:ind w:left="1008" w:hanging="1008"/>
      <w:jc w:val="left"/>
    </w:pPr>
    <w:rPr>
      <w:smallCaps w:val="1"/>
      <w:color w:val="3a7d22"/>
      <w:sz w:val="22"/>
      <w:szCs w:val="22"/>
    </w:rPr>
  </w:style>
  <w:style w:type="paragraph" w:styleId="Heading6">
    <w:name w:val="heading 6"/>
    <w:basedOn w:val="Normal"/>
    <w:next w:val="Normal"/>
    <w:pPr>
      <w:spacing w:after="0" w:lineRule="auto"/>
      <w:ind w:left="1152" w:hanging="1152"/>
      <w:jc w:val="left"/>
    </w:pPr>
    <w:rPr>
      <w:smallCaps w:val="1"/>
      <w:color w:val="4ea72e"/>
      <w:sz w:val="22"/>
      <w:szCs w:val="22"/>
    </w:rPr>
  </w:style>
  <w:style w:type="paragraph" w:styleId="Title">
    <w:name w:val="Title"/>
    <w:basedOn w:val="Normal"/>
    <w:next w:val="Normal"/>
    <w:pPr>
      <w:pBdr>
        <w:top w:color="4ea72e" w:space="1" w:sz="8" w:val="single"/>
      </w:pBdr>
      <w:spacing w:after="120" w:line="240" w:lineRule="auto"/>
      <w:jc w:val="right"/>
    </w:pPr>
    <w:rPr>
      <w:smallCaps w:val="1"/>
      <w:color w:val="262626"/>
      <w:sz w:val="52"/>
      <w:szCs w:val="52"/>
    </w:rPr>
  </w:style>
  <w:style w:type="paragraph" w:styleId="Subtitle">
    <w:name w:val="Subtitle"/>
    <w:basedOn w:val="Normal"/>
    <w:next w:val="Normal"/>
    <w:pPr>
      <w:spacing w:after="720" w:line="240" w:lineRule="auto"/>
      <w:jc w:val="right"/>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iRTN+oI0m/0ONhhELp9SrA8dw==">CgMxLjA4AHIhMW1WM1NPWFNZR3hnbTJDOW9aWU42TFdKRG9mUUVYTGRS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