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27B4" w14:textId="15B9F698" w:rsidR="001E4337" w:rsidRDefault="01C8A506" w:rsidP="7C83C57D">
      <w:pPr>
        <w:spacing w:before="240" w:after="240"/>
      </w:pPr>
      <w:r w:rsidRPr="7C83C57D">
        <w:rPr>
          <w:rFonts w:ascii="Aptos" w:eastAsia="Aptos" w:hAnsi="Aptos" w:cs="Aptos"/>
          <w:b/>
          <w:bCs/>
        </w:rPr>
        <w:t>EVA Environment &amp; Data Lifecycle Roadmap (2025–2027)</w:t>
      </w:r>
    </w:p>
    <w:p w14:paraId="02D36996" w14:textId="63335E35" w:rsidR="001E4337" w:rsidRDefault="1F38CC1A">
      <w:r>
        <w:t>June 2</w:t>
      </w:r>
      <w:r w:rsidRPr="6E390E9A">
        <w:rPr>
          <w:vertAlign w:val="superscript"/>
        </w:rPr>
        <w:t>nd</w:t>
      </w:r>
      <w:r>
        <w:t>, 2025</w:t>
      </w:r>
    </w:p>
    <w:p w14:paraId="57052679" w14:textId="16401BB6" w:rsidR="001E4337" w:rsidRDefault="01C8A506" w:rsidP="7C83C57D">
      <w:pPr>
        <w:pStyle w:val="Heading3"/>
        <w:spacing w:before="281" w:after="281"/>
      </w:pPr>
      <w:r w:rsidRPr="7C83C57D">
        <w:rPr>
          <w:rFonts w:ascii="Aptos" w:eastAsia="Aptos" w:hAnsi="Aptos" w:cs="Aptos"/>
          <w:b/>
          <w:bCs/>
        </w:rPr>
        <w:t>1. Purpose</w:t>
      </w:r>
    </w:p>
    <w:p w14:paraId="404FC638" w14:textId="484B942F" w:rsidR="001E4337" w:rsidRDefault="01C8A506" w:rsidP="7C83C57D">
      <w:pPr>
        <w:spacing w:before="240" w:after="240"/>
      </w:pPr>
      <w:r w:rsidRPr="7C83C57D">
        <w:rPr>
          <w:rFonts w:ascii="Aptos" w:eastAsia="Aptos" w:hAnsi="Aptos" w:cs="Aptos"/>
        </w:rPr>
        <w:t>This roadmap outlines the phased implementation of EVA’s environment cloning, gold data management, and onboarding infrastructure to support reusable, secure, and scalable application deployment across client projects and System Integrators (SIs).</w:t>
      </w:r>
    </w:p>
    <w:p w14:paraId="06D7B39E" w14:textId="24482248" w:rsidR="001E4337" w:rsidRDefault="01C8A506" w:rsidP="7C83C57D">
      <w:pPr>
        <w:pStyle w:val="Heading3"/>
        <w:spacing w:before="281" w:after="281"/>
      </w:pPr>
      <w:r w:rsidRPr="7C83C57D">
        <w:rPr>
          <w:rFonts w:ascii="Aptos" w:eastAsia="Aptos" w:hAnsi="Aptos" w:cs="Aptos"/>
          <w:b/>
          <w:bCs/>
        </w:rPr>
        <w:t>2. Guiding Principles</w:t>
      </w:r>
    </w:p>
    <w:p w14:paraId="46195258" w14:textId="0C5C5508" w:rsidR="001E4337" w:rsidRDefault="01C8A506" w:rsidP="7C83C57D">
      <w:pPr>
        <w:pStyle w:val="ListParagraph"/>
        <w:numPr>
          <w:ilvl w:val="0"/>
          <w:numId w:val="1"/>
        </w:numPr>
        <w:spacing w:before="240" w:after="240"/>
        <w:rPr>
          <w:rFonts w:ascii="Aptos" w:eastAsia="Aptos" w:hAnsi="Aptos" w:cs="Aptos"/>
        </w:rPr>
      </w:pPr>
      <w:r w:rsidRPr="7C83C57D">
        <w:rPr>
          <w:rFonts w:ascii="Aptos" w:eastAsia="Aptos" w:hAnsi="Aptos" w:cs="Aptos"/>
          <w:b/>
          <w:bCs/>
        </w:rPr>
        <w:t>Separation of Concerns</w:t>
      </w:r>
      <w:r w:rsidRPr="7C83C57D">
        <w:rPr>
          <w:rFonts w:ascii="Aptos" w:eastAsia="Aptos" w:hAnsi="Aptos" w:cs="Aptos"/>
        </w:rPr>
        <w:t>: Decouple application logic from business data</w:t>
      </w:r>
    </w:p>
    <w:p w14:paraId="355373AB" w14:textId="3331FBB4" w:rsidR="001E4337" w:rsidRDefault="01C8A506" w:rsidP="7C83C57D">
      <w:pPr>
        <w:pStyle w:val="ListParagraph"/>
        <w:numPr>
          <w:ilvl w:val="0"/>
          <w:numId w:val="1"/>
        </w:numPr>
        <w:spacing w:before="240" w:after="240"/>
        <w:rPr>
          <w:rFonts w:ascii="Aptos" w:eastAsia="Aptos" w:hAnsi="Aptos" w:cs="Aptos"/>
        </w:rPr>
      </w:pPr>
      <w:r w:rsidRPr="7C83C57D">
        <w:rPr>
          <w:rFonts w:ascii="Aptos" w:eastAsia="Aptos" w:hAnsi="Aptos" w:cs="Aptos"/>
          <w:b/>
          <w:bCs/>
        </w:rPr>
        <w:t>Data Safety</w:t>
      </w:r>
      <w:r w:rsidRPr="7C83C57D">
        <w:rPr>
          <w:rFonts w:ascii="Aptos" w:eastAsia="Aptos" w:hAnsi="Aptos" w:cs="Aptos"/>
        </w:rPr>
        <w:t>: Prevent leakage of PHI/PII in non-prod environments</w:t>
      </w:r>
    </w:p>
    <w:p w14:paraId="724E5304" w14:textId="5DBC91F4" w:rsidR="001E4337" w:rsidRDefault="01C8A506" w:rsidP="7C83C57D">
      <w:pPr>
        <w:pStyle w:val="ListParagraph"/>
        <w:numPr>
          <w:ilvl w:val="0"/>
          <w:numId w:val="1"/>
        </w:numPr>
        <w:spacing w:before="240" w:after="240"/>
        <w:rPr>
          <w:rFonts w:ascii="Aptos" w:eastAsia="Aptos" w:hAnsi="Aptos" w:cs="Aptos"/>
        </w:rPr>
      </w:pPr>
      <w:r w:rsidRPr="7C83C57D">
        <w:rPr>
          <w:rFonts w:ascii="Aptos" w:eastAsia="Aptos" w:hAnsi="Aptos" w:cs="Aptos"/>
          <w:b/>
          <w:bCs/>
        </w:rPr>
        <w:t>Repeatability</w:t>
      </w:r>
      <w:r w:rsidRPr="7C83C57D">
        <w:rPr>
          <w:rFonts w:ascii="Aptos" w:eastAsia="Aptos" w:hAnsi="Aptos" w:cs="Aptos"/>
        </w:rPr>
        <w:t>: Standardize onboarding and refresh flows for clients and SIs</w:t>
      </w:r>
    </w:p>
    <w:p w14:paraId="34003C28" w14:textId="163979B6" w:rsidR="001E4337" w:rsidRDefault="01C8A506" w:rsidP="7C83C57D">
      <w:pPr>
        <w:pStyle w:val="ListParagraph"/>
        <w:numPr>
          <w:ilvl w:val="0"/>
          <w:numId w:val="1"/>
        </w:numPr>
        <w:spacing w:before="240" w:after="240"/>
        <w:rPr>
          <w:rFonts w:ascii="Aptos" w:eastAsia="Aptos" w:hAnsi="Aptos" w:cs="Aptos"/>
        </w:rPr>
      </w:pPr>
      <w:r w:rsidRPr="7C83C57D">
        <w:rPr>
          <w:rFonts w:ascii="Aptos" w:eastAsia="Aptos" w:hAnsi="Aptos" w:cs="Aptos"/>
          <w:b/>
          <w:bCs/>
        </w:rPr>
        <w:t>Reusability</w:t>
      </w:r>
      <w:r w:rsidRPr="7C83C57D">
        <w:rPr>
          <w:rFonts w:ascii="Aptos" w:eastAsia="Aptos" w:hAnsi="Aptos" w:cs="Aptos"/>
        </w:rPr>
        <w:t>: Allow apps to run on reference data, and datasets to be used by multiple apps</w:t>
      </w:r>
    </w:p>
    <w:p w14:paraId="0A78B8EC" w14:textId="2CA397F0" w:rsidR="001E4337" w:rsidRDefault="001E4337"/>
    <w:p w14:paraId="7D77FBF2" w14:textId="1C7C4CF4" w:rsidR="001E4337" w:rsidRDefault="01C8A506" w:rsidP="7C83C57D">
      <w:pPr>
        <w:pStyle w:val="Heading3"/>
        <w:spacing w:before="281" w:after="281"/>
      </w:pPr>
      <w:r w:rsidRPr="7C83C57D">
        <w:rPr>
          <w:rFonts w:ascii="Aptos" w:eastAsia="Aptos" w:hAnsi="Aptos" w:cs="Aptos"/>
          <w:b/>
          <w:bCs/>
        </w:rPr>
        <w:t>3. Phase 1 – Foundation (Q2–Q3 FY2025)</w:t>
      </w:r>
    </w:p>
    <w:p w14:paraId="719AF0C2" w14:textId="2F9AAC1C" w:rsidR="001E4337" w:rsidRDefault="01C8A506" w:rsidP="7C83C57D">
      <w:pPr>
        <w:spacing w:before="240" w:after="240"/>
      </w:pPr>
      <w:r w:rsidRPr="7C83C57D">
        <w:rPr>
          <w:rFonts w:ascii="Aptos" w:eastAsia="Aptos" w:hAnsi="Aptos" w:cs="Aptos"/>
          <w:b/>
          <w:bCs/>
        </w:rPr>
        <w:t>Objective</w:t>
      </w:r>
      <w:r w:rsidRPr="7C83C57D">
        <w:rPr>
          <w:rFonts w:ascii="Aptos" w:eastAsia="Aptos" w:hAnsi="Aptos" w:cs="Aptos"/>
        </w:rPr>
        <w:t xml:space="preserve">: Establish core building blocks to support </w:t>
      </w:r>
      <w:r w:rsidR="005F53B9">
        <w:rPr>
          <w:rFonts w:ascii="Aptos" w:eastAsia="Aptos" w:hAnsi="Aptos" w:cs="Aptos"/>
        </w:rPr>
        <w:t>clients</w:t>
      </w:r>
      <w:r w:rsidRPr="7C83C57D">
        <w:rPr>
          <w:rFonts w:ascii="Aptos" w:eastAsia="Aptos" w:hAnsi="Aptos" w:cs="Aptos"/>
        </w:rPr>
        <w:t xml:space="preserve"> onboarding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96"/>
        <w:gridCol w:w="3299"/>
        <w:gridCol w:w="1591"/>
        <w:gridCol w:w="2375"/>
      </w:tblGrid>
      <w:tr w:rsidR="7C83C57D" w14:paraId="2959E7A6" w14:textId="77777777" w:rsidTr="0E0AE32B">
        <w:trPr>
          <w:trHeight w:val="300"/>
        </w:trPr>
        <w:tc>
          <w:tcPr>
            <w:tcW w:w="2096" w:type="dxa"/>
            <w:vAlign w:val="center"/>
          </w:tcPr>
          <w:p w14:paraId="2DCB2411" w14:textId="03A4D74F" w:rsidR="7C83C57D" w:rsidRDefault="7C83C57D" w:rsidP="7C83C57D">
            <w:pPr>
              <w:spacing w:after="0"/>
              <w:jc w:val="center"/>
            </w:pPr>
            <w:r w:rsidRPr="7C83C57D">
              <w:rPr>
                <w:b/>
                <w:bCs/>
              </w:rPr>
              <w:t>Feature</w:t>
            </w:r>
          </w:p>
        </w:tc>
        <w:tc>
          <w:tcPr>
            <w:tcW w:w="3299" w:type="dxa"/>
            <w:vAlign w:val="center"/>
          </w:tcPr>
          <w:p w14:paraId="5E576C00" w14:textId="19A60ACA" w:rsidR="7C83C57D" w:rsidRDefault="7C83C57D" w:rsidP="7C83C57D">
            <w:pPr>
              <w:spacing w:after="0"/>
              <w:jc w:val="center"/>
            </w:pPr>
            <w:r w:rsidRPr="7C83C57D">
              <w:rPr>
                <w:b/>
                <w:bCs/>
              </w:rPr>
              <w:t>Target</w:t>
            </w:r>
          </w:p>
        </w:tc>
        <w:tc>
          <w:tcPr>
            <w:tcW w:w="1591" w:type="dxa"/>
            <w:vAlign w:val="center"/>
          </w:tcPr>
          <w:p w14:paraId="0F76440E" w14:textId="61F11E05" w:rsidR="7C83C57D" w:rsidRDefault="7C83C57D" w:rsidP="7C83C57D">
            <w:pPr>
              <w:spacing w:after="0"/>
              <w:jc w:val="center"/>
            </w:pPr>
            <w:r w:rsidRPr="7C83C57D">
              <w:rPr>
                <w:b/>
                <w:bCs/>
              </w:rPr>
              <w:t>Owner</w:t>
            </w:r>
          </w:p>
        </w:tc>
        <w:tc>
          <w:tcPr>
            <w:tcW w:w="2375" w:type="dxa"/>
            <w:vAlign w:val="center"/>
          </w:tcPr>
          <w:p w14:paraId="01EE23FD" w14:textId="2392F59F" w:rsidR="7C83C57D" w:rsidRDefault="7C83C57D" w:rsidP="7C83C57D">
            <w:pPr>
              <w:spacing w:after="0"/>
              <w:jc w:val="center"/>
            </w:pPr>
            <w:r w:rsidRPr="7C83C57D">
              <w:rPr>
                <w:b/>
                <w:bCs/>
              </w:rPr>
              <w:t>Notes</w:t>
            </w:r>
          </w:p>
        </w:tc>
      </w:tr>
      <w:tr w:rsidR="7C83C57D" w14:paraId="30946671" w14:textId="77777777" w:rsidTr="0E0AE32B">
        <w:trPr>
          <w:trHeight w:val="300"/>
        </w:trPr>
        <w:tc>
          <w:tcPr>
            <w:tcW w:w="2096" w:type="dxa"/>
            <w:vAlign w:val="center"/>
          </w:tcPr>
          <w:p w14:paraId="0B128506" w14:textId="64360CCA" w:rsidR="7C83C57D" w:rsidRDefault="7C83C57D" w:rsidP="7C83C57D">
            <w:pPr>
              <w:spacing w:after="0"/>
            </w:pPr>
            <w:r>
              <w:t>Gold Data Vault (v1)</w:t>
            </w:r>
          </w:p>
        </w:tc>
        <w:tc>
          <w:tcPr>
            <w:tcW w:w="3299" w:type="dxa"/>
            <w:vAlign w:val="center"/>
          </w:tcPr>
          <w:p w14:paraId="3919A228" w14:textId="70AE453C" w:rsidR="7C83C57D" w:rsidRDefault="7C83C57D" w:rsidP="7C83C57D">
            <w:pPr>
              <w:spacing w:after="0"/>
            </w:pPr>
            <w:r>
              <w:t>seed documents, classified &amp; versioned</w:t>
            </w:r>
          </w:p>
        </w:tc>
        <w:tc>
          <w:tcPr>
            <w:tcW w:w="1591" w:type="dxa"/>
            <w:vAlign w:val="center"/>
          </w:tcPr>
          <w:p w14:paraId="3C2DD93A" w14:textId="73EC2A06" w:rsidR="7C83C57D" w:rsidRDefault="7C83C57D" w:rsidP="7C83C57D">
            <w:pPr>
              <w:spacing w:after="0"/>
            </w:pPr>
            <w:r>
              <w:t>AICOE / Client Teams</w:t>
            </w:r>
          </w:p>
        </w:tc>
        <w:tc>
          <w:tcPr>
            <w:tcW w:w="2375" w:type="dxa"/>
            <w:vAlign w:val="center"/>
          </w:tcPr>
          <w:p w14:paraId="6AD6CD70" w14:textId="4FFC8873" w:rsidR="7C83C57D" w:rsidRDefault="7C83C57D" w:rsidP="7C83C57D">
            <w:pPr>
              <w:spacing w:after="0"/>
            </w:pPr>
            <w:r>
              <w:t>With tags, fake PII, manual ingest</w:t>
            </w:r>
          </w:p>
        </w:tc>
      </w:tr>
      <w:tr w:rsidR="7C83C57D" w14:paraId="14C9FE1A" w14:textId="77777777" w:rsidTr="0E0AE32B">
        <w:trPr>
          <w:trHeight w:val="300"/>
        </w:trPr>
        <w:tc>
          <w:tcPr>
            <w:tcW w:w="2096" w:type="dxa"/>
            <w:vAlign w:val="center"/>
          </w:tcPr>
          <w:p w14:paraId="18B45884" w14:textId="5BADC34D" w:rsidR="7C83C57D" w:rsidRDefault="7C83C57D" w:rsidP="7C83C57D">
            <w:pPr>
              <w:spacing w:after="0"/>
            </w:pPr>
            <w:r>
              <w:t>Environment Cloning Script</w:t>
            </w:r>
          </w:p>
        </w:tc>
        <w:tc>
          <w:tcPr>
            <w:tcW w:w="3299" w:type="dxa"/>
            <w:vAlign w:val="center"/>
          </w:tcPr>
          <w:p w14:paraId="4D72A56D" w14:textId="6C0E72AF" w:rsidR="7C83C57D" w:rsidRDefault="7C83C57D" w:rsidP="7C83C57D">
            <w:pPr>
              <w:spacing w:after="0"/>
            </w:pPr>
            <w:r>
              <w:t>Manual refresh of TEST/UAT</w:t>
            </w:r>
          </w:p>
        </w:tc>
        <w:tc>
          <w:tcPr>
            <w:tcW w:w="1591" w:type="dxa"/>
            <w:vAlign w:val="center"/>
          </w:tcPr>
          <w:p w14:paraId="352D042B" w14:textId="2C878312" w:rsidR="7C83C57D" w:rsidRDefault="7C83C57D" w:rsidP="7C83C57D">
            <w:pPr>
              <w:spacing w:after="0"/>
            </w:pPr>
            <w:r>
              <w:t>DevOps</w:t>
            </w:r>
          </w:p>
        </w:tc>
        <w:tc>
          <w:tcPr>
            <w:tcW w:w="2375" w:type="dxa"/>
            <w:vAlign w:val="center"/>
          </w:tcPr>
          <w:p w14:paraId="474B4EF8" w14:textId="60D0392F" w:rsidR="7C83C57D" w:rsidRDefault="7C83C57D" w:rsidP="7C83C57D">
            <w:pPr>
              <w:spacing w:after="0"/>
            </w:pPr>
            <w:r>
              <w:t>Exclude prod RAG &amp; logs</w:t>
            </w:r>
          </w:p>
        </w:tc>
      </w:tr>
      <w:tr w:rsidR="7C83C57D" w14:paraId="39ECA83B" w14:textId="77777777" w:rsidTr="0E0AE32B">
        <w:trPr>
          <w:trHeight w:val="300"/>
        </w:trPr>
        <w:tc>
          <w:tcPr>
            <w:tcW w:w="2096" w:type="dxa"/>
            <w:vAlign w:val="center"/>
          </w:tcPr>
          <w:p w14:paraId="4833DB88" w14:textId="456B77FA" w:rsidR="7C83C57D" w:rsidRDefault="7C83C57D" w:rsidP="7C83C57D">
            <w:pPr>
              <w:spacing w:after="0"/>
            </w:pPr>
            <w:r>
              <w:t>Prompt Template Decoupling</w:t>
            </w:r>
          </w:p>
        </w:tc>
        <w:tc>
          <w:tcPr>
            <w:tcW w:w="3299" w:type="dxa"/>
            <w:vAlign w:val="center"/>
          </w:tcPr>
          <w:p w14:paraId="1FDCD6CA" w14:textId="3DDAD790" w:rsidR="7C83C57D" w:rsidRDefault="7C83C57D" w:rsidP="7C83C57D">
            <w:pPr>
              <w:spacing w:after="0"/>
            </w:pPr>
            <w:r>
              <w:t>Prompt sets per client</w:t>
            </w:r>
          </w:p>
        </w:tc>
        <w:tc>
          <w:tcPr>
            <w:tcW w:w="1591" w:type="dxa"/>
            <w:vAlign w:val="center"/>
          </w:tcPr>
          <w:p w14:paraId="060BDE43" w14:textId="520E9B61" w:rsidR="7C83C57D" w:rsidRDefault="7C83C57D" w:rsidP="7C83C57D">
            <w:pPr>
              <w:spacing w:after="0"/>
            </w:pPr>
            <w:r>
              <w:t>AI Team</w:t>
            </w:r>
          </w:p>
        </w:tc>
        <w:tc>
          <w:tcPr>
            <w:tcW w:w="2375" w:type="dxa"/>
            <w:vAlign w:val="center"/>
          </w:tcPr>
          <w:p w14:paraId="19368E5E" w14:textId="03DCF9D4" w:rsidR="7C83C57D" w:rsidRDefault="7C83C57D" w:rsidP="7C83C57D">
            <w:pPr>
              <w:spacing w:after="0"/>
            </w:pPr>
            <w:r>
              <w:t>Parameterize by app ID</w:t>
            </w:r>
          </w:p>
        </w:tc>
      </w:tr>
      <w:tr w:rsidR="7C83C57D" w14:paraId="68412B8A" w14:textId="77777777" w:rsidTr="0E0AE32B">
        <w:trPr>
          <w:trHeight w:val="300"/>
        </w:trPr>
        <w:tc>
          <w:tcPr>
            <w:tcW w:w="2096" w:type="dxa"/>
            <w:vAlign w:val="center"/>
          </w:tcPr>
          <w:p w14:paraId="7756E8E6" w14:textId="72A3BA6D" w:rsidR="7C83C57D" w:rsidRDefault="7C83C57D" w:rsidP="7C83C57D">
            <w:pPr>
              <w:spacing w:after="0"/>
            </w:pPr>
            <w:r>
              <w:t>Branching Strategy</w:t>
            </w:r>
          </w:p>
        </w:tc>
        <w:tc>
          <w:tcPr>
            <w:tcW w:w="3299" w:type="dxa"/>
            <w:vAlign w:val="center"/>
          </w:tcPr>
          <w:p w14:paraId="2FB9D675" w14:textId="0A76EA0F" w:rsidR="7C83C57D" w:rsidRDefault="7DE47D3B" w:rsidP="7C83C57D">
            <w:pPr>
              <w:spacing w:after="0"/>
            </w:pPr>
            <w:r>
              <w:t>business specific</w:t>
            </w:r>
            <w:r w:rsidR="7C83C57D">
              <w:t xml:space="preserve"> forks from </w:t>
            </w:r>
            <w:r w:rsidR="2E5DB354">
              <w:t>core EVA</w:t>
            </w:r>
          </w:p>
        </w:tc>
        <w:tc>
          <w:tcPr>
            <w:tcW w:w="1591" w:type="dxa"/>
            <w:vAlign w:val="center"/>
          </w:tcPr>
          <w:p w14:paraId="4FB677B4" w14:textId="52FEB8C4" w:rsidR="7C83C57D" w:rsidRDefault="7C83C57D" w:rsidP="7C83C57D">
            <w:pPr>
              <w:spacing w:after="0"/>
            </w:pPr>
            <w:r>
              <w:t>Dev Lead</w:t>
            </w:r>
          </w:p>
        </w:tc>
        <w:tc>
          <w:tcPr>
            <w:tcW w:w="2375" w:type="dxa"/>
            <w:vAlign w:val="center"/>
          </w:tcPr>
          <w:p w14:paraId="1CD8E50F" w14:textId="715E5ADF" w:rsidR="7C83C57D" w:rsidRDefault="7C83C57D" w:rsidP="7C83C57D">
            <w:pPr>
              <w:spacing w:after="0"/>
            </w:pPr>
            <w:r>
              <w:t>Tie branch to config &amp; dataset</w:t>
            </w:r>
          </w:p>
        </w:tc>
      </w:tr>
      <w:tr w:rsidR="7C83C57D" w14:paraId="5CCB581B" w14:textId="77777777" w:rsidTr="0E0AE32B">
        <w:trPr>
          <w:trHeight w:val="300"/>
        </w:trPr>
        <w:tc>
          <w:tcPr>
            <w:tcW w:w="2096" w:type="dxa"/>
            <w:vAlign w:val="center"/>
          </w:tcPr>
          <w:p w14:paraId="27ED7849" w14:textId="6404D65E" w:rsidR="7C83C57D" w:rsidRDefault="7C83C57D" w:rsidP="7C83C57D">
            <w:pPr>
              <w:spacing w:after="0"/>
            </w:pPr>
            <w:r>
              <w:t>Sandbox Environment Access</w:t>
            </w:r>
          </w:p>
        </w:tc>
        <w:tc>
          <w:tcPr>
            <w:tcW w:w="3299" w:type="dxa"/>
            <w:vAlign w:val="center"/>
          </w:tcPr>
          <w:p w14:paraId="4B3A91E2" w14:textId="520BB727" w:rsidR="7C83C57D" w:rsidRDefault="7C83C57D" w:rsidP="7C83C57D">
            <w:pPr>
              <w:spacing w:after="0"/>
            </w:pPr>
            <w:r>
              <w:t>For SI onboarding</w:t>
            </w:r>
          </w:p>
        </w:tc>
        <w:tc>
          <w:tcPr>
            <w:tcW w:w="1591" w:type="dxa"/>
            <w:vAlign w:val="center"/>
          </w:tcPr>
          <w:p w14:paraId="703E131A" w14:textId="47C92EB5" w:rsidR="7C83C57D" w:rsidRDefault="7C83C57D" w:rsidP="7C83C57D">
            <w:pPr>
              <w:spacing w:after="0"/>
            </w:pPr>
            <w:r>
              <w:t>Infra Team</w:t>
            </w:r>
          </w:p>
        </w:tc>
        <w:tc>
          <w:tcPr>
            <w:tcW w:w="2375" w:type="dxa"/>
            <w:vAlign w:val="center"/>
          </w:tcPr>
          <w:p w14:paraId="3EEED08A" w14:textId="6D61B3D5" w:rsidR="7C83C57D" w:rsidRDefault="7C83C57D" w:rsidP="7C83C57D">
            <w:pPr>
              <w:spacing w:after="0"/>
            </w:pPr>
            <w:r>
              <w:t>RBAC + gold data only</w:t>
            </w:r>
          </w:p>
        </w:tc>
      </w:tr>
    </w:tbl>
    <w:p w14:paraId="7437EC4C" w14:textId="5799D422" w:rsidR="001E4337" w:rsidRDefault="001E4337"/>
    <w:p w14:paraId="35F4C798" w14:textId="4C032DCA" w:rsidR="001E4337" w:rsidRDefault="01C8A506" w:rsidP="7C83C57D">
      <w:pPr>
        <w:pStyle w:val="Heading3"/>
        <w:spacing w:before="281" w:after="281"/>
      </w:pPr>
      <w:r w:rsidRPr="7C83C57D">
        <w:rPr>
          <w:rFonts w:ascii="Aptos" w:eastAsia="Aptos" w:hAnsi="Aptos" w:cs="Aptos"/>
          <w:b/>
          <w:bCs/>
        </w:rPr>
        <w:lastRenderedPageBreak/>
        <w:t>4. Phase 2 – Stabilization (Q4 FY2025 – Q2 FY2026)</w:t>
      </w:r>
    </w:p>
    <w:p w14:paraId="6C5DD55A" w14:textId="15AD4C44" w:rsidR="001E4337" w:rsidRDefault="01C8A506" w:rsidP="7C83C57D">
      <w:pPr>
        <w:spacing w:before="240" w:after="240"/>
      </w:pPr>
      <w:r w:rsidRPr="7C83C57D">
        <w:rPr>
          <w:rFonts w:ascii="Aptos" w:eastAsia="Aptos" w:hAnsi="Aptos" w:cs="Aptos"/>
          <w:b/>
          <w:bCs/>
        </w:rPr>
        <w:t>Objective</w:t>
      </w:r>
      <w:r w:rsidRPr="7C83C57D">
        <w:rPr>
          <w:rFonts w:ascii="Aptos" w:eastAsia="Aptos" w:hAnsi="Aptos" w:cs="Aptos"/>
        </w:rPr>
        <w:t>: Operationalize cloning and onboarding workflows with automation &amp; policy enforcement</w:t>
      </w:r>
    </w:p>
    <w:tbl>
      <w:tblPr>
        <w:tblW w:w="0" w:type="auto"/>
        <w:tblInd w:w="-10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880"/>
        <w:gridCol w:w="4317"/>
        <w:gridCol w:w="1913"/>
        <w:gridCol w:w="2699"/>
      </w:tblGrid>
      <w:tr w:rsidR="7C83C57D" w14:paraId="3FD98013" w14:textId="77777777" w:rsidTr="7C83C57D">
        <w:trPr>
          <w:trHeight w:val="300"/>
        </w:trPr>
        <w:tc>
          <w:tcPr>
            <w:tcW w:w="2880" w:type="dxa"/>
            <w:vAlign w:val="center"/>
          </w:tcPr>
          <w:p w14:paraId="1CB11348" w14:textId="784C0722" w:rsidR="7C83C57D" w:rsidRDefault="7C83C57D" w:rsidP="7C83C57D">
            <w:pPr>
              <w:spacing w:after="0"/>
              <w:jc w:val="center"/>
            </w:pPr>
            <w:r w:rsidRPr="7C83C57D">
              <w:rPr>
                <w:b/>
                <w:bCs/>
              </w:rPr>
              <w:t>Feature</w:t>
            </w:r>
          </w:p>
        </w:tc>
        <w:tc>
          <w:tcPr>
            <w:tcW w:w="4317" w:type="dxa"/>
            <w:vAlign w:val="center"/>
          </w:tcPr>
          <w:p w14:paraId="398D1831" w14:textId="1751D668" w:rsidR="7C83C57D" w:rsidRDefault="7C83C57D" w:rsidP="7C83C57D">
            <w:pPr>
              <w:spacing w:after="0"/>
              <w:jc w:val="center"/>
            </w:pPr>
            <w:r w:rsidRPr="7C83C57D">
              <w:rPr>
                <w:b/>
                <w:bCs/>
              </w:rPr>
              <w:t>Target</w:t>
            </w:r>
          </w:p>
        </w:tc>
        <w:tc>
          <w:tcPr>
            <w:tcW w:w="1913" w:type="dxa"/>
            <w:vAlign w:val="center"/>
          </w:tcPr>
          <w:p w14:paraId="679E3D58" w14:textId="5104B51E" w:rsidR="7C83C57D" w:rsidRDefault="7C83C57D" w:rsidP="7C83C57D">
            <w:pPr>
              <w:spacing w:after="0"/>
              <w:jc w:val="center"/>
            </w:pPr>
            <w:r w:rsidRPr="7C83C57D">
              <w:rPr>
                <w:b/>
                <w:bCs/>
              </w:rPr>
              <w:t>Owner</w:t>
            </w:r>
          </w:p>
        </w:tc>
        <w:tc>
          <w:tcPr>
            <w:tcW w:w="2699" w:type="dxa"/>
            <w:vAlign w:val="center"/>
          </w:tcPr>
          <w:p w14:paraId="2E73039C" w14:textId="1D2D966B" w:rsidR="7C83C57D" w:rsidRDefault="7C83C57D" w:rsidP="7C83C57D">
            <w:pPr>
              <w:spacing w:after="0"/>
              <w:jc w:val="center"/>
            </w:pPr>
            <w:r w:rsidRPr="7C83C57D">
              <w:rPr>
                <w:b/>
                <w:bCs/>
              </w:rPr>
              <w:t>Notes</w:t>
            </w:r>
          </w:p>
        </w:tc>
      </w:tr>
      <w:tr w:rsidR="7C83C57D" w14:paraId="128D61A4" w14:textId="77777777" w:rsidTr="7C83C57D">
        <w:trPr>
          <w:trHeight w:val="300"/>
        </w:trPr>
        <w:tc>
          <w:tcPr>
            <w:tcW w:w="2880" w:type="dxa"/>
            <w:vAlign w:val="center"/>
          </w:tcPr>
          <w:p w14:paraId="78A7F335" w14:textId="79D9BF88" w:rsidR="7C83C57D" w:rsidRDefault="7C83C57D" w:rsidP="7C83C57D">
            <w:pPr>
              <w:spacing w:after="0"/>
            </w:pPr>
            <w:r>
              <w:t>GitOps Environment Registry</w:t>
            </w:r>
          </w:p>
        </w:tc>
        <w:tc>
          <w:tcPr>
            <w:tcW w:w="4317" w:type="dxa"/>
            <w:vAlign w:val="center"/>
          </w:tcPr>
          <w:p w14:paraId="020B47DE" w14:textId="6EE93A8C" w:rsidR="7C83C57D" w:rsidRDefault="7C83C57D" w:rsidP="7C83C57D">
            <w:pPr>
              <w:spacing w:after="0"/>
            </w:pPr>
            <w:r>
              <w:t>Track state/version of each env</w:t>
            </w:r>
          </w:p>
        </w:tc>
        <w:tc>
          <w:tcPr>
            <w:tcW w:w="1913" w:type="dxa"/>
            <w:vAlign w:val="center"/>
          </w:tcPr>
          <w:p w14:paraId="2572A74C" w14:textId="5E3F18BF" w:rsidR="7C83C57D" w:rsidRDefault="7C83C57D" w:rsidP="7C83C57D">
            <w:pPr>
              <w:spacing w:after="0"/>
            </w:pPr>
            <w:r>
              <w:t>DevOps</w:t>
            </w:r>
          </w:p>
        </w:tc>
        <w:tc>
          <w:tcPr>
            <w:tcW w:w="2699" w:type="dxa"/>
            <w:vAlign w:val="center"/>
          </w:tcPr>
          <w:p w14:paraId="5C843B50" w14:textId="15E617AC" w:rsidR="7C83C57D" w:rsidRDefault="7C83C57D" w:rsidP="7C83C57D">
            <w:pPr>
              <w:spacing w:after="0"/>
            </w:pPr>
            <w:r>
              <w:t>YAML + dashboard</w:t>
            </w:r>
          </w:p>
        </w:tc>
      </w:tr>
      <w:tr w:rsidR="7C83C57D" w14:paraId="45995FD2" w14:textId="77777777" w:rsidTr="7C83C57D">
        <w:trPr>
          <w:trHeight w:val="300"/>
        </w:trPr>
        <w:tc>
          <w:tcPr>
            <w:tcW w:w="2880" w:type="dxa"/>
            <w:vAlign w:val="center"/>
          </w:tcPr>
          <w:p w14:paraId="34259675" w14:textId="40B89D83" w:rsidR="7C83C57D" w:rsidRDefault="7C83C57D" w:rsidP="7C83C57D">
            <w:pPr>
              <w:spacing w:after="0"/>
            </w:pPr>
            <w:r>
              <w:t>Gold Data Vault (v2)</w:t>
            </w:r>
          </w:p>
        </w:tc>
        <w:tc>
          <w:tcPr>
            <w:tcW w:w="4317" w:type="dxa"/>
            <w:vAlign w:val="center"/>
          </w:tcPr>
          <w:p w14:paraId="00231229" w14:textId="4999A49B" w:rsidR="7C83C57D" w:rsidRDefault="7C83C57D" w:rsidP="7C83C57D">
            <w:pPr>
              <w:spacing w:after="0"/>
            </w:pPr>
            <w:r>
              <w:t>Add Jurisprudence + Canada Life sets</w:t>
            </w:r>
          </w:p>
        </w:tc>
        <w:tc>
          <w:tcPr>
            <w:tcW w:w="1913" w:type="dxa"/>
            <w:vAlign w:val="center"/>
          </w:tcPr>
          <w:p w14:paraId="418670C5" w14:textId="4330F92B" w:rsidR="7C83C57D" w:rsidRDefault="7C83C57D" w:rsidP="7C83C57D">
            <w:pPr>
              <w:spacing w:after="0"/>
            </w:pPr>
            <w:r>
              <w:t>Knowledge Owners</w:t>
            </w:r>
          </w:p>
        </w:tc>
        <w:tc>
          <w:tcPr>
            <w:tcW w:w="2699" w:type="dxa"/>
            <w:vAlign w:val="center"/>
          </w:tcPr>
          <w:p w14:paraId="648D0CD7" w14:textId="6FE9026A" w:rsidR="7C83C57D" w:rsidRDefault="7C83C57D" w:rsidP="7C83C57D">
            <w:pPr>
              <w:spacing w:after="0"/>
            </w:pPr>
            <w:r>
              <w:t>Linked to ingestion config</w:t>
            </w:r>
          </w:p>
        </w:tc>
      </w:tr>
      <w:tr w:rsidR="7C83C57D" w14:paraId="0C4066B7" w14:textId="77777777" w:rsidTr="7C83C57D">
        <w:trPr>
          <w:trHeight w:val="300"/>
        </w:trPr>
        <w:tc>
          <w:tcPr>
            <w:tcW w:w="2880" w:type="dxa"/>
            <w:vAlign w:val="center"/>
          </w:tcPr>
          <w:p w14:paraId="221B8419" w14:textId="4E56C4B1" w:rsidR="7C83C57D" w:rsidRDefault="7C83C57D" w:rsidP="7C83C57D">
            <w:pPr>
              <w:spacing w:after="0"/>
            </w:pPr>
            <w:r>
              <w:t>Config-as-Code Loader</w:t>
            </w:r>
          </w:p>
        </w:tc>
        <w:tc>
          <w:tcPr>
            <w:tcW w:w="4317" w:type="dxa"/>
            <w:vAlign w:val="center"/>
          </w:tcPr>
          <w:p w14:paraId="47B21243" w14:textId="4C8F82E0" w:rsidR="7C83C57D" w:rsidRDefault="7C83C57D" w:rsidP="7C83C57D">
            <w:pPr>
              <w:spacing w:after="0"/>
            </w:pPr>
            <w:r>
              <w:t>Per-client YAML config deployed via CI/CD</w:t>
            </w:r>
          </w:p>
        </w:tc>
        <w:tc>
          <w:tcPr>
            <w:tcW w:w="1913" w:type="dxa"/>
            <w:vAlign w:val="center"/>
          </w:tcPr>
          <w:p w14:paraId="33CCDA5D" w14:textId="58614A70" w:rsidR="7C83C57D" w:rsidRDefault="7C83C57D" w:rsidP="7C83C57D">
            <w:pPr>
              <w:spacing w:after="0"/>
            </w:pPr>
            <w:r>
              <w:t>DevOps</w:t>
            </w:r>
          </w:p>
        </w:tc>
        <w:tc>
          <w:tcPr>
            <w:tcW w:w="2699" w:type="dxa"/>
            <w:vAlign w:val="center"/>
          </w:tcPr>
          <w:p w14:paraId="2C6DFDF0" w14:textId="498A922C" w:rsidR="7C83C57D" w:rsidRDefault="7C83C57D" w:rsidP="7C83C57D">
            <w:pPr>
              <w:spacing w:after="0"/>
            </w:pPr>
            <w:r>
              <w:t>Prompt sets, metadata, roles</w:t>
            </w:r>
          </w:p>
        </w:tc>
      </w:tr>
      <w:tr w:rsidR="7C83C57D" w14:paraId="3B41E8E5" w14:textId="77777777" w:rsidTr="7C83C57D">
        <w:trPr>
          <w:trHeight w:val="300"/>
        </w:trPr>
        <w:tc>
          <w:tcPr>
            <w:tcW w:w="2880" w:type="dxa"/>
            <w:vAlign w:val="center"/>
          </w:tcPr>
          <w:p w14:paraId="0BD8676E" w14:textId="3C8B8FA8" w:rsidR="7C83C57D" w:rsidRDefault="7C83C57D" w:rsidP="7C83C57D">
            <w:pPr>
              <w:spacing w:after="0"/>
            </w:pPr>
            <w:r>
              <w:t>PII Masking Service</w:t>
            </w:r>
          </w:p>
        </w:tc>
        <w:tc>
          <w:tcPr>
            <w:tcW w:w="4317" w:type="dxa"/>
            <w:vAlign w:val="center"/>
          </w:tcPr>
          <w:p w14:paraId="491D062B" w14:textId="2AAD3566" w:rsidR="7C83C57D" w:rsidRDefault="7C83C57D" w:rsidP="7C83C57D">
            <w:pPr>
              <w:spacing w:after="0"/>
            </w:pPr>
            <w:r>
              <w:t>Redact or synthesize data pre-clone</w:t>
            </w:r>
          </w:p>
        </w:tc>
        <w:tc>
          <w:tcPr>
            <w:tcW w:w="1913" w:type="dxa"/>
            <w:vAlign w:val="center"/>
          </w:tcPr>
          <w:p w14:paraId="652FFBFE" w14:textId="364E5D6C" w:rsidR="7C83C57D" w:rsidRDefault="7C83C57D" w:rsidP="7C83C57D">
            <w:pPr>
              <w:spacing w:after="0"/>
            </w:pPr>
            <w:r>
              <w:t>Security / AI</w:t>
            </w:r>
          </w:p>
        </w:tc>
        <w:tc>
          <w:tcPr>
            <w:tcW w:w="2699" w:type="dxa"/>
            <w:vAlign w:val="center"/>
          </w:tcPr>
          <w:p w14:paraId="65F94988" w14:textId="238DA655" w:rsidR="7C83C57D" w:rsidRDefault="7C83C57D" w:rsidP="7C83C57D">
            <w:pPr>
              <w:spacing w:after="0"/>
            </w:pPr>
            <w:r>
              <w:t>Inline with refresh jobs</w:t>
            </w:r>
          </w:p>
        </w:tc>
      </w:tr>
      <w:tr w:rsidR="7C83C57D" w14:paraId="7EB7B993" w14:textId="77777777" w:rsidTr="7C83C57D">
        <w:trPr>
          <w:trHeight w:val="300"/>
        </w:trPr>
        <w:tc>
          <w:tcPr>
            <w:tcW w:w="2880" w:type="dxa"/>
            <w:vAlign w:val="center"/>
          </w:tcPr>
          <w:p w14:paraId="3F2B06CA" w14:textId="56B83D73" w:rsidR="7C83C57D" w:rsidRDefault="7C83C57D" w:rsidP="7C83C57D">
            <w:pPr>
              <w:spacing w:after="0"/>
            </w:pPr>
            <w:r>
              <w:t>Environment Cloning API</w:t>
            </w:r>
          </w:p>
        </w:tc>
        <w:tc>
          <w:tcPr>
            <w:tcW w:w="4317" w:type="dxa"/>
            <w:vAlign w:val="center"/>
          </w:tcPr>
          <w:p w14:paraId="747C1D55" w14:textId="72D02BFA" w:rsidR="7C83C57D" w:rsidRDefault="7C83C57D" w:rsidP="7C83C57D">
            <w:pPr>
              <w:spacing w:after="0"/>
            </w:pPr>
            <w:r>
              <w:t>Trigger clone/refresh with pre-sets</w:t>
            </w:r>
          </w:p>
        </w:tc>
        <w:tc>
          <w:tcPr>
            <w:tcW w:w="1913" w:type="dxa"/>
            <w:vAlign w:val="center"/>
          </w:tcPr>
          <w:p w14:paraId="21BA1C2B" w14:textId="78101B46" w:rsidR="7C83C57D" w:rsidRDefault="7C83C57D" w:rsidP="7C83C57D">
            <w:pPr>
              <w:spacing w:after="0"/>
            </w:pPr>
            <w:r>
              <w:t>DevOps</w:t>
            </w:r>
          </w:p>
        </w:tc>
        <w:tc>
          <w:tcPr>
            <w:tcW w:w="2699" w:type="dxa"/>
            <w:vAlign w:val="center"/>
          </w:tcPr>
          <w:p w14:paraId="60BF1223" w14:textId="4088C83E" w:rsidR="7C83C57D" w:rsidRDefault="7C83C57D" w:rsidP="7C83C57D">
            <w:pPr>
              <w:spacing w:after="0"/>
            </w:pPr>
            <w:r>
              <w:t>Webhook-based</w:t>
            </w:r>
          </w:p>
        </w:tc>
      </w:tr>
      <w:tr w:rsidR="7C83C57D" w14:paraId="5D2F7931" w14:textId="77777777" w:rsidTr="7C83C57D">
        <w:trPr>
          <w:trHeight w:val="300"/>
        </w:trPr>
        <w:tc>
          <w:tcPr>
            <w:tcW w:w="2880" w:type="dxa"/>
            <w:vAlign w:val="center"/>
          </w:tcPr>
          <w:p w14:paraId="1A668FD7" w14:textId="32F4F9B3" w:rsidR="7C83C57D" w:rsidRDefault="7C83C57D" w:rsidP="7C83C57D">
            <w:pPr>
              <w:spacing w:after="0"/>
            </w:pPr>
            <w:r>
              <w:t>Prompt Promotion Workflow</w:t>
            </w:r>
          </w:p>
        </w:tc>
        <w:tc>
          <w:tcPr>
            <w:tcW w:w="4317" w:type="dxa"/>
            <w:vAlign w:val="center"/>
          </w:tcPr>
          <w:p w14:paraId="6049E5A0" w14:textId="057A8D54" w:rsidR="7C83C57D" w:rsidRDefault="7C83C57D" w:rsidP="7C83C57D">
            <w:pPr>
              <w:spacing w:after="0"/>
            </w:pPr>
            <w:r>
              <w:t>Dev/UAT/Prod approval flows</w:t>
            </w:r>
          </w:p>
        </w:tc>
        <w:tc>
          <w:tcPr>
            <w:tcW w:w="1913" w:type="dxa"/>
            <w:vAlign w:val="center"/>
          </w:tcPr>
          <w:p w14:paraId="7368F9F8" w14:textId="6743B350" w:rsidR="7C83C57D" w:rsidRDefault="7C83C57D" w:rsidP="7C83C57D">
            <w:pPr>
              <w:spacing w:after="0"/>
            </w:pPr>
            <w:r>
              <w:t>AI Team</w:t>
            </w:r>
          </w:p>
        </w:tc>
        <w:tc>
          <w:tcPr>
            <w:tcW w:w="2699" w:type="dxa"/>
            <w:vAlign w:val="center"/>
          </w:tcPr>
          <w:p w14:paraId="7848BAB7" w14:textId="002BF20B" w:rsidR="7C83C57D" w:rsidRDefault="7C83C57D" w:rsidP="7C83C57D">
            <w:pPr>
              <w:spacing w:after="0"/>
            </w:pPr>
            <w:r>
              <w:t>Hotfix support included</w:t>
            </w:r>
          </w:p>
        </w:tc>
      </w:tr>
    </w:tbl>
    <w:p w14:paraId="04EC8633" w14:textId="472B6540" w:rsidR="001E4337" w:rsidRDefault="001E4337"/>
    <w:p w14:paraId="3502F42D" w14:textId="63185DE3" w:rsidR="001E4337" w:rsidRDefault="01C8A506" w:rsidP="7C83C57D">
      <w:pPr>
        <w:pStyle w:val="Heading3"/>
        <w:spacing w:before="281" w:after="281"/>
      </w:pPr>
      <w:r w:rsidRPr="7C83C57D">
        <w:rPr>
          <w:rFonts w:ascii="Aptos" w:eastAsia="Aptos" w:hAnsi="Aptos" w:cs="Aptos"/>
          <w:b/>
          <w:bCs/>
        </w:rPr>
        <w:t>5. Phase 3 – Scaling (FY2026–FY2027)</w:t>
      </w:r>
    </w:p>
    <w:p w14:paraId="72CBF230" w14:textId="5BC0FC12" w:rsidR="001E4337" w:rsidRDefault="01C8A506" w:rsidP="7C83C57D">
      <w:pPr>
        <w:spacing w:before="240" w:after="240"/>
      </w:pPr>
      <w:r w:rsidRPr="7C83C57D">
        <w:rPr>
          <w:rFonts w:ascii="Aptos" w:eastAsia="Aptos" w:hAnsi="Aptos" w:cs="Aptos"/>
          <w:b/>
          <w:bCs/>
        </w:rPr>
        <w:t>Objective</w:t>
      </w:r>
      <w:r w:rsidRPr="7C83C57D">
        <w:rPr>
          <w:rFonts w:ascii="Aptos" w:eastAsia="Aptos" w:hAnsi="Aptos" w:cs="Aptos"/>
        </w:rPr>
        <w:t>: Enable dynamic, self-service environment creation &amp; fine-grained data reuse</w:t>
      </w:r>
    </w:p>
    <w:tbl>
      <w:tblPr>
        <w:tblW w:w="0" w:type="auto"/>
        <w:tblInd w:w="-85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946"/>
        <w:gridCol w:w="3813"/>
        <w:gridCol w:w="2006"/>
        <w:gridCol w:w="2880"/>
      </w:tblGrid>
      <w:tr w:rsidR="7C83C57D" w14:paraId="24DDC648" w14:textId="77777777" w:rsidTr="7C83C57D">
        <w:trPr>
          <w:trHeight w:val="300"/>
        </w:trPr>
        <w:tc>
          <w:tcPr>
            <w:tcW w:w="2946" w:type="dxa"/>
            <w:vAlign w:val="center"/>
          </w:tcPr>
          <w:p w14:paraId="52A4DD3F" w14:textId="6B83C83D" w:rsidR="7C83C57D" w:rsidRDefault="7C83C57D" w:rsidP="7C83C57D">
            <w:pPr>
              <w:spacing w:after="0"/>
              <w:jc w:val="center"/>
            </w:pPr>
            <w:r w:rsidRPr="7C83C57D">
              <w:rPr>
                <w:b/>
                <w:bCs/>
              </w:rPr>
              <w:t>Feature</w:t>
            </w:r>
          </w:p>
        </w:tc>
        <w:tc>
          <w:tcPr>
            <w:tcW w:w="3813" w:type="dxa"/>
            <w:vAlign w:val="center"/>
          </w:tcPr>
          <w:p w14:paraId="688B3201" w14:textId="35906791" w:rsidR="7C83C57D" w:rsidRDefault="7C83C57D" w:rsidP="7C83C57D">
            <w:pPr>
              <w:spacing w:after="0"/>
              <w:jc w:val="center"/>
            </w:pPr>
            <w:r w:rsidRPr="7C83C57D">
              <w:rPr>
                <w:b/>
                <w:bCs/>
              </w:rPr>
              <w:t>Target</w:t>
            </w:r>
          </w:p>
        </w:tc>
        <w:tc>
          <w:tcPr>
            <w:tcW w:w="2006" w:type="dxa"/>
            <w:vAlign w:val="center"/>
          </w:tcPr>
          <w:p w14:paraId="0E3126A0" w14:textId="7327F9D7" w:rsidR="7C83C57D" w:rsidRDefault="7C83C57D" w:rsidP="7C83C57D">
            <w:pPr>
              <w:spacing w:after="0"/>
              <w:jc w:val="center"/>
            </w:pPr>
            <w:r w:rsidRPr="7C83C57D">
              <w:rPr>
                <w:b/>
                <w:bCs/>
              </w:rPr>
              <w:t>Owner</w:t>
            </w:r>
          </w:p>
        </w:tc>
        <w:tc>
          <w:tcPr>
            <w:tcW w:w="2880" w:type="dxa"/>
            <w:vAlign w:val="center"/>
          </w:tcPr>
          <w:p w14:paraId="17B7E7AA" w14:textId="74C721D7" w:rsidR="7C83C57D" w:rsidRDefault="7C83C57D" w:rsidP="7C83C57D">
            <w:pPr>
              <w:spacing w:after="0"/>
              <w:jc w:val="center"/>
            </w:pPr>
            <w:r w:rsidRPr="7C83C57D">
              <w:rPr>
                <w:b/>
                <w:bCs/>
              </w:rPr>
              <w:t>Notes</w:t>
            </w:r>
          </w:p>
        </w:tc>
      </w:tr>
      <w:tr w:rsidR="7C83C57D" w14:paraId="5A0BC4E6" w14:textId="77777777" w:rsidTr="7C83C57D">
        <w:trPr>
          <w:trHeight w:val="300"/>
        </w:trPr>
        <w:tc>
          <w:tcPr>
            <w:tcW w:w="2946" w:type="dxa"/>
            <w:vAlign w:val="center"/>
          </w:tcPr>
          <w:p w14:paraId="6367C6EC" w14:textId="2CA4DD8C" w:rsidR="7C83C57D" w:rsidRDefault="7C83C57D" w:rsidP="7C83C57D">
            <w:pPr>
              <w:spacing w:after="0"/>
            </w:pPr>
            <w:r>
              <w:t>Gold Data Generator</w:t>
            </w:r>
          </w:p>
        </w:tc>
        <w:tc>
          <w:tcPr>
            <w:tcW w:w="3813" w:type="dxa"/>
            <w:vAlign w:val="center"/>
          </w:tcPr>
          <w:p w14:paraId="486F2C3C" w14:textId="721D233A" w:rsidR="7C83C57D" w:rsidRDefault="7C83C57D" w:rsidP="7C83C57D">
            <w:pPr>
              <w:spacing w:after="0"/>
            </w:pPr>
            <w:r>
              <w:t>Auto-create test datasets</w:t>
            </w:r>
          </w:p>
        </w:tc>
        <w:tc>
          <w:tcPr>
            <w:tcW w:w="2006" w:type="dxa"/>
            <w:vAlign w:val="center"/>
          </w:tcPr>
          <w:p w14:paraId="523412AD" w14:textId="7AB7B4B3" w:rsidR="7C83C57D" w:rsidRDefault="7C83C57D" w:rsidP="7C83C57D">
            <w:pPr>
              <w:spacing w:after="0"/>
            </w:pPr>
            <w:r>
              <w:t>AI/Data Engineering</w:t>
            </w:r>
          </w:p>
        </w:tc>
        <w:tc>
          <w:tcPr>
            <w:tcW w:w="2880" w:type="dxa"/>
            <w:vAlign w:val="center"/>
          </w:tcPr>
          <w:p w14:paraId="4F46FAEA" w14:textId="7D3F6691" w:rsidR="7C83C57D" w:rsidRDefault="7C83C57D" w:rsidP="7C83C57D">
            <w:pPr>
              <w:spacing w:after="0"/>
            </w:pPr>
            <w:r>
              <w:t>Based on live doc skeletons</w:t>
            </w:r>
          </w:p>
        </w:tc>
      </w:tr>
      <w:tr w:rsidR="7C83C57D" w14:paraId="5183B75F" w14:textId="77777777" w:rsidTr="7C83C57D">
        <w:trPr>
          <w:trHeight w:val="300"/>
        </w:trPr>
        <w:tc>
          <w:tcPr>
            <w:tcW w:w="2946" w:type="dxa"/>
            <w:vAlign w:val="center"/>
          </w:tcPr>
          <w:p w14:paraId="6074E291" w14:textId="02EE1AE9" w:rsidR="7C83C57D" w:rsidRDefault="7C83C57D" w:rsidP="7C83C57D">
            <w:pPr>
              <w:spacing w:after="0"/>
            </w:pPr>
            <w:r>
              <w:t>Ephemeral Sandboxes</w:t>
            </w:r>
          </w:p>
        </w:tc>
        <w:tc>
          <w:tcPr>
            <w:tcW w:w="3813" w:type="dxa"/>
            <w:vAlign w:val="center"/>
          </w:tcPr>
          <w:p w14:paraId="20F41A9F" w14:textId="48631CCE" w:rsidR="7C83C57D" w:rsidRDefault="7C83C57D" w:rsidP="7C83C57D">
            <w:pPr>
              <w:spacing w:after="0"/>
            </w:pPr>
            <w:r>
              <w:t>Spin up test envs on-demand</w:t>
            </w:r>
          </w:p>
        </w:tc>
        <w:tc>
          <w:tcPr>
            <w:tcW w:w="2006" w:type="dxa"/>
            <w:vAlign w:val="center"/>
          </w:tcPr>
          <w:p w14:paraId="3A0B9116" w14:textId="585A6C04" w:rsidR="7C83C57D" w:rsidRDefault="7C83C57D" w:rsidP="7C83C57D">
            <w:pPr>
              <w:spacing w:after="0"/>
            </w:pPr>
            <w:r>
              <w:t>Infra Team</w:t>
            </w:r>
          </w:p>
        </w:tc>
        <w:tc>
          <w:tcPr>
            <w:tcW w:w="2880" w:type="dxa"/>
            <w:vAlign w:val="center"/>
          </w:tcPr>
          <w:p w14:paraId="68F2C686" w14:textId="46330C7E" w:rsidR="7C83C57D" w:rsidRDefault="7C83C57D" w:rsidP="7C83C57D">
            <w:pPr>
              <w:spacing w:after="0"/>
            </w:pPr>
            <w:r>
              <w:t>TTL + RBAC policies</w:t>
            </w:r>
          </w:p>
        </w:tc>
      </w:tr>
      <w:tr w:rsidR="7C83C57D" w14:paraId="73B281F0" w14:textId="77777777" w:rsidTr="7C83C57D">
        <w:trPr>
          <w:trHeight w:val="300"/>
        </w:trPr>
        <w:tc>
          <w:tcPr>
            <w:tcW w:w="2946" w:type="dxa"/>
            <w:vAlign w:val="center"/>
          </w:tcPr>
          <w:p w14:paraId="18752DC7" w14:textId="51DF6021" w:rsidR="7C83C57D" w:rsidRDefault="7C83C57D" w:rsidP="7C83C57D">
            <w:pPr>
              <w:spacing w:after="0"/>
            </w:pPr>
            <w:r>
              <w:t>Immutable Audit Snapshots</w:t>
            </w:r>
          </w:p>
        </w:tc>
        <w:tc>
          <w:tcPr>
            <w:tcW w:w="3813" w:type="dxa"/>
            <w:vAlign w:val="center"/>
          </w:tcPr>
          <w:p w14:paraId="053059E8" w14:textId="0E0B26A1" w:rsidR="7C83C57D" w:rsidRDefault="7C83C57D" w:rsidP="7C83C57D">
            <w:pPr>
              <w:spacing w:after="0"/>
            </w:pPr>
            <w:r>
              <w:t>For cloned/tested environments</w:t>
            </w:r>
          </w:p>
        </w:tc>
        <w:tc>
          <w:tcPr>
            <w:tcW w:w="2006" w:type="dxa"/>
            <w:vAlign w:val="center"/>
          </w:tcPr>
          <w:p w14:paraId="0B7382E0" w14:textId="2979E51E" w:rsidR="7C83C57D" w:rsidRDefault="7C83C57D" w:rsidP="7C83C57D">
            <w:pPr>
              <w:spacing w:after="0"/>
            </w:pPr>
            <w:r>
              <w:t>Governance</w:t>
            </w:r>
          </w:p>
        </w:tc>
        <w:tc>
          <w:tcPr>
            <w:tcW w:w="2880" w:type="dxa"/>
            <w:vAlign w:val="center"/>
          </w:tcPr>
          <w:p w14:paraId="7F8FC76B" w14:textId="20A0AA58" w:rsidR="7C83C57D" w:rsidRDefault="7C83C57D" w:rsidP="7C83C57D">
            <w:pPr>
              <w:spacing w:after="0"/>
            </w:pPr>
            <w:r>
              <w:t>Support ATO &amp; SSP evidence</w:t>
            </w:r>
          </w:p>
        </w:tc>
      </w:tr>
      <w:tr w:rsidR="7C83C57D" w14:paraId="369F6029" w14:textId="77777777" w:rsidTr="7C83C57D">
        <w:trPr>
          <w:trHeight w:val="300"/>
        </w:trPr>
        <w:tc>
          <w:tcPr>
            <w:tcW w:w="2946" w:type="dxa"/>
            <w:vAlign w:val="center"/>
          </w:tcPr>
          <w:p w14:paraId="4DCBD227" w14:textId="04C8BFB3" w:rsidR="7C83C57D" w:rsidRDefault="7C83C57D" w:rsidP="7C83C57D">
            <w:pPr>
              <w:spacing w:after="0"/>
            </w:pPr>
            <w:r>
              <w:t>Federated Environment Model</w:t>
            </w:r>
          </w:p>
        </w:tc>
        <w:tc>
          <w:tcPr>
            <w:tcW w:w="3813" w:type="dxa"/>
            <w:vAlign w:val="center"/>
          </w:tcPr>
          <w:p w14:paraId="1C3998B6" w14:textId="0675A54F" w:rsidR="7C83C57D" w:rsidRDefault="7C83C57D" w:rsidP="7C83C57D">
            <w:pPr>
              <w:spacing w:after="0"/>
            </w:pPr>
            <w:r>
              <w:t>Serve multiple apps in shared base</w:t>
            </w:r>
          </w:p>
        </w:tc>
        <w:tc>
          <w:tcPr>
            <w:tcW w:w="2006" w:type="dxa"/>
            <w:vAlign w:val="center"/>
          </w:tcPr>
          <w:p w14:paraId="284EA39F" w14:textId="76BC272D" w:rsidR="7C83C57D" w:rsidRDefault="7C83C57D" w:rsidP="7C83C57D">
            <w:pPr>
              <w:spacing w:after="0"/>
            </w:pPr>
            <w:r>
              <w:t>Platform Team</w:t>
            </w:r>
          </w:p>
        </w:tc>
        <w:tc>
          <w:tcPr>
            <w:tcW w:w="2880" w:type="dxa"/>
            <w:vAlign w:val="center"/>
          </w:tcPr>
          <w:p w14:paraId="7E0AC3D2" w14:textId="531D95AD" w:rsidR="7C83C57D" w:rsidRDefault="7C83C57D" w:rsidP="7C83C57D">
            <w:pPr>
              <w:spacing w:after="0"/>
            </w:pPr>
            <w:r>
              <w:t>Isolated project layers</w:t>
            </w:r>
          </w:p>
        </w:tc>
      </w:tr>
      <w:tr w:rsidR="7C83C57D" w14:paraId="273F4FC4" w14:textId="77777777" w:rsidTr="7C83C57D">
        <w:trPr>
          <w:trHeight w:val="300"/>
        </w:trPr>
        <w:tc>
          <w:tcPr>
            <w:tcW w:w="2946" w:type="dxa"/>
            <w:vAlign w:val="center"/>
          </w:tcPr>
          <w:p w14:paraId="34D0591E" w14:textId="252A739F" w:rsidR="7C83C57D" w:rsidRDefault="7C83C57D" w:rsidP="7C83C57D">
            <w:pPr>
              <w:spacing w:after="0"/>
            </w:pPr>
            <w:r>
              <w:t>Feedback-Aware Datasets</w:t>
            </w:r>
          </w:p>
        </w:tc>
        <w:tc>
          <w:tcPr>
            <w:tcW w:w="3813" w:type="dxa"/>
            <w:vAlign w:val="center"/>
          </w:tcPr>
          <w:p w14:paraId="43ADE361" w14:textId="46AF58E5" w:rsidR="7C83C57D" w:rsidRDefault="7C83C57D" w:rsidP="7C83C57D">
            <w:pPr>
              <w:spacing w:after="0"/>
            </w:pPr>
            <w:r>
              <w:t>Annotate &amp; version based on user input</w:t>
            </w:r>
          </w:p>
        </w:tc>
        <w:tc>
          <w:tcPr>
            <w:tcW w:w="2006" w:type="dxa"/>
            <w:vAlign w:val="center"/>
          </w:tcPr>
          <w:p w14:paraId="7F66F850" w14:textId="23682DC8" w:rsidR="7C83C57D" w:rsidRDefault="7C83C57D" w:rsidP="7C83C57D">
            <w:pPr>
              <w:spacing w:after="0"/>
            </w:pPr>
            <w:r>
              <w:t>AI Team</w:t>
            </w:r>
          </w:p>
        </w:tc>
        <w:tc>
          <w:tcPr>
            <w:tcW w:w="2880" w:type="dxa"/>
            <w:vAlign w:val="center"/>
          </w:tcPr>
          <w:p w14:paraId="1D21FF2D" w14:textId="2F9EFBB6" w:rsidR="7C83C57D" w:rsidRDefault="7C83C57D" w:rsidP="7C83C57D">
            <w:pPr>
              <w:spacing w:after="0"/>
            </w:pPr>
            <w:r>
              <w:t>QA + training loop support</w:t>
            </w:r>
          </w:p>
        </w:tc>
      </w:tr>
    </w:tbl>
    <w:p w14:paraId="659D2B6C" w14:textId="2F95EA94" w:rsidR="001E4337" w:rsidRDefault="001E4337"/>
    <w:p w14:paraId="6251ACBA" w14:textId="68B3B448" w:rsidR="001E4337" w:rsidRDefault="01C8A506" w:rsidP="7C83C57D">
      <w:pPr>
        <w:pStyle w:val="Heading3"/>
        <w:spacing w:before="281" w:after="281"/>
      </w:pPr>
      <w:r w:rsidRPr="7C83C57D">
        <w:rPr>
          <w:rFonts w:ascii="Aptos" w:eastAsia="Aptos" w:hAnsi="Aptos" w:cs="Aptos"/>
          <w:b/>
          <w:bCs/>
        </w:rPr>
        <w:t>6. Milestone Alignment with Projects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786"/>
        <w:gridCol w:w="1440"/>
        <w:gridCol w:w="1440"/>
        <w:gridCol w:w="1440"/>
      </w:tblGrid>
      <w:tr w:rsidR="7C83C57D" w14:paraId="193EFCBB" w14:textId="77777777" w:rsidTr="0E0AE32B">
        <w:trPr>
          <w:trHeight w:val="300"/>
        </w:trPr>
        <w:tc>
          <w:tcPr>
            <w:tcW w:w="2786" w:type="dxa"/>
            <w:vAlign w:val="center"/>
          </w:tcPr>
          <w:p w14:paraId="0F8BE6CA" w14:textId="0C72A79B" w:rsidR="7C83C57D" w:rsidRDefault="7C83C57D" w:rsidP="7C83C57D">
            <w:pPr>
              <w:spacing w:after="0"/>
              <w:jc w:val="center"/>
            </w:pPr>
            <w:r w:rsidRPr="7C83C57D">
              <w:rPr>
                <w:b/>
                <w:bCs/>
              </w:rPr>
              <w:t>Project</w:t>
            </w:r>
          </w:p>
        </w:tc>
        <w:tc>
          <w:tcPr>
            <w:tcW w:w="1440" w:type="dxa"/>
            <w:vAlign w:val="center"/>
          </w:tcPr>
          <w:p w14:paraId="77179497" w14:textId="518ECF37" w:rsidR="7C83C57D" w:rsidRDefault="7C83C57D" w:rsidP="7C83C57D">
            <w:pPr>
              <w:spacing w:after="0"/>
              <w:jc w:val="center"/>
            </w:pPr>
            <w:r w:rsidRPr="7C83C57D">
              <w:rPr>
                <w:b/>
                <w:bCs/>
              </w:rPr>
              <w:t>Phase 1</w:t>
            </w:r>
          </w:p>
        </w:tc>
        <w:tc>
          <w:tcPr>
            <w:tcW w:w="1440" w:type="dxa"/>
            <w:vAlign w:val="center"/>
          </w:tcPr>
          <w:p w14:paraId="30C19C63" w14:textId="2D1D86BF" w:rsidR="7C83C57D" w:rsidRDefault="7C83C57D" w:rsidP="7C83C57D">
            <w:pPr>
              <w:spacing w:after="0"/>
              <w:jc w:val="center"/>
            </w:pPr>
            <w:r w:rsidRPr="7C83C57D">
              <w:rPr>
                <w:b/>
                <w:bCs/>
              </w:rPr>
              <w:t>Phase 2</w:t>
            </w:r>
          </w:p>
        </w:tc>
        <w:tc>
          <w:tcPr>
            <w:tcW w:w="1440" w:type="dxa"/>
            <w:vAlign w:val="center"/>
          </w:tcPr>
          <w:p w14:paraId="5C890551" w14:textId="763A058F" w:rsidR="7C83C57D" w:rsidRDefault="7C83C57D" w:rsidP="7C83C57D">
            <w:pPr>
              <w:spacing w:after="0"/>
              <w:jc w:val="center"/>
            </w:pPr>
            <w:r w:rsidRPr="7C83C57D">
              <w:rPr>
                <w:b/>
                <w:bCs/>
              </w:rPr>
              <w:t>Phase 3</w:t>
            </w:r>
          </w:p>
        </w:tc>
      </w:tr>
      <w:tr w:rsidR="7C83C57D" w14:paraId="1E86C9A7" w14:textId="77777777" w:rsidTr="0E0AE32B">
        <w:trPr>
          <w:trHeight w:val="300"/>
        </w:trPr>
        <w:tc>
          <w:tcPr>
            <w:tcW w:w="2786" w:type="dxa"/>
            <w:vAlign w:val="center"/>
          </w:tcPr>
          <w:p w14:paraId="2516D6DF" w14:textId="0397B752" w:rsidR="7C83C57D" w:rsidRDefault="7C83C57D" w:rsidP="7C83C57D">
            <w:pPr>
              <w:spacing w:after="0"/>
            </w:pPr>
            <w:r>
              <w:lastRenderedPageBreak/>
              <w:t>Canada Life</w:t>
            </w:r>
            <w:r w:rsidR="00407BD2">
              <w:t xml:space="preserve"> booklet loaded in DA</w:t>
            </w:r>
            <w:r>
              <w:t xml:space="preserve"> (sample app)</w:t>
            </w:r>
          </w:p>
        </w:tc>
        <w:tc>
          <w:tcPr>
            <w:tcW w:w="1440" w:type="dxa"/>
            <w:vAlign w:val="center"/>
          </w:tcPr>
          <w:p w14:paraId="639AF912" w14:textId="45DFA874" w:rsidR="7C83C57D" w:rsidRDefault="7C83C57D" w:rsidP="7C83C57D">
            <w:pPr>
              <w:spacing w:after="0"/>
            </w:pPr>
            <w:r>
              <w:t>Q4 FY2025</w:t>
            </w:r>
          </w:p>
        </w:tc>
        <w:tc>
          <w:tcPr>
            <w:tcW w:w="1440" w:type="dxa"/>
            <w:vAlign w:val="center"/>
          </w:tcPr>
          <w:p w14:paraId="63A7FEC1" w14:textId="4EAA919F" w:rsidR="7C83C57D" w:rsidRDefault="7C83C57D" w:rsidP="7C83C57D">
            <w:pPr>
              <w:spacing w:after="0"/>
            </w:pPr>
            <w:r>
              <w:t>Q2 FY2026</w:t>
            </w:r>
          </w:p>
        </w:tc>
        <w:tc>
          <w:tcPr>
            <w:tcW w:w="1440" w:type="dxa"/>
            <w:vAlign w:val="center"/>
          </w:tcPr>
          <w:p w14:paraId="7A9479FC" w14:textId="70E97EBA" w:rsidR="7C83C57D" w:rsidRDefault="7C83C57D" w:rsidP="7C83C57D">
            <w:pPr>
              <w:spacing w:after="0"/>
            </w:pPr>
            <w:r>
              <w:t>FY2027</w:t>
            </w:r>
          </w:p>
        </w:tc>
      </w:tr>
    </w:tbl>
    <w:p w14:paraId="7018B521" w14:textId="3A7DDE15" w:rsidR="001E4337" w:rsidRDefault="001E4337"/>
    <w:p w14:paraId="0DFD559F" w14:textId="06A11AD3" w:rsidR="001E4337" w:rsidRDefault="01C8A506" w:rsidP="7C83C57D">
      <w:pPr>
        <w:pStyle w:val="Heading3"/>
        <w:spacing w:before="281" w:after="281"/>
      </w:pPr>
      <w:r w:rsidRPr="7C83C57D">
        <w:rPr>
          <w:rFonts w:ascii="Aptos" w:eastAsia="Aptos" w:hAnsi="Aptos" w:cs="Aptos"/>
          <w:b/>
          <w:bCs/>
        </w:rPr>
        <w:t>7. Conclusion</w:t>
      </w:r>
    </w:p>
    <w:p w14:paraId="3106C6C8" w14:textId="7BD06672" w:rsidR="001E4337" w:rsidRDefault="01C8A506" w:rsidP="7C83C57D">
      <w:pPr>
        <w:spacing w:before="240" w:after="240"/>
      </w:pPr>
      <w:r w:rsidRPr="7C83C57D">
        <w:rPr>
          <w:rFonts w:ascii="Aptos" w:eastAsia="Aptos" w:hAnsi="Aptos" w:cs="Aptos"/>
        </w:rPr>
        <w:t>This roadmap ensures EVA can reliably onboard new clients and projects without duplicating effort or exposing sensitive data. Each phase builds upon the previous one, delivering reusable infrastructure, compliance-friendly cloning, and scalable onboarding for government-grade AI services.</w:t>
      </w:r>
    </w:p>
    <w:p w14:paraId="58AFA5AF" w14:textId="00FA15C1" w:rsidR="001E4337" w:rsidRDefault="001E4337"/>
    <w:p w14:paraId="29F82579" w14:textId="5A0DC0D4" w:rsidR="001E4337" w:rsidRDefault="01C8A506" w:rsidP="7C83C57D">
      <w:pPr>
        <w:spacing w:before="240" w:after="240"/>
      </w:pPr>
      <w:r w:rsidRPr="7C83C57D">
        <w:rPr>
          <w:rFonts w:ascii="Aptos" w:eastAsia="Aptos" w:hAnsi="Aptos" w:cs="Aptos"/>
        </w:rPr>
        <w:t>End of Roadmap Document</w:t>
      </w:r>
    </w:p>
    <w:p w14:paraId="2C078E63" w14:textId="6CDC4361" w:rsidR="001E4337" w:rsidRDefault="001E4337"/>
    <w:sectPr w:rsidR="001E4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AB6FA"/>
    <w:multiLevelType w:val="hybridMultilevel"/>
    <w:tmpl w:val="805496EA"/>
    <w:lvl w:ilvl="0" w:tplc="3F02A1AE">
      <w:start w:val="1"/>
      <w:numFmt w:val="bullet"/>
      <w:lvlText w:val=""/>
      <w:lvlJc w:val="left"/>
      <w:pPr>
        <w:ind w:left="720" w:hanging="360"/>
      </w:pPr>
      <w:rPr>
        <w:rFonts w:ascii="Symbol" w:hAnsi="Symbol" w:hint="default"/>
      </w:rPr>
    </w:lvl>
    <w:lvl w:ilvl="1" w:tplc="04929D56">
      <w:start w:val="1"/>
      <w:numFmt w:val="bullet"/>
      <w:lvlText w:val="o"/>
      <w:lvlJc w:val="left"/>
      <w:pPr>
        <w:ind w:left="1440" w:hanging="360"/>
      </w:pPr>
      <w:rPr>
        <w:rFonts w:ascii="Courier New" w:hAnsi="Courier New" w:hint="default"/>
      </w:rPr>
    </w:lvl>
    <w:lvl w:ilvl="2" w:tplc="5BA2E0CA">
      <w:start w:val="1"/>
      <w:numFmt w:val="bullet"/>
      <w:lvlText w:val=""/>
      <w:lvlJc w:val="left"/>
      <w:pPr>
        <w:ind w:left="2160" w:hanging="360"/>
      </w:pPr>
      <w:rPr>
        <w:rFonts w:ascii="Wingdings" w:hAnsi="Wingdings" w:hint="default"/>
      </w:rPr>
    </w:lvl>
    <w:lvl w:ilvl="3" w:tplc="67269704">
      <w:start w:val="1"/>
      <w:numFmt w:val="bullet"/>
      <w:lvlText w:val=""/>
      <w:lvlJc w:val="left"/>
      <w:pPr>
        <w:ind w:left="2880" w:hanging="360"/>
      </w:pPr>
      <w:rPr>
        <w:rFonts w:ascii="Symbol" w:hAnsi="Symbol" w:hint="default"/>
      </w:rPr>
    </w:lvl>
    <w:lvl w:ilvl="4" w:tplc="FE0462E4">
      <w:start w:val="1"/>
      <w:numFmt w:val="bullet"/>
      <w:lvlText w:val="o"/>
      <w:lvlJc w:val="left"/>
      <w:pPr>
        <w:ind w:left="3600" w:hanging="360"/>
      </w:pPr>
      <w:rPr>
        <w:rFonts w:ascii="Courier New" w:hAnsi="Courier New" w:hint="default"/>
      </w:rPr>
    </w:lvl>
    <w:lvl w:ilvl="5" w:tplc="563A7FD2">
      <w:start w:val="1"/>
      <w:numFmt w:val="bullet"/>
      <w:lvlText w:val=""/>
      <w:lvlJc w:val="left"/>
      <w:pPr>
        <w:ind w:left="4320" w:hanging="360"/>
      </w:pPr>
      <w:rPr>
        <w:rFonts w:ascii="Wingdings" w:hAnsi="Wingdings" w:hint="default"/>
      </w:rPr>
    </w:lvl>
    <w:lvl w:ilvl="6" w:tplc="385EECF2">
      <w:start w:val="1"/>
      <w:numFmt w:val="bullet"/>
      <w:lvlText w:val=""/>
      <w:lvlJc w:val="left"/>
      <w:pPr>
        <w:ind w:left="5040" w:hanging="360"/>
      </w:pPr>
      <w:rPr>
        <w:rFonts w:ascii="Symbol" w:hAnsi="Symbol" w:hint="default"/>
      </w:rPr>
    </w:lvl>
    <w:lvl w:ilvl="7" w:tplc="8CF2C118">
      <w:start w:val="1"/>
      <w:numFmt w:val="bullet"/>
      <w:lvlText w:val="o"/>
      <w:lvlJc w:val="left"/>
      <w:pPr>
        <w:ind w:left="5760" w:hanging="360"/>
      </w:pPr>
      <w:rPr>
        <w:rFonts w:ascii="Courier New" w:hAnsi="Courier New" w:hint="default"/>
      </w:rPr>
    </w:lvl>
    <w:lvl w:ilvl="8" w:tplc="4FE4437C">
      <w:start w:val="1"/>
      <w:numFmt w:val="bullet"/>
      <w:lvlText w:val=""/>
      <w:lvlJc w:val="left"/>
      <w:pPr>
        <w:ind w:left="6480" w:hanging="360"/>
      </w:pPr>
      <w:rPr>
        <w:rFonts w:ascii="Wingdings" w:hAnsi="Wingdings" w:hint="default"/>
      </w:rPr>
    </w:lvl>
  </w:abstractNum>
  <w:num w:numId="1" w16cid:durableId="135916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67CDA1"/>
    <w:rsid w:val="001E4337"/>
    <w:rsid w:val="00407BD2"/>
    <w:rsid w:val="005F53B9"/>
    <w:rsid w:val="006B6C80"/>
    <w:rsid w:val="007C5FAF"/>
    <w:rsid w:val="01C8A506"/>
    <w:rsid w:val="0E0AE32B"/>
    <w:rsid w:val="1F38CC1A"/>
    <w:rsid w:val="2D0E2381"/>
    <w:rsid w:val="2E5DB354"/>
    <w:rsid w:val="5367CDA1"/>
    <w:rsid w:val="5B5437F0"/>
    <w:rsid w:val="6E390E9A"/>
    <w:rsid w:val="7C83C57D"/>
    <w:rsid w:val="7DE47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CDA1"/>
  <w15:chartTrackingRefBased/>
  <w15:docId w15:val="{56E8497B-CB81-4B41-A1DA-C7687EED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C83C57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TWDX2CXSTY3E-1481338289-5903</_dlc_DocId>
    <_dlc_DocIdUrl xmlns="0f99ac47-5234-4717-87da-95168002162c">
      <Url>https://014gc.sharepoint.com/sites/AICoE/_layouts/15/DocIdRedir.aspx?ID=TWDX2CXSTY3E-1481338289-5903</Url>
      <Description>TWDX2CXSTY3E-1481338289-5903</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F5C975-1DAD-420A-AB66-5F103311A469}">
  <ds:schemaRefs>
    <ds:schemaRef ds:uri="http://schemas.microsoft.com/sharepoint/events"/>
  </ds:schemaRefs>
</ds:datastoreItem>
</file>

<file path=customXml/itemProps2.xml><?xml version="1.0" encoding="utf-8"?>
<ds:datastoreItem xmlns:ds="http://schemas.openxmlformats.org/officeDocument/2006/customXml" ds:itemID="{8B5B5688-9997-480A-9168-61F24AFEA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5FF3BF-7FC7-4CE8-8A29-FA128A46B58D}">
  <ds:schemaRefs>
    <ds:schemaRef ds:uri="http://schemas.microsoft.com/office/2006/metadata/properties"/>
    <ds:schemaRef ds:uri="http://schemas.microsoft.com/office/infopath/2007/PartnerControls"/>
    <ds:schemaRef ds:uri="bf8d9fdf-4125-4b9e-90cc-178121cbf199"/>
    <ds:schemaRef ds:uri="0f99ac47-5234-4717-87da-95168002162c"/>
    <ds:schemaRef ds:uri="f76aaf80-9812-406c-9dd3-ccb851cf3a75"/>
    <ds:schemaRef ds:uri="http://schemas.microsoft.com/sharepoint/v3"/>
  </ds:schemaRefs>
</ds:datastoreItem>
</file>

<file path=customXml/itemProps4.xml><?xml version="1.0" encoding="utf-8"?>
<ds:datastoreItem xmlns:ds="http://schemas.openxmlformats.org/officeDocument/2006/customXml" ds:itemID="{519A1A5C-85B1-47A8-83E7-78DF2CFDC1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4</cp:revision>
  <dcterms:created xsi:type="dcterms:W3CDTF">2025-05-16T01:22:00Z</dcterms:created>
  <dcterms:modified xsi:type="dcterms:W3CDTF">2025-06-03T13:42:00Z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ba66cc4d-1c3a-43c1-bf0e-e0eacee9bb47</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