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2e45e8e08768d0226fb3d5c49af797b7893c4b"/>
    <w:p>
      <w:pPr>
        <w:pStyle w:val="Heading1"/>
      </w:pPr>
      <w:r>
        <w:t xml:space="preserve">EVA Agentic — Technical Implementation Guide (AICOE • AIS • BDM Innovation • SIs)</w:t>
      </w:r>
    </w:p>
    <w:p>
      <w:pPr>
        <w:pStyle w:val="FirstParagraph"/>
      </w:pPr>
      <w:r>
        <w:rPr>
          <w:b/>
          <w:bCs/>
        </w:rPr>
        <w:t xml:space="preserve">Baseline v0.1 • 2025‑08‑11</w:t>
      </w:r>
    </w:p>
    <w:p>
      <w:pPr>
        <w:pStyle w:val="BlockText"/>
      </w:pPr>
      <w:r>
        <w:t xml:space="preserve">MCP‑free, assistive‑only agent runtime on Azure:</w:t>
      </w:r>
      <w:r>
        <w:t xml:space="preserve"> </w:t>
      </w:r>
      <w:r>
        <w:rPr>
          <w:b/>
          <w:bCs/>
        </w:rPr>
        <w:t xml:space="preserve">Azure AI Foundry Agent Service + Semantic Kernel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APIM‑fronted tools</w:t>
      </w:r>
      <w:r>
        <w:t xml:space="preserve">, Canada regions, HITL for any write.</w:t>
      </w:r>
    </w:p>
    <w:p>
      <w:r>
        <w:pict>
          <v:rect style="width:0;height:1.5pt" o:hralign="center" o:hrstd="t" o:hr="t"/>
        </w:pict>
      </w:r>
    </w:p>
    <w:bookmarkStart w:id="20" w:name="audience-outcome"/>
    <w:p>
      <w:pPr>
        <w:pStyle w:val="Heading2"/>
      </w:pPr>
      <w:r>
        <w:t xml:space="preserve">0) Audience &amp; Outcome</w:t>
      </w:r>
    </w:p>
    <w:p>
      <w:pPr>
        <w:pStyle w:val="FirstParagraph"/>
      </w:pPr>
      <w:r>
        <w:t xml:space="preserve">This document is a</w:t>
      </w:r>
      <w:r>
        <w:t xml:space="preserve"> </w:t>
      </w:r>
      <w:r>
        <w:rPr>
          <w:b/>
          <w:bCs/>
        </w:rPr>
        <w:t xml:space="preserve">build sheet</w:t>
      </w:r>
      <w:r>
        <w:t xml:space="preserve"> </w:t>
      </w:r>
      <w:r>
        <w:t xml:space="preserve">for technical teams:</w:t>
      </w:r>
      <w:r>
        <w:t xml:space="preserve"> </w:t>
      </w:r>
      <w:r>
        <w:rPr>
          <w:b/>
          <w:bCs/>
        </w:rPr>
        <w:t xml:space="preserve">AICOE</w:t>
      </w:r>
      <w:r>
        <w:t xml:space="preserve">,</w:t>
      </w:r>
      <w:r>
        <w:t xml:space="preserve"> </w:t>
      </w:r>
      <w:r>
        <w:rPr>
          <w:b/>
          <w:bCs/>
        </w:rPr>
        <w:t xml:space="preserve">AIS (Interop/Platform)</w:t>
      </w:r>
      <w:r>
        <w:t xml:space="preserve">,</w:t>
      </w:r>
      <w:r>
        <w:t xml:space="preserve"> </w:t>
      </w:r>
      <w:r>
        <w:rPr>
          <w:b/>
          <w:bCs/>
        </w:rPr>
        <w:t xml:space="preserve">BDM Innovation</w:t>
      </w:r>
      <w:r>
        <w:t xml:space="preserve">, and</w:t>
      </w:r>
      <w:r>
        <w:t xml:space="preserve"> </w:t>
      </w:r>
      <w:r>
        <w:rPr>
          <w:b/>
          <w:bCs/>
        </w:rPr>
        <w:t xml:space="preserve">System Integrators (SIs)</w:t>
      </w:r>
      <w:r>
        <w:t xml:space="preserve">. It defines roles, interfaces, controls, CI/CD, and acceptance gates to ship agentic features safely inside</w:t>
      </w:r>
      <w:r>
        <w:t xml:space="preserve"> </w:t>
      </w:r>
      <w:r>
        <w:rPr>
          <w:b/>
          <w:bCs/>
        </w:rPr>
        <w:t xml:space="preserve">EVA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-authoritative"/>
    <w:p>
      <w:pPr>
        <w:pStyle w:val="Heading2"/>
      </w:pPr>
      <w:r>
        <w:t xml:space="preserve">1) Architecture (authoritative)</w:t>
      </w:r>
    </w:p>
    <w:p>
      <w:pPr>
        <w:pStyle w:val="FirstParagraph"/>
      </w:pPr>
      <w:r>
        <w:rPr>
          <w:b/>
          <w:bCs/>
        </w:rPr>
        <w:t xml:space="preserve">UI (EVA DA/custom)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Agent Service</w:t>
      </w:r>
      <w:r>
        <w:t xml:space="preserve"> </w:t>
      </w:r>
      <w:r>
        <w:t xml:space="preserve">(threads/tools/safety/tracing) →</w:t>
      </w:r>
      <w:r>
        <w:t xml:space="preserve"> </w:t>
      </w:r>
      <w:r>
        <w:rPr>
          <w:b/>
          <w:bCs/>
        </w:rPr>
        <w:t xml:space="preserve">Semantic Kernel</w:t>
      </w:r>
      <w:r>
        <w:t xml:space="preserve"> </w:t>
      </w:r>
      <w:r>
        <w:t xml:space="preserve">(plans/policies/memory) →</w:t>
      </w:r>
      <w:r>
        <w:t xml:space="preserve"> </w:t>
      </w:r>
      <w:r>
        <w:rPr>
          <w:b/>
          <w:bCs/>
        </w:rPr>
        <w:t xml:space="preserve">APIM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Tool Backends</w:t>
      </w:r>
      <w:r>
        <w:t xml:space="preserve"> </w:t>
      </w:r>
      <w:r>
        <w:t xml:space="preserve">(Functions/Logic Apps/Containers) →</w:t>
      </w:r>
      <w:r>
        <w:t xml:space="preserve"> </w:t>
      </w:r>
      <w:r>
        <w:rPr>
          <w:b/>
          <w:bCs/>
        </w:rPr>
        <w:t xml:space="preserve">Data &amp; Apps</w:t>
      </w:r>
      <w:r>
        <w:t xml:space="preserve"> </w:t>
      </w:r>
      <w:r>
        <w:t xml:space="preserve">(Azure AI Search, SharePoint/Graph, ADO, Storage/DBs)</w:t>
      </w:r>
    </w:p>
    <w:p>
      <w:pPr>
        <w:pStyle w:val="BodyText"/>
      </w:pPr>
      <w:r>
        <w:rPr>
          <w:b/>
          <w:bCs/>
        </w:rPr>
        <w:t xml:space="preserve">Cross‑cutting</w:t>
      </w:r>
      <w:r>
        <w:t xml:space="preserve">: Entra managed identities, Private Link/vNet, Key Vault, APIM policies (auth/quotas/safety/cache), Azure Monitor/App Insights/Log Analytics, Azure AI Content Safety, FinOps dashboards.</w:t>
      </w:r>
    </w:p>
    <w:p>
      <w:pPr>
        <w:pStyle w:val="BodyText"/>
      </w:pPr>
      <w:r>
        <w:rPr>
          <w:b/>
          <w:bCs/>
        </w:rPr>
        <w:t xml:space="preserve">Non‑goals</w:t>
      </w:r>
      <w:r>
        <w:t xml:space="preserve">: MCP connectors, autonomous agents, direct web browsing tools.</w:t>
      </w:r>
    </w:p>
    <w:p>
      <w:r>
        <w:pict>
          <v:rect style="width:0;height:1.5pt" o:hralign="center" o:hrstd="t" o:hr="t"/>
        </w:pict>
      </w:r>
    </w:p>
    <w:bookmarkEnd w:id="21"/>
    <w:bookmarkStart w:id="22" w:name="responsibilities-raci-summary"/>
    <w:p>
      <w:pPr>
        <w:pStyle w:val="Heading2"/>
      </w:pPr>
      <w:r>
        <w:t xml:space="preserve">2) Responsibilities (RACI 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630"/>
        <w:gridCol w:w="1980"/>
        <w:gridCol w:w="1260"/>
        <w:gridCol w:w="4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AICOE</w:t>
            </w:r>
          </w:p>
        </w:tc>
        <w:tc>
          <w:tcPr/>
          <w:p>
            <w:pPr>
              <w:pStyle w:val="Compact"/>
            </w:pPr>
            <w:r>
              <w:t xml:space="preserve">AIS (Interop/Platform)</w:t>
            </w:r>
          </w:p>
        </w:tc>
        <w:tc>
          <w:tcPr/>
          <w:p>
            <w:pPr>
              <w:pStyle w:val="Compact"/>
            </w:pPr>
            <w:r>
              <w:t xml:space="preserve">BDM Innovation</w:t>
            </w:r>
          </w:p>
        </w:tc>
        <w:tc>
          <w:tcPr/>
          <w:p>
            <w:pPr>
              <w:pStyle w:val="Compact"/>
            </w:pPr>
            <w:r>
              <w:t xml:space="preserve">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runtime (Agent Service/SK code)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APIM topology &amp; products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APIM policies (auth/quotas/safety/cache)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contracts (JSON Schema)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implementations (HTTP/Functions)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networking/PE/vNet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&amp; Key Vault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pipeline (ingestion/delta sync)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Corpora curation &amp; access approvals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Telemetry/observability schema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harness &amp; quality gates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FinOps/cost attribution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reviews (PIA/SA&amp;A)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&amp; HITL workflow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p>
      <w:pPr>
        <w:pStyle w:val="BodyText"/>
      </w:pPr>
      <w:r>
        <w:t xml:space="preserve">Legend:</w:t>
      </w:r>
      <w:r>
        <w:t xml:space="preserve"> </w:t>
      </w:r>
      <w:r>
        <w:rPr>
          <w:b/>
          <w:bCs/>
        </w:rPr>
        <w:t xml:space="preserve">R</w:t>
      </w:r>
      <w:r>
        <w:t xml:space="preserve">=Responsible,</w:t>
      </w:r>
      <w:r>
        <w:t xml:space="preserve"> </w:t>
      </w:r>
      <w:r>
        <w:rPr>
          <w:b/>
          <w:bCs/>
        </w:rPr>
        <w:t xml:space="preserve">A</w:t>
      </w:r>
      <w:r>
        <w:t xml:space="preserve">=Accountable, C=Consulted, S=Supporting</w:t>
      </w:r>
    </w:p>
    <w:p>
      <w:r>
        <w:pict>
          <v:rect style="width:0;height:1.5pt" o:hralign="center" o:hrstd="t" o:hr="t"/>
        </w:pict>
      </w:r>
    </w:p>
    <w:bookmarkEnd w:id="22"/>
    <w:bookmarkStart w:id="23" w:name="environments-apim-topology"/>
    <w:p>
      <w:pPr>
        <w:pStyle w:val="Heading2"/>
      </w:pPr>
      <w:r>
        <w:t xml:space="preserve">3) Environments &amp; APIM Topology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Instances</w:t>
      </w:r>
      <w:r>
        <w:t xml:space="preserve">: Separate</w:t>
      </w:r>
      <w:r>
        <w:t xml:space="preserve"> </w:t>
      </w:r>
      <w:r>
        <w:rPr>
          <w:b/>
          <w:bCs/>
        </w:rPr>
        <w:t xml:space="preserve">Dev/Test/Prod</w:t>
      </w:r>
      <w:r>
        <w:t xml:space="preserve"> </w:t>
      </w:r>
      <w:r>
        <w:t xml:space="preserve">APIM instances; peer resource groups per environment.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Products</w:t>
      </w:r>
      <w:r>
        <w:t xml:space="preserve">:</w:t>
      </w:r>
      <w:r>
        <w:t xml:space="preserve"> </w:t>
      </w:r>
      <w:r>
        <w:rPr>
          <w:rStyle w:val="VerbatimChar"/>
        </w:rPr>
        <w:t xml:space="preserve">EVA-JST</w:t>
      </w:r>
      <w:r>
        <w:t xml:space="preserve">,</w:t>
      </w:r>
      <w:r>
        <w:t xml:space="preserve"> </w:t>
      </w:r>
      <w:r>
        <w:rPr>
          <w:rStyle w:val="VerbatimChar"/>
        </w:rPr>
        <w:t xml:space="preserve">EVA-KM</w:t>
      </w:r>
      <w:r>
        <w:t xml:space="preserve">,</w:t>
      </w:r>
      <w:r>
        <w:t xml:space="preserve"> </w:t>
      </w:r>
      <w:r>
        <w:rPr>
          <w:rStyle w:val="VerbatimChar"/>
        </w:rPr>
        <w:t xml:space="preserve">EVA-EI</w:t>
      </w:r>
      <w:r>
        <w:t xml:space="preserve">. Each product issues</w:t>
      </w:r>
      <w:r>
        <w:t xml:space="preserve"> </w:t>
      </w:r>
      <w:r>
        <w:rPr>
          <w:b/>
          <w:bCs/>
        </w:rPr>
        <w:t xml:space="preserve">subscription keys</w:t>
      </w:r>
      <w:r>
        <w:t xml:space="preserve"> </w:t>
      </w:r>
      <w:r>
        <w:t xml:space="preserve">for apps/consumers.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Policies (minimum)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validate-jwt</w:t>
      </w:r>
      <w:r>
        <w:t xml:space="preserve"> </w:t>
      </w:r>
      <w:r>
        <w:t xml:space="preserve">(Entra), subscription key required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rate-limit-by-key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quota-by-key</w:t>
      </w:r>
      <w:r>
        <w:t xml:space="preserve"> </w:t>
      </w:r>
      <w:r>
        <w:t xml:space="preserve">(per consumer/app)</w:t>
      </w:r>
    </w:p>
    <w:p>
      <w:pPr>
        <w:pStyle w:val="Compact"/>
        <w:numPr>
          <w:ilvl w:val="1"/>
          <w:numId w:val="1002"/>
        </w:numPr>
      </w:pPr>
      <w:r>
        <w:t xml:space="preserve">Content‑safety callout (block/thresholds signed by PMD/ITSRM)</w:t>
      </w:r>
    </w:p>
    <w:p>
      <w:pPr>
        <w:pStyle w:val="Compact"/>
        <w:numPr>
          <w:ilvl w:val="1"/>
          <w:numId w:val="1002"/>
        </w:numPr>
      </w:pPr>
      <w:r>
        <w:t xml:space="preserve">Optional response caching for idempotent reads</w:t>
      </w:r>
    </w:p>
    <w:p>
      <w:pPr>
        <w:pStyle w:val="Compact"/>
        <w:numPr>
          <w:ilvl w:val="1"/>
          <w:numId w:val="1002"/>
        </w:numPr>
      </w:pPr>
      <w:r>
        <w:t xml:space="preserve">Header normalization, payload caps, correlation‑id stamping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Networking</w:t>
      </w:r>
      <w:r>
        <w:t xml:space="preserve">: APIM and backends on</w:t>
      </w:r>
      <w:r>
        <w:t xml:space="preserve"> </w:t>
      </w:r>
      <w:r>
        <w:rPr>
          <w:b/>
          <w:bCs/>
        </w:rPr>
        <w:t xml:space="preserve">Private Endpoints/Private Link</w:t>
      </w:r>
      <w:r>
        <w:t xml:space="preserve">; disable public access where feasible.</w:t>
      </w:r>
    </w:p>
    <w:p>
      <w:pPr>
        <w:pStyle w:val="FirstParagraph"/>
      </w:pPr>
      <w:r>
        <w:rPr>
          <w:b/>
          <w:bCs/>
        </w:rPr>
        <w:t xml:space="preserve">Deliverables</w:t>
      </w:r>
    </w:p>
    <w:p>
      <w:pPr>
        <w:pStyle w:val="Compact"/>
        <w:numPr>
          <w:ilvl w:val="0"/>
          <w:numId w:val="1003"/>
        </w:numPr>
      </w:pPr>
      <w:r>
        <w:t xml:space="preserve">AIS: APIM intake approved; PE/vNet configured; named values &amp; products created; baseline policy pack deployed.</w:t>
      </w:r>
    </w:p>
    <w:p>
      <w:pPr>
        <w:pStyle w:val="Compact"/>
        <w:numPr>
          <w:ilvl w:val="0"/>
          <w:numId w:val="1003"/>
        </w:numPr>
      </w:pPr>
      <w:r>
        <w:t xml:space="preserve">AICOE: tool backends registered; function‑calling metadata published; telemetry forwarding to Log Analytics.</w:t>
      </w:r>
    </w:p>
    <w:p>
      <w:r>
        <w:pict>
          <v:rect style="width:0;height:1.5pt" o:hralign="center" o:hrstd="t" o:hr="t"/>
        </w:pict>
      </w:r>
    </w:p>
    <w:bookmarkEnd w:id="23"/>
    <w:bookmarkStart w:id="24" w:name="tool-contract-convention-no-mcp"/>
    <w:p>
      <w:pPr>
        <w:pStyle w:val="Heading2"/>
      </w:pPr>
      <w:r>
        <w:t xml:space="preserve">4) Tool Contract Convention (no MCP)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JSON Schema</w:t>
      </w:r>
      <w:r>
        <w:t xml:space="preserve"> </w:t>
      </w:r>
      <w:r>
        <w:t xml:space="preserve">for inputs/outputs with semantic versioning (</w:t>
      </w:r>
      <w:r>
        <w:rPr>
          <w:rStyle w:val="VerbatimChar"/>
        </w:rPr>
        <w:t xml:space="preserve">major.minor.patch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Error contract</w:t>
      </w:r>
      <w:r>
        <w:t xml:space="preserve"> </w:t>
      </w:r>
      <w:r>
        <w:t xml:space="preserve">(all tools):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Registration</w:t>
      </w:r>
      <w:r>
        <w:t xml:space="preserve">: use the same schema for Azure OpenAI/Agent Service</w:t>
      </w:r>
      <w:r>
        <w:t xml:space="preserve"> </w:t>
      </w:r>
      <w:r>
        <w:rPr>
          <w:b/>
          <w:bCs/>
        </w:rPr>
        <w:t xml:space="preserve">function calling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Breaking changes</w:t>
      </w:r>
      <w:r>
        <w:t xml:space="preserve"> </w:t>
      </w:r>
      <w:r>
        <w:t xml:space="preserve">→ new version + side‑by‑side support; deprecations announced via APIM</w:t>
      </w:r>
      <w:r>
        <w:t xml:space="preserve"> </w:t>
      </w:r>
      <w:r>
        <w:rPr>
          <w:b/>
          <w:bCs/>
        </w:rPr>
        <w:t xml:space="preserve">release notes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rPr>
          <w:b/>
          <w:bCs/>
        </w:rPr>
        <w:t xml:space="preserve"> </w:t>
      </w:r>
      <w:r>
        <w:t xml:space="preserve">``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"legal_search"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 Azure AI Search and return ranked hits with citations (page/paragraph)."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"query"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}}},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"hits"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security-model-identity-chain"/>
    <w:p>
      <w:pPr>
        <w:pStyle w:val="Heading2"/>
      </w:pPr>
      <w:r>
        <w:t xml:space="preserve">5) Security Model &amp; Identity Chain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Managed identities only</w:t>
      </w:r>
      <w:r>
        <w:t xml:space="preserve">: Agent Service → APIM → Functions/Services; least‑privilege RBAC to AI Search/SP/ADO.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Vault</w:t>
      </w:r>
      <w:r>
        <w:t xml:space="preserve"> </w:t>
      </w:r>
      <w:r>
        <w:t xml:space="preserve">for configuration and rotation; no secrets in code.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Supply chain</w:t>
      </w:r>
      <w:r>
        <w:t xml:space="preserve">: code scanning, signed artifacts, SBOM in CI.</w:t>
      </w:r>
    </w:p>
    <w:p>
      <w:r>
        <w:pict>
          <v:rect style="width:0;height:1.5pt" o:hralign="center" o:hrstd="t" o:hr="t"/>
        </w:pict>
      </w:r>
    </w:p>
    <w:bookmarkEnd w:id="25"/>
    <w:bookmarkStart w:id="26" w:name="safety-controls"/>
    <w:p>
      <w:pPr>
        <w:pStyle w:val="Heading2"/>
      </w:pPr>
      <w:r>
        <w:t xml:space="preserve">6) Safety Controls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APIM content‑safety</w:t>
      </w:r>
      <w:r>
        <w:t xml:space="preserve"> </w:t>
      </w:r>
      <w:r>
        <w:t xml:space="preserve">policy + Azure AI Content Safety at runtime.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Allow/deny lists</w:t>
      </w:r>
      <w:r>
        <w:t xml:space="preserve">, prompt shields, refusal paths for low confidence or policy breaches.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Watermark outputs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“AI‑assisted draft”</w:t>
      </w:r>
      <w:r>
        <w:t xml:space="preserve"> </w:t>
      </w:r>
      <w:r>
        <w:t xml:space="preserve">with provenance.</w:t>
      </w:r>
    </w:p>
    <w:p>
      <w:r>
        <w:pict>
          <v:rect style="width:0;height:1.5pt" o:hralign="center" o:hrstd="t" o:hr="t"/>
        </w:pict>
      </w:r>
    </w:p>
    <w:bookmarkEnd w:id="26"/>
    <w:bookmarkStart w:id="27" w:name="telemetry-observability-auditready"/>
    <w:p>
      <w:pPr>
        <w:pStyle w:val="Heading2"/>
      </w:pPr>
      <w:r>
        <w:t xml:space="preserve">7) Telemetry &amp; Observability (audit‑ready)</w:t>
      </w:r>
    </w:p>
    <w:p>
      <w:pPr>
        <w:pStyle w:val="FirstParagraph"/>
      </w:pPr>
      <w:r>
        <w:t xml:space="preserve">Log per run/thread:</w:t>
      </w:r>
    </w:p>
    <w:p>
      <w:pPr>
        <w:pStyle w:val="Compact"/>
        <w:numPr>
          <w:ilvl w:val="0"/>
          <w:numId w:val="1008"/>
        </w:numPr>
      </w:pPr>
      <w:r>
        <w:t xml:space="preserve">timestamps,</w:t>
      </w:r>
      <w:r>
        <w:t xml:space="preserve"> </w:t>
      </w:r>
      <w:r>
        <w:rPr>
          <w:b/>
          <w:bCs/>
        </w:rPr>
        <w:t xml:space="preserve">agent id</w:t>
      </w:r>
      <w:r>
        <w:t xml:space="preserve">,</w:t>
      </w:r>
      <w:r>
        <w:t xml:space="preserve"> </w:t>
      </w:r>
      <w:r>
        <w:rPr>
          <w:b/>
          <w:bCs/>
        </w:rPr>
        <w:t xml:space="preserve">model + version</w:t>
      </w:r>
      <w:r>
        <w:t xml:space="preserve">,</w:t>
      </w:r>
      <w:r>
        <w:t xml:space="preserve"> </w:t>
      </w:r>
      <w:r>
        <w:rPr>
          <w:b/>
          <w:bCs/>
        </w:rPr>
        <w:t xml:space="preserve">prompt template id/hash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tool ledger</w:t>
      </w:r>
      <w:r>
        <w:t xml:space="preserve"> </w:t>
      </w:r>
      <w:r>
        <w:t xml:space="preserve">(tool name, schema version, input/output hashes, latency)</w:t>
      </w:r>
    </w:p>
    <w:p>
      <w:pPr>
        <w:pStyle w:val="Compact"/>
        <w:numPr>
          <w:ilvl w:val="0"/>
          <w:numId w:val="1008"/>
        </w:numPr>
      </w:pPr>
      <w:r>
        <w:t xml:space="preserve">citations (doc id + page/para), tokens &amp; cost, safety result</w:t>
      </w:r>
    </w:p>
    <w:p>
      <w:pPr>
        <w:pStyle w:val="Compact"/>
        <w:numPr>
          <w:ilvl w:val="0"/>
          <w:numId w:val="1008"/>
        </w:numPr>
      </w:pPr>
      <w:r>
        <w:t xml:space="preserve">correlation id, subscription key/product, pseudonymous user id</w:t>
      </w:r>
    </w:p>
    <w:p>
      <w:pPr>
        <w:pStyle w:val="FirstParagraph"/>
      </w:pPr>
      <w:r>
        <w:rPr>
          <w:b/>
          <w:bCs/>
        </w:rPr>
        <w:t xml:space="preserve">Retention</w:t>
      </w:r>
      <w:r>
        <w:t xml:space="preserve">: non‑prod 30–90 days; prod ≥ 1 year (confirm with PMD/ITSRM).</w:t>
      </w:r>
    </w:p>
    <w:p>
      <w:r>
        <w:pict>
          <v:rect style="width:0;height:1.5pt" o:hralign="center" o:hrstd="t" o:hr="t"/>
        </w:pict>
      </w:r>
    </w:p>
    <w:bookmarkEnd w:id="27"/>
    <w:bookmarkStart w:id="28" w:name="evaluation-quality-gates"/>
    <w:p>
      <w:pPr>
        <w:pStyle w:val="Heading2"/>
      </w:pPr>
      <w:r>
        <w:t xml:space="preserve">8) Evaluation &amp; Quality Gates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Static</w:t>
      </w:r>
      <w:r>
        <w:t xml:space="preserve">: grounding (citation coverage), hallucination rate, style/policy checks.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Online</w:t>
      </w:r>
      <w:r>
        <w:t xml:space="preserve">: feedback (👍/👎), override rate, approval acceptance rate.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 blockers</w:t>
      </w:r>
      <w:r>
        <w:t xml:space="preserve">: grounding &lt; target, violations over threshold, p95 latency &gt; target.</w:t>
      </w:r>
    </w:p>
    <w:p>
      <w:r>
        <w:pict>
          <v:rect style="width:0;height:1.5pt" o:hralign="center" o:hrstd="t" o:hr="t"/>
        </w:pict>
      </w:r>
    </w:p>
    <w:bookmarkEnd w:id="28"/>
    <w:bookmarkStart w:id="29" w:name="cicd-repo-conventions"/>
    <w:p>
      <w:pPr>
        <w:pStyle w:val="Heading2"/>
      </w:pPr>
      <w:r>
        <w:t xml:space="preserve">9) CI/CD &amp; Repo Conventions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IaC</w:t>
      </w:r>
      <w:r>
        <w:t xml:space="preserve">: Terraform modules for Agent Service connections, APIM products/policies, Private Endpoints.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Pipelines</w:t>
      </w:r>
      <w:r>
        <w:t xml:space="preserve">: build → unit tests →</w:t>
      </w:r>
      <w:r>
        <w:t xml:space="preserve"> </w:t>
      </w:r>
      <w:r>
        <w:rPr>
          <w:b/>
          <w:bCs/>
        </w:rPr>
        <w:t xml:space="preserve">eval tests</w:t>
      </w:r>
      <w:r>
        <w:t xml:space="preserve"> </w:t>
      </w:r>
      <w:r>
        <w:t xml:space="preserve">→ security scans → deploy to Dev/Test → manual approval → Prod.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Branching</w:t>
      </w:r>
      <w:r>
        <w:t xml:space="preserve">: trunk‑based with short‑lived feature branches; protected main; signed tags for releases.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Versioning</w:t>
      </w:r>
      <w:r>
        <w:t xml:space="preserve">: tools and prompts carry</w:t>
      </w:r>
      <w:r>
        <w:t xml:space="preserve"> </w:t>
      </w:r>
      <w:r>
        <w:rPr>
          <w:b/>
          <w:bCs/>
        </w:rPr>
        <w:t xml:space="preserve">version IDs</w:t>
      </w:r>
      <w:r>
        <w:t xml:space="preserve"> </w:t>
      </w:r>
      <w:r>
        <w:t xml:space="preserve">surfaced in telemetry.</w:t>
      </w:r>
    </w:p>
    <w:p>
      <w:r>
        <w:pict>
          <v:rect style="width:0;height:1.5pt" o:hralign="center" o:hrstd="t" o:hr="t"/>
        </w:pict>
      </w:r>
    </w:p>
    <w:bookmarkEnd w:id="29"/>
    <w:bookmarkStart w:id="33" w:name="domain-implementations-v0-slices"/>
    <w:p>
      <w:pPr>
        <w:pStyle w:val="Heading2"/>
      </w:pPr>
      <w:r>
        <w:t xml:space="preserve">10) Domain Implementations (V0 slices)</w:t>
      </w:r>
    </w:p>
    <w:bookmarkStart w:id="30" w:name="jurisprudence-jst"/>
    <w:p>
      <w:pPr>
        <w:pStyle w:val="Heading3"/>
      </w:pPr>
      <w:r>
        <w:t xml:space="preserve">Jurisprudence (JST)</w:t>
      </w:r>
    </w:p>
    <w:p>
      <w:pPr>
        <w:pStyle w:val="Compact"/>
        <w:numPr>
          <w:ilvl w:val="0"/>
          <w:numId w:val="1011"/>
        </w:numPr>
      </w:pPr>
      <w:r>
        <w:t xml:space="preserve">Tools:</w:t>
      </w:r>
      <w:r>
        <w:t xml:space="preserve"> </w:t>
      </w:r>
      <w:r>
        <w:rPr>
          <w:rStyle w:val="VerbatimChar"/>
        </w:rPr>
        <w:t xml:space="preserve">legal_search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source_fetch</w:t>
      </w:r>
      <w:r>
        <w:t xml:space="preserve"> </w:t>
      </w:r>
      <w:r>
        <w:t xml:space="preserve">(page/para anchors),</w:t>
      </w:r>
      <w:r>
        <w:t xml:space="preserve"> </w:t>
      </w:r>
      <w:r>
        <w:rPr>
          <w:rStyle w:val="VerbatimChar"/>
        </w:rPr>
        <w:t xml:space="preserve">contra_find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export_brief_draft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Flow:</w:t>
      </w:r>
      <w:r>
        <w:t xml:space="preserve"> </w:t>
      </w:r>
      <w:r>
        <w:rPr>
          <w:b/>
          <w:bCs/>
        </w:rPr>
        <w:t xml:space="preserve">plan → retrieve → summarize → cite → contra‑check → export draft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Rules: source‑locked; read‑only; HITL required to publish.</w:t>
      </w:r>
    </w:p>
    <w:bookmarkEnd w:id="30"/>
    <w:bookmarkStart w:id="31" w:name="knowledge-management-km"/>
    <w:p>
      <w:pPr>
        <w:pStyle w:val="Heading3"/>
      </w:pPr>
      <w:r>
        <w:t xml:space="preserve">Knowledge Management (KM)</w:t>
      </w:r>
    </w:p>
    <w:p>
      <w:pPr>
        <w:pStyle w:val="Compact"/>
        <w:numPr>
          <w:ilvl w:val="0"/>
          <w:numId w:val="1012"/>
        </w:numPr>
      </w:pPr>
      <w:r>
        <w:t xml:space="preserve">Tools:</w:t>
      </w:r>
      <w:r>
        <w:t xml:space="preserve"> </w:t>
      </w:r>
      <w:r>
        <w:rPr>
          <w:rStyle w:val="VerbatimChar"/>
        </w:rPr>
        <w:t xml:space="preserve">sp_search_read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taxonomy_lookup</w:t>
      </w:r>
      <w:r>
        <w:t xml:space="preserve">,</w:t>
      </w:r>
      <w:r>
        <w:t xml:space="preserve"> </w:t>
      </w:r>
      <w:r>
        <w:rPr>
          <w:rStyle w:val="VerbatimChar"/>
        </w:rPr>
        <w:t xml:space="preserve">faq_publish_draft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Rule:</w:t>
      </w:r>
      <w:r>
        <w:t xml:space="preserve"> </w:t>
      </w:r>
      <w:r>
        <w:rPr>
          <w:b/>
          <w:bCs/>
        </w:rPr>
        <w:t xml:space="preserve">Copilot‑first</w:t>
      </w:r>
      <w:r>
        <w:t xml:space="preserve"> </w:t>
      </w:r>
      <w:r>
        <w:t xml:space="preserve">for simple SharePoint discovery; custom runtime for cross‑repo synthesis/policy checks.</w:t>
      </w:r>
    </w:p>
    <w:bookmarkEnd w:id="31"/>
    <w:bookmarkStart w:id="32" w:name="ei-ai-accelerators"/>
    <w:p>
      <w:pPr>
        <w:pStyle w:val="Heading3"/>
      </w:pPr>
      <w:r>
        <w:t xml:space="preserve">EI AI Accelerators</w:t>
      </w:r>
    </w:p>
    <w:p>
      <w:pPr>
        <w:pStyle w:val="Compact"/>
        <w:numPr>
          <w:ilvl w:val="0"/>
          <w:numId w:val="1013"/>
        </w:numPr>
      </w:pPr>
      <w:r>
        <w:t xml:space="preserve">Tools:</w:t>
      </w:r>
      <w:r>
        <w:t xml:space="preserve"> </w:t>
      </w:r>
      <w:r>
        <w:rPr>
          <w:rStyle w:val="VerbatimChar"/>
        </w:rPr>
        <w:t xml:space="preserve">policy_search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ado_read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ado_create_draft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xml_gen_draft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test_case_suggest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Rule:</w:t>
      </w:r>
      <w:r>
        <w:t xml:space="preserve"> </w:t>
      </w:r>
      <w:r>
        <w:rPr>
          <w:b/>
          <w:bCs/>
        </w:rPr>
        <w:t xml:space="preserve">propose, don’t commit</w:t>
      </w:r>
      <w:r>
        <w:t xml:space="preserve">; ADO approvals as the gate.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eliverables-checklist-by-team"/>
    <w:p>
      <w:pPr>
        <w:pStyle w:val="Heading2"/>
      </w:pPr>
      <w:r>
        <w:t xml:space="preserve">11) Deliverables Checklist (by team)</w:t>
      </w:r>
    </w:p>
    <w:p>
      <w:pPr>
        <w:pStyle w:val="FirstParagraph"/>
      </w:pPr>
      <w:r>
        <w:rPr>
          <w:b/>
          <w:bCs/>
        </w:rPr>
        <w:t xml:space="preserve">AICOE</w:t>
      </w:r>
    </w:p>
    <w:p>
      <w:pPr>
        <w:pStyle w:val="FirstParagraph"/>
      </w:pPr>
      <w:r>
        <w:rPr>
          <w:b/>
          <w:bCs/>
        </w:rPr>
        <w:t xml:space="preserve">AIS (Interop/Platform)</w:t>
      </w:r>
    </w:p>
    <w:p>
      <w:pPr>
        <w:pStyle w:val="FirstParagraph"/>
      </w:pPr>
      <w:r>
        <w:rPr>
          <w:b/>
          <w:bCs/>
        </w:rPr>
        <w:t xml:space="preserve">BDM Innovation</w:t>
      </w:r>
    </w:p>
    <w:p>
      <w:pPr>
        <w:pStyle w:val="FirstParagraph"/>
      </w:pPr>
      <w:r>
        <w:rPr>
          <w:b/>
          <w:bCs/>
        </w:rPr>
        <w:t xml:space="preserve">SIs</w:t>
      </w:r>
    </w:p>
    <w:p>
      <w:r>
        <w:pict>
          <v:rect style="width:0;height:1.5pt" o:hralign="center" o:hrstd="t" o:hr="t"/>
        </w:pict>
      </w:r>
    </w:p>
    <w:bookmarkEnd w:id="34"/>
    <w:bookmarkStart w:id="35" w:name="milestones-60-days"/>
    <w:p>
      <w:pPr>
        <w:pStyle w:val="Heading2"/>
      </w:pPr>
      <w:r>
        <w:t xml:space="preserve">12) Milestones (60 days)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Wks 1–2</w:t>
      </w:r>
      <w:r>
        <w:t xml:space="preserve">: Foundations live (Agent Service, APIM, MI, PE); end‑to‑end</w:t>
      </w:r>
      <w:r>
        <w:t xml:space="preserve"> </w:t>
      </w:r>
      <w:r>
        <w:t xml:space="preserve">“hello tools”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Wks 3–4</w:t>
      </w:r>
      <w:r>
        <w:t xml:space="preserve">: Shared tools (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source_fetch</w:t>
      </w:r>
      <w:r>
        <w:t xml:space="preserve">) + cost dashboards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Wks 5–6</w:t>
      </w:r>
      <w:r>
        <w:t xml:space="preserve">: JST flow to</w:t>
      </w:r>
      <w:r>
        <w:t xml:space="preserve"> </w:t>
      </w:r>
      <w:r>
        <w:rPr>
          <w:b/>
          <w:bCs/>
        </w:rPr>
        <w:t xml:space="preserve">draft brief</w:t>
      </w:r>
      <w:r>
        <w:t xml:space="preserve"> </w:t>
      </w:r>
      <w:r>
        <w:t xml:space="preserve">with eval gates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Wks 7–8</w:t>
      </w:r>
      <w:r>
        <w:t xml:space="preserve">: Harden (perf, pen test), AIOB demo, PMD/ITSRM safety sign‑off</w:t>
      </w:r>
    </w:p>
    <w:p>
      <w:r>
        <w:pict>
          <v:rect style="width:0;height:1.5pt" o:hralign="center" o:hrstd="t" o:hr="t"/>
        </w:pict>
      </w:r>
    </w:p>
    <w:bookmarkEnd w:id="35"/>
    <w:bookmarkStart w:id="36" w:name="open-decisions"/>
    <w:p>
      <w:pPr>
        <w:pStyle w:val="Heading2"/>
      </w:pPr>
      <w:r>
        <w:t xml:space="preserve">13) Open Decisions</w:t>
      </w:r>
    </w:p>
    <w:p>
      <w:pPr>
        <w:pStyle w:val="Compact"/>
        <w:numPr>
          <w:ilvl w:val="0"/>
          <w:numId w:val="1019"/>
        </w:numPr>
      </w:pPr>
      <w:r>
        <w:t xml:space="preserve">Single shared EVA APIM vs exceptions</w:t>
      </w:r>
    </w:p>
    <w:p>
      <w:pPr>
        <w:pStyle w:val="Compact"/>
        <w:numPr>
          <w:ilvl w:val="0"/>
          <w:numId w:val="1019"/>
        </w:numPr>
      </w:pPr>
      <w:r>
        <w:t xml:space="preserve">APIM cache vs backend Redis semantic cache (per tool)</w:t>
      </w:r>
    </w:p>
    <w:p>
      <w:pPr>
        <w:pStyle w:val="Compact"/>
        <w:numPr>
          <w:ilvl w:val="0"/>
          <w:numId w:val="1019"/>
        </w:numPr>
      </w:pPr>
      <w:r>
        <w:t xml:space="preserve">Approval system of record (Power Automate vs ADO)</w:t>
      </w:r>
    </w:p>
    <w:p>
      <w:pPr>
        <w:pStyle w:val="Compact"/>
        <w:numPr>
          <w:ilvl w:val="0"/>
          <w:numId w:val="1019"/>
        </w:numPr>
      </w:pPr>
      <w:r>
        <w:t xml:space="preserve">PTU spillover/routing pattern with platform team</w:t>
      </w:r>
    </w:p>
    <w:p>
      <w:pPr>
        <w:pStyle w:val="Compact"/>
        <w:numPr>
          <w:ilvl w:val="0"/>
          <w:numId w:val="1019"/>
        </w:numPr>
      </w:pPr>
      <w:r>
        <w:t xml:space="preserve">Final log/eval retention durations</w:t>
      </w:r>
    </w:p>
    <w:p>
      <w:r>
        <w:pict>
          <v:rect style="width:0;height:1.5pt" o:hralign="center" o:hrstd="t" o:hr="t"/>
        </w:pict>
      </w:r>
    </w:p>
    <w:bookmarkEnd w:id="36"/>
    <w:bookmarkStart w:id="37" w:name="appendices"/>
    <w:p>
      <w:pPr>
        <w:pStyle w:val="Heading2"/>
      </w:pPr>
      <w:r>
        <w:t xml:space="preserve">14) Appendices</w:t>
      </w:r>
    </w:p>
    <w:p>
      <w:pPr>
        <w:pStyle w:val="FirstParagraph"/>
      </w:pPr>
      <w:r>
        <w:rPr>
          <w:b/>
          <w:bCs/>
        </w:rPr>
        <w:t xml:space="preserve">A. Error Codes (suggested)</w:t>
      </w:r>
      <w:r>
        <w:t xml:space="preserve">:</w:t>
      </w:r>
      <w:r>
        <w:t xml:space="preserve"> </w:t>
      </w:r>
      <w:r>
        <w:rPr>
          <w:rStyle w:val="VerbatimChar"/>
        </w:rPr>
        <w:t xml:space="preserve">INVALID_INPUT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DOWNSTREAM_TIMEOUT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INTERNAL_ERROR</w:t>
      </w:r>
    </w:p>
    <w:p>
      <w:pPr>
        <w:pStyle w:val="BodyText"/>
      </w:pPr>
      <w:r>
        <w:rPr>
          <w:b/>
          <w:bCs/>
        </w:rPr>
        <w:t xml:space="preserve">B. Naming</w:t>
      </w:r>
      <w:r>
        <w:t xml:space="preserve">:</w:t>
      </w:r>
      <w:r>
        <w:t xml:space="preserve"> </w:t>
      </w:r>
      <w:r>
        <w:rPr>
          <w:rStyle w:val="VerbatimChar"/>
        </w:rPr>
        <w:t xml:space="preserve">eva-&lt;env&gt;-apim</w:t>
      </w:r>
      <w:r>
        <w:t xml:space="preserve">,</w:t>
      </w:r>
      <w:r>
        <w:t xml:space="preserve"> </w:t>
      </w:r>
      <w:r>
        <w:rPr>
          <w:rStyle w:val="VerbatimChar"/>
        </w:rPr>
        <w:t xml:space="preserve">eva-&lt;env&gt;-agentproj</w:t>
      </w:r>
      <w:r>
        <w:t xml:space="preserve">,</w:t>
      </w:r>
      <w:r>
        <w:t xml:space="preserve"> </w:t>
      </w:r>
      <w:r>
        <w:rPr>
          <w:rStyle w:val="VerbatimChar"/>
        </w:rPr>
        <w:t xml:space="preserve">eva-&lt;env&gt;-func-&lt;tool&gt;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eva-&lt;env&gt;-rg-&lt;domain&gt;</w:t>
      </w:r>
    </w:p>
    <w:p>
      <w:pPr>
        <w:pStyle w:val="BodyText"/>
      </w:pPr>
      <w:r>
        <w:rPr>
          <w:b/>
          <w:bCs/>
        </w:rPr>
        <w:t xml:space="preserve">C. Go/No‑Go</w:t>
      </w:r>
      <w:r>
        <w:t xml:space="preserve">: Private networking enforced; MI chain validated; APIM policy pack live; eval dashboards green; HITL gates working; PIA/SA&amp;A addendum signed; runbooks tested.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ProjectCode xmlns="bf8d9fdf-4125-4b9e-90cc-178121cbf199">EXJD</ProjectCode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Key_x0020_Document xmlns="bf8d9fdf-4125-4b9e-90cc-178121cbf199">false</Key_x0020_Document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  <_dlc_DocId xmlns="0f99ac47-5234-4717-87da-95168002162c">TWDX2CXSTY3E-1481338289-7896</_dlc_DocId>
    <_dlc_DocIdUrl xmlns="0f99ac47-5234-4717-87da-95168002162c">
      <Url>https://014gc.sharepoint.com/sites/AICoE/_layouts/15/DocIdRedir.aspx?ID=TWDX2CXSTY3E-1481338289-7896</Url>
      <Description>TWDX2CXSTY3E-1481338289-7896</Description>
    </_dlc_DocIdUrl>
  </documentManagement>
</p:properties>
</file>

<file path=customXml/itemProps1.xml><?xml version="1.0" encoding="utf-8"?>
<ds:datastoreItem xmlns:ds="http://schemas.openxmlformats.org/officeDocument/2006/customXml" ds:itemID="{9312AA49-B995-4FE6-ABFE-A123DABEE2DA}"/>
</file>

<file path=customXml/itemProps2.xml><?xml version="1.0" encoding="utf-8"?>
<ds:datastoreItem xmlns:ds="http://schemas.openxmlformats.org/officeDocument/2006/customXml" ds:itemID="{6F3978C5-16D9-43A4-BC78-16FA29712A01}"/>
</file>

<file path=customXml/itemProps3.xml><?xml version="1.0" encoding="utf-8"?>
<ds:datastoreItem xmlns:ds="http://schemas.openxmlformats.org/officeDocument/2006/customXml" ds:itemID="{C35CAC1B-1BDA-455F-8122-4506EFD7681B}"/>
</file>

<file path=customXml/itemProps4.xml><?xml version="1.0" encoding="utf-8"?>
<ds:datastoreItem xmlns:ds="http://schemas.openxmlformats.org/officeDocument/2006/customXml" ds:itemID="{1257E7A8-A503-46DE-AC9F-5C2BEF849F4D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2025-08-12T02:01:50Z</dcterms:created>
  <dcterms:modified xsi:type="dcterms:W3CDTF">2025-08-12T02:01:50Z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07b293ae-3026-4af8-b58a-a7c7800b7e8d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</Properties>
</file>