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Empirical bounds distinguish vocabulary, capacity, and search restrictions.</w:t>
      </w:r>
    </w:p>
    <w:p>
      <w:pPr>
        <w:pStyle w:val="ListBullet"/>
      </w:pPr>
      <w:r>
        <w:t>Numerical feature forgetting certifies decisions with hidden inputs.</w:t>
      </w:r>
    </w:p>
    <w:p>
      <w:pPr>
        <w:pStyle w:val="ListBullet"/>
      </w:pPr>
      <w:r>
        <w:t>Exact background constraints distinguish ambiguity from infeasibility.</w:t>
      </w:r>
    </w:p>
    <w:p>
      <w:pPr>
        <w:pStyle w:val="ListBullet"/>
      </w:pPr>
      <w:r>
        <w:t>Cost-aware selection hides inputs under a measured coverage requirement.</w:t>
      </w:r>
    </w:p>
    <w:p>
      <w:pPr>
        <w:pStyle w:val="ListBullet"/>
      </w:pPr>
      <w:r>
        <w:t>Cached residual queries recover decisions from global compiler fallbacks.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