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Konsolidiert</w:t>
      </w:r>
    </w:p>
    <w:p>
      <w:pPr>
        <w:spacing w:before="0" w:after="80" w:line="276" w:lineRule="auto"/>
      </w:pPr>
      <w:r>
        <w:rPr>
          <w:rFonts w:ascii="Calibri" w:hAnsi="Calibri"/>
          <w:b w:val="0"/>
          <w:i w:val="0"/>
          <w:color w:val="1A1A1A"/>
          <w:sz w:val="21"/>
        </w:rPr>
        <w:t>Ja. Der Konsolidierungskreis der Nachhaltigkeitserklärung entspricht dem Konsolidierungskreis des Konzernabschlusses. Die Nachhaltigkeitserklärung bezieht sich ausschließlich auf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 xml:space="preserve">Der berichtete Wert für zusammensetzung der Verwaltungs-, Leitungs- und Aufsichtsorgane beträgt 5. 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spacing w:before="0" w:after="80" w:line="276" w:lineRule="auto"/>
      </w:pPr>
      <w:r>
        <w:rPr>
          <w:rFonts w:ascii="Calibri" w:hAnsi="Calibri"/>
          <w:b w:val="0"/>
          <w:i w:val="0"/>
          <w:color w:val="1A1A1A"/>
          <w:sz w:val="21"/>
        </w:rPr>
        <w:t xml:space="preserve">Der berichtete Wert für zusammensetzung der Verwaltungs-, Leitungs- und Aufsichtsorgane beträgt 26. 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spacing w:before="0" w:after="80" w:line="276" w:lineRule="auto"/>
      </w:pPr>
      <w:r>
        <w:rPr>
          <w:rFonts w:ascii="Calibri" w:hAnsi="Calibri"/>
          <w:b w:val="0"/>
          <w:i w:val="0"/>
          <w:color w:val="1A1A1A"/>
          <w:sz w:val="21"/>
        </w:rPr>
        <w:t>36. Gewählte Betriebsräte in 2022 in den Regionen West, Mitte, Ost, welche zum Teil auch den Gesamtbetriebsrat und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spacing w:before="0" w:after="80" w:line="276" w:lineRule="auto"/>
      </w:pPr>
      <w:r>
        <w:rPr>
          <w:rFonts w:ascii="Calibri" w:hAnsi="Calibri"/>
          <w:b w:val="0"/>
          <w:i w:val="0"/>
          <w:color w:val="1A1A1A"/>
          <w:sz w:val="21"/>
        </w:rPr>
        <w:t xml:space="preserve">Der berichtete Wert für zusammensetzung der Verwaltungs-, Leitungs- und Aufsichtsorgane beträgt 83,9. 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spacing w:before="0" w:after="80" w:line="276" w:lineRule="auto"/>
      </w:pPr>
      <w:r>
        <w:rPr>
          <w:rFonts w:ascii="Calibri" w:hAnsi="Calibri"/>
          <w:b w:val="0"/>
          <w:i w:val="0"/>
          <w:color w:val="1A1A1A"/>
          <w:sz w:val="21"/>
        </w:rPr>
        <w:t xml:space="preserve">Zur Einordnung ist hinzuzufügen: 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spacing w:before="0" w:after="80" w:line="276" w:lineRule="auto"/>
      </w:pPr>
      <w:r>
        <w:rPr>
          <w:rFonts w:ascii="Calibri" w:hAnsi="Calibri"/>
          <w:b w:val="0"/>
          <w:i w:val="0"/>
          <w:color w:val="1A1A1A"/>
          <w:sz w:val="21"/>
        </w:rP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spacing w:before="0" w:after="80" w:line="276" w:lineRule="auto"/>
      </w:pPr>
      <w:r>
        <w:rPr>
          <w:rFonts w:ascii="Calibri" w:hAnsi="Calibri"/>
          <w:b w:val="0"/>
          <w:i w:val="0"/>
          <w:color w:val="1A1A1A"/>
          <w:sz w:val="21"/>
        </w:rP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pPr>
        <w:spacing w:before="0" w:after="80" w:line="276" w:lineRule="auto"/>
      </w:pPr>
      <w:r>
        <w:rPr>
          <w:rFonts w:ascii="Calibri" w:hAnsi="Calibri"/>
          <w:b w:val="0"/>
          <w:i w:val="0"/>
          <w:color w:val="1A1A1A"/>
          <w:sz w:val="21"/>
        </w:rPr>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langfristig). - Priorisierung: Abgleich der finanziellen Tragweite mit den im zentralen Risikomanagementsystem erfassten Unternehmensrisiken. - 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w:t>
      </w:r>
    </w:p>
    <w:p>
      <w:pPr>
        <w:spacing w:before="0" w:after="80" w:line="276" w:lineRule="auto"/>
      </w:pPr>
      <w:r>
        <w:rPr>
          <w:rFonts w:ascii="Calibri" w:hAnsi="Calibri"/>
          <w:b w:val="0"/>
          <w:i w:val="0"/>
          <w:color w:val="1A1A1A"/>
          <w:sz w:val="21"/>
        </w:rPr>
        <w:t>Eintrittswahrscheinlichkeit: von sehr unwahrscheinlich (1) bis sicherer Eintritt (5).</w:t>
      </w:r>
    </w:p>
    <w:p>
      <w:pPr>
        <w:spacing w:before="0" w:after="80" w:line="276" w:lineRule="auto"/>
      </w:pPr>
      <w:r>
        <w:rPr>
          <w:rFonts w:ascii="Calibri" w:hAnsi="Calibri"/>
          <w:b w:val="0"/>
          <w:i w:val="0"/>
          <w:color w:val="1A1A1A"/>
          <w:sz w:val="21"/>
        </w:rPr>
        <w:t>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pPr>
        <w:spacing w:before="0" w:after="80" w:line="276" w:lineRule="auto"/>
      </w:pPr>
      <w:r>
        <w:rPr>
          <w:rFonts w:ascii="Calibri" w:hAnsi="Calibri"/>
          <w:b w:val="0"/>
          <w:i w:val="0"/>
          <w:color w:val="1A1A1A"/>
          <w:sz w:val="21"/>
        </w:rPr>
        <w:t>Externe Datenquellen: - Demografische Kennzahlen (z. B. Geburtenraten, Bevölkerungsentwicklung), - Entwicklungen der Energie- und Lebensmittelpreise, - regulatorische Rahmenbedingungen (z. B. Vorgaben zur frühkindlichen Bildung, Arbeits- und Klimaschutzgesetze),</w:t>
      </w:r>
    </w:p>
    <w:p>
      <w:pPr>
        <w:spacing w:before="0" w:after="80" w:line="276" w:lineRule="auto"/>
      </w:pPr>
      <w:r>
        <w:rPr>
          <w:rFonts w:ascii="Calibri" w:hAnsi="Calibri"/>
          <w:b w:val="0"/>
          <w:i w:val="0"/>
          <w:color w:val="1A1A1A"/>
          <w:sz w:val="21"/>
        </w:rPr>
        <w:t>Externe Expertise: - Methodische Beratung und Validierung des Prozesses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41245" w:name="iro-2"/>
      <w:pPr>
        <w:pStyle w:val="Heading2"/>
      </w:pPr>
      <w:r>
        <w:t>IRO-2 – Offenlegungsanforderungen in den ESRS, die vom Nachhaltigkeitsbericht des Unternehmens abgedeckt werden</w:t>
      </w:r>
      <w:bookmarkEnd w:id="41245"/>
    </w:p>
    <w:p>
      <w:pPr>
        <w:spacing w:before="120" w:after="60"/>
      </w:pPr>
      <w:r>
        <w:rPr>
          <w:rFonts w:ascii="Calibri" w:hAnsi="Calibri"/>
          <w:b/>
          <w:i w:val="0"/>
          <w:color w:val="1A1A1A"/>
          <w:sz w:val="21"/>
        </w:rPr>
        <w:t>IRO-2 Inhaltstabelle der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Klimwandel wurde im Zuge der doppelten Wesentlichkeitsanalyse für das Jahr 2024 als wesentlch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spacing w:before="0" w:after="80" w:line="276" w:lineRule="auto"/>
      </w:pPr>
      <w:r>
        <w:rPr>
          <w:rFonts w:ascii="Calibri" w:hAnsi="Calibri"/>
          <w:b w:val="0"/>
          <w:i w:val="0"/>
          <w:color w:val="1A1A1A"/>
          <w:sz w:val="21"/>
        </w:rPr>
        <w:t>Erläuterung des Transitionsplans für den Klimaschutz trifft zu.</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rPr>
          <w:rFonts w:ascii="Calibri" w:hAnsi="Calibri"/>
          <w:b w:val="0"/>
          <w:i w:val="0"/>
          <w:color w:val="1A1A1A"/>
          <w:sz w:val="21"/>
        </w:rP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rPr>
          <w:rFonts w:ascii="Calibri" w:hAnsi="Calibri"/>
          <w:b w:val="0"/>
          <w:i w:val="0"/>
          <w:color w:val="1A1A1A"/>
          <w:sz w:val="21"/>
        </w:rP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rPr>
          <w:rFonts w:ascii="Calibri" w:hAnsi="Calibri"/>
          <w:b w:val="0"/>
          <w:i w:val="0"/>
          <w:color w:val="1A1A1A"/>
          <w:sz w:val="21"/>
        </w:rPr>
        <w:t>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Effizienzmaßnahmen und Vermeidung kleinerer Emissionsquellen wird ein zusätzlicher Beitrag von rund 2 % erzielt.</w:t>
      </w:r>
    </w:p>
    <w:p>
      <w:pPr>
        <w:spacing w:before="0" w:after="80" w:line="276" w:lineRule="auto"/>
      </w:pPr>
      <w:r>
        <w:rPr>
          <w:rFonts w:ascii="Calibri" w:hAnsi="Calibri"/>
          <w:b w:val="0"/>
          <w:i w:val="0"/>
          <w:color w:val="1A1A1A"/>
          <w:sz w:val="21"/>
        </w:rP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rPr>
          <w:rFonts w:ascii="Calibri" w:hAnsi="Calibri"/>
          <w:b w:val="0"/>
          <w:i w:val="0"/>
          <w:color w:val="1A1A1A"/>
          <w:sz w:val="21"/>
        </w:rP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rPr>
          <w:rFonts w:ascii="Calibri" w:hAnsi="Calibri"/>
          <w:b w:val="0"/>
          <w:i w:val="0"/>
          <w:color w:val="1A1A1A"/>
          <w:sz w:val="21"/>
        </w:rP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 t CO₂e (Scope 1), deren Reduktion nur im Rahmen von Eigentümerentscheidungen oder Sanierungszyklen realisierbar ist. – Hier besteht das Risiko, dass die Dekarbonisierungsgeschwindigkeit durch bauliche Rahmenbedingungen gebremst wird.</w:t>
      </w:r>
    </w:p>
    <w:p>
      <w:pPr>
        <w:spacing w:before="0" w:after="80" w:line="276" w:lineRule="auto"/>
      </w:pPr>
      <w:r>
        <w:rPr>
          <w:rFonts w:ascii="Calibri" w:hAnsi="Calibri"/>
          <w:b w:val="0"/>
          <w:i w:val="0"/>
          <w:color w:val="1A1A1A"/>
          <w:sz w:val="21"/>
        </w:rPr>
        <w:t>Verpflegungssystem und Lebensmittelversorgung – Ein Teil der Emissionen bleibt auch langfristig an die Bereitstellung von Mahlzeiten gebunden. – Diese liegen überwiegend im Scope 3-Bereich (Wareneinsatz Lebensmittel bei Einrichtungen mit Frischküche sowie externes Catering: ca. 6,7 t CO₂e im Jahr 2019). – Trotz umfangreicher Umstellungen auf ovo-lacto-vegetarische Ernährung, regional-saisonale Zutaten und DGE-Standards bleiben unvermeidbare Restemissionen bestehen. – 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rPr>
          <w:rFonts w:ascii="Calibri" w:hAnsi="Calibri"/>
          <w:b w:val="0"/>
          <w:i w:val="0"/>
          <w:color w:val="1A1A1A"/>
          <w:sz w:val="21"/>
        </w:rP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rPr>
          <w:rFonts w:ascii="Calibri" w:hAnsi="Calibri"/>
          <w:b w:val="0"/>
          <w:i w:val="0"/>
          <w:color w:val="1A1A1A"/>
          <w:sz w:val="21"/>
        </w:rP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rPr>
          <w:rFonts w:ascii="Calibri" w:hAnsi="Calibri"/>
          <w:b w:val="0"/>
          <w:i w:val="0"/>
          <w:color w:val="1A1A1A"/>
          <w:sz w:val="21"/>
        </w:rP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rPr>
          <w:rFonts w:ascii="Calibri" w:hAnsi="Calibri"/>
          <w:b w:val="0"/>
          <w:i w:val="0"/>
          <w:color w:val="1A1A1A"/>
          <w:sz w:val="21"/>
        </w:rPr>
        <w:t>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Energieberatungen und Pilotprojekte zur Heizungsoptimierung abgeschlossen. - Einführung eines datenbasierten Ressourcenmonitorings vorbereitet.</w:t>
      </w:r>
    </w:p>
    <w:p>
      <w:pPr>
        <w:spacing w:before="0" w:after="80" w:line="276" w:lineRule="auto"/>
      </w:pPr>
      <w:r>
        <w:rPr>
          <w:rFonts w:ascii="Calibri" w:hAnsi="Calibri"/>
          <w:b w:val="0"/>
          <w:i w:val="0"/>
          <w:color w:val="1A1A1A"/>
          <w:sz w:val="21"/>
        </w:rP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pPr>
        <w:spacing w:before="0" w:after="80" w:line="276" w:lineRule="auto"/>
      </w:pPr>
      <w:r>
        <w:rPr>
          <w:rFonts w:ascii="Calibri" w:hAnsi="Calibri"/>
          <w:b w:val="0"/>
          <w:i w:val="0"/>
          <w:color w:val="1A1A1A"/>
          <w:sz w:val="21"/>
        </w:rPr>
        <w:t>Mobilität: - Umsetzung eines nachhaltigen Mobilitätskonzepts abgeschlossen. - Elektrifizierung des Fuhrparks: 54,9 % Elektrofahrzeuge (Stand Ende 2024). - Einführung des Deutschlandtickets Job und Förderung alternativer Mobilitätsformen umgesetzt.</w:t>
      </w:r>
    </w:p>
    <w:p>
      <w:pPr>
        <w:spacing w:before="0" w:after="80" w:line="276" w:lineRule="auto"/>
      </w:pPr>
      <w:r>
        <w:rPr>
          <w:rFonts w:ascii="Calibri" w:hAnsi="Calibri"/>
          <w:b w:val="0"/>
          <w:i w:val="0"/>
          <w:color w:val="1A1A1A"/>
          <w:sz w:val="21"/>
        </w:rP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pPr>
        <w:spacing w:before="0" w:after="80" w:line="276" w:lineRule="auto"/>
      </w:pPr>
      <w:r>
        <w:rPr>
          <w:rFonts w:ascii="Calibri" w:hAnsi="Calibri"/>
          <w:b w:val="0"/>
          <w:i w:val="0"/>
          <w:color w:val="1A1A1A"/>
          <w:sz w:val="21"/>
        </w:rPr>
        <w:t>Ausblick: 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rPr>
          <w:rFonts w:ascii="Calibri" w:hAnsi="Calibri"/>
          <w:b w:val="0"/>
          <w:i w:val="0"/>
          <w:color w:val="1A1A1A"/>
          <w:sz w:val="21"/>
        </w:rPr>
        <w:t>Richtlinien für Klimawandel trifft zu. 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br/>
        <w:br/>
        <w:t>- Fröbel Unternehmensstrategie 2030: Übergeordnete Strategie der Fröbel Gruppe, definiert die übergeordneten Klimaziele (–50 % Emissionen bis 2030, Netto-Null bis 2040)</w:t>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br/>
        <w:t>- Fröbel Reisekostenrichtlinie: verpflichtet alle Mitarbeitenden, Dienstreisen nach Nachhaltigkeitskriterien durchzuführen (z. B. Vorrang für Bahnreisen, Reduktion von Flugreisen, Förderung digitaler Meetings).</w:t>
        <w:br/>
        <w:t>- Fröbel Beschaffungsrichtlinie: regelt den gesamten Beschaffungsprozess. Nachhaltigkeitsaspekte sind darin verankert, können jedoch zukünftig noch stärker berücksichtigt werden, um Klimaeffekte entlang der Lieferkette zu minimieren.</w:t>
        <w:br/>
        <w:t>- Fröbel Baustandard: definiert die Anforderungen an nachhaltiges Planen und Bauen für Neubauten und Sanierungen. Auch hier ist eine weitergehende Integration von Klimakriterien geplant.</w:t>
        <w:br/>
        <w:t>- Fröbel Mobilitätskonzept: bietet einen Rahmen für nachhaltige Mobilitätslösungen, die an regionale Gegebenheiten angepasst sind, und regelt insbesondere die Elektrifizierung des Fuhrparks sowie die Förderung nachhaltiger Alternativen.</w:t>
        <w:br/>
        <w:t>- Fröbel Leitfaden für Küchenteams: legt Mindeststandards für eine klimafreundliche und gesunde Ernährung fest. Durch den Einsatz regionaler und ökologischer Lebensmittel trägt er zur Reduktion von THG-Emissionen im Bereich Verpflegung bei.</w:t>
        <w:br/>
        <w:b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rPr>
          <w:rFonts w:ascii="Calibri" w:hAnsi="Calibri"/>
          <w:b w:val="0"/>
          <w:i w:val="0"/>
          <w:color w:val="1A1A1A"/>
          <w:sz w:val="21"/>
        </w:rPr>
        <w:t>Die folgende Tabelle zeigt die Angaben zu berücksichtigung von klimaschutz, anpassung an den klimawandel, energieeffizienz, erneuerbare energien und sonstige bereiche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0" w:after="80" w:line="276" w:lineRule="auto"/>
      </w:pPr>
      <w:r>
        <w:rPr>
          <w:rFonts w:ascii="Calibri" w:hAnsi="Calibri"/>
          <w:b w:val="0"/>
          <w:i w:val="0"/>
          <w:color w:val="1A1A1A"/>
          <w:sz w:val="21"/>
        </w:rPr>
        <w:t>Ergänzend: 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rPr>
          <w:rFonts w:ascii="Calibri" w:hAnsi="Calibri"/>
          <w:b w:val="0"/>
          <w:i w:val="0"/>
          <w:color w:val="1A1A1A"/>
          <w:sz w:val="21"/>
        </w:rPr>
        <w:t>Maßnahmen zum Klimawandel trifft zu. 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rPr>
          <w:rFonts w:ascii="Calibri" w:hAnsi="Calibri"/>
          <w:b w:val="0"/>
          <w:i w:val="0"/>
          <w:color w:val="1A1A1A"/>
          <w:sz w:val="21"/>
        </w:rPr>
        <w:t>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THG-Emissionsreduktionsziele und Basisdaten trifft zu.</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rPr>
          <w:rFonts w:ascii="Calibri" w:hAnsi="Calibri"/>
          <w:b w:val="0"/>
          <w:i w:val="0"/>
          <w:color w:val="1A1A1A"/>
          <w:sz w:val="21"/>
        </w:rP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pPr>
        <w:spacing w:before="0" w:after="80" w:line="276" w:lineRule="auto"/>
      </w:pPr>
      <w:r>
        <w:rPr>
          <w:rFonts w:ascii="Calibri" w:hAnsi="Calibri"/>
          <w:b w:val="0"/>
          <w:i w:val="0"/>
          <w:color w:val="1A1A1A"/>
          <w:sz w:val="21"/>
        </w:rP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pPr>
        <w:spacing w:before="0" w:after="80" w:line="276" w:lineRule="auto"/>
      </w:pPr>
      <w:r>
        <w:rPr>
          <w:rFonts w:ascii="Calibri" w:hAnsi="Calibri"/>
          <w:b w:val="0"/>
          <w:i w:val="0"/>
          <w:color w:val="1A1A1A"/>
          <w:sz w:val="21"/>
        </w:rP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pPr>
        <w:spacing w:before="0" w:after="80" w:line="276" w:lineRule="auto"/>
      </w:pPr>
      <w:r>
        <w:rPr>
          <w:rFonts w:ascii="Calibri" w:hAnsi="Calibri"/>
          <w:b w:val="0"/>
          <w:i w:val="0"/>
          <w:color w:val="1A1A1A"/>
          <w:sz w:val="21"/>
        </w:rP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rPr>
          <w:rFonts w:ascii="Calibri" w:hAnsi="Calibri"/>
          <w:b w:val="0"/>
          <w:i w:val="0"/>
          <w:color w:val="1A1A1A"/>
          <w:sz w:val="21"/>
        </w:rP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rPr>
          <w:rFonts w:ascii="Calibri" w:hAnsi="Calibri"/>
          <w:b w:val="0"/>
          <w:i w:val="0"/>
          <w:color w:val="1A1A1A"/>
          <w:sz w:val="21"/>
        </w:rPr>
        <w:t>Gesamtenergieverbrauch beläuft sich im Berichtszeitraum auf 21.635,9 MWh. 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rPr>
          <w:rFonts w:ascii="Calibri" w:hAnsi="Calibri"/>
          <w:b w:val="0"/>
          <w:i w:val="0"/>
          <w:color w:val="1A1A1A"/>
          <w:sz w:val="21"/>
        </w:rPr>
        <w:t>Für gesamtenergieverbrauch werden im Berichtsjahr 26,3 MWh ausgewiesen. 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rPr>
          <w:rFonts w:ascii="Calibri" w:hAnsi="Calibri"/>
          <w:b w:val="0"/>
          <w:i w:val="0"/>
          <w:color w:val="1A1A1A"/>
          <w:sz w:val="21"/>
        </w:rPr>
        <w:t>Gesamtenergieverbrauch beläuft sich im Berichtszeitraum auf 5.534,1 MWh. 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rPr>
          <w:rFonts w:ascii="Calibri" w:hAnsi="Calibri"/>
          <w:b w:val="0"/>
          <w:i w:val="0"/>
          <w:color w:val="1A1A1A"/>
          <w:sz w:val="21"/>
        </w:rPr>
        <w:t>Im Berichtsjahr beträgt gesamtenergieverbrauch 90,8 MWh. 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rPr>
          <w:rFonts w:ascii="Calibri" w:hAnsi="Calibri"/>
          <w:b w:val="0"/>
          <w:i w:val="0"/>
          <w:color w:val="1A1A1A"/>
          <w:sz w:val="21"/>
        </w:rPr>
        <w:t>Methodisch ist anzumerken: 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pStyle w:val="Heading2"/>
      </w:pPr>
      <w:r>
        <w:t>E1-6 – Brutto Scopes 1, 2, 3 und Gesamtemissionen von Treibhausgasen</w:t>
      </w:r>
    </w:p>
    <w:p>
      <w:pPr>
        <w:pStyle w:val="Heading3"/>
      </w:pPr>
      <w:r>
        <w:t>44 – Angabe der Treibhausgasemissionen</w:t>
      </w:r>
    </w:p>
    <w:p>
      <w:pPr>
        <w:spacing w:before="0" w:after="80" w:line="276" w:lineRule="auto"/>
      </w:pPr>
      <w:r>
        <w:rPr>
          <w:rFonts w:ascii="Calibri" w:hAnsi="Calibri"/>
          <w:b w:val="0"/>
          <w:i w:val="0"/>
          <w:color w:val="1A1A1A"/>
          <w:sz w:val="21"/>
        </w:rPr>
        <w:t>Die folgende Tabelle zeigt die Angaben zu angabe der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0" w:after="80" w:line="276" w:lineRule="auto"/>
      </w:pPr>
      <w:r>
        <w:rPr>
          <w:rFonts w:ascii="Calibri" w:hAnsi="Calibri"/>
          <w:b w:val="0"/>
          <w:i w:val="0"/>
          <w:color w:val="1A1A1A"/>
          <w:sz w:val="21"/>
        </w:rPr>
        <w:t>Ergänzend ist festzuhalten: 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rPr>
          <w:rFonts w:ascii="Calibri" w:hAnsi="Calibri"/>
          <w:b w:val="0"/>
          <w:i w:val="0"/>
          <w:color w:val="1A1A1A"/>
          <w:sz w:val="21"/>
        </w:rPr>
        <w:t>Die folgende Tabelle zeigt die Angaben zu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0" w:after="80" w:line="276" w:lineRule="auto"/>
      </w:pPr>
      <w:r>
        <w:rPr>
          <w:rFonts w:ascii="Calibri" w:hAnsi="Calibri"/>
          <w:b w:val="0"/>
          <w:i w:val="0"/>
          <w:color w:val="1A1A1A"/>
          <w:sz w:val="21"/>
        </w:rPr>
        <w:t>Ergänzend ist festzuhalten: 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rPr>
          <w:rFonts w:ascii="Calibri" w:hAnsi="Calibri"/>
          <w:b w:val="0"/>
          <w:i w:val="0"/>
          <w:color w:val="1A1A1A"/>
          <w:sz w:val="21"/>
        </w:rPr>
        <w:t>Die folgende Tabelle zeigt die Angaben zu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0" w:after="80" w:line="276" w:lineRule="auto"/>
      </w:pPr>
      <w:r>
        <w:rPr>
          <w:rFonts w:ascii="Calibri" w:hAnsi="Calibri"/>
          <w:b w:val="0"/>
          <w:i w:val="0"/>
          <w:color w:val="1A1A1A"/>
          <w:sz w:val="21"/>
        </w:rPr>
        <w:t>Ergänzend ist festzuhalten: 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rPr>
          <w:rFonts w:ascii="Calibri" w:hAnsi="Calibri"/>
          <w:b w:val="0"/>
          <w:i w:val="0"/>
          <w:color w:val="1A1A1A"/>
          <w:sz w:val="21"/>
        </w:rPr>
        <w:t>Der berichtete Wert für zusammenstellung von Scope-3-THG-Bruttoemissionen beträgt 17.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b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br/>
        <w:t>Primärdatenquote (gewichtet nach Emissionsanteilen, 2024): ca. 17 %, Modell-/Sekundärdaten: ca. 83 %.</w:t>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0" w:after="80" w:line="276" w:lineRule="auto"/>
      </w:pPr>
      <w:r>
        <w:rPr>
          <w:rFonts w:ascii="Calibri" w:hAnsi="Calibri"/>
          <w:b w:val="0"/>
          <w:i w:val="0"/>
          <w:color w:val="1A1A1A"/>
          <w:sz w:val="21"/>
        </w:rPr>
        <w:t>Ergänzend ist festzuhalten: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b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br/>
        <w:t>Primärdatenquote (gewichtet nach Emissionsanteilen, 2024): ca. 17 %, Modell-/Sekundärdaten: ca. 83 %.</w:t>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rPr>
          <w:rFonts w:ascii="Calibri" w:hAnsi="Calibri"/>
          <w:b w:val="0"/>
          <w:i w:val="0"/>
          <w:color w:val="1A1A1A"/>
          <w:sz w:val="21"/>
        </w:rPr>
        <w:t>Angabe der scope-1-thg-bruttoemissionen beläuft sich im Berichtsjahr auf 1.331,3; davon entfallen 9,8 auf angabe der scope-1-thg-bruttoemissionen aus emissionshandelssystemen.</w:t>
      </w:r>
    </w:p>
    <w:p>
      <w:pPr>
        <w:pStyle w:val="Heading3"/>
      </w:pPr>
      <w:r>
        <w:t>49 – Scope-2-THG-Bruttoemissionen</w:t>
      </w:r>
    </w:p>
    <w:p>
      <w:pPr>
        <w:spacing w:before="0" w:after="80" w:line="276" w:lineRule="auto"/>
      </w:pPr>
      <w:r>
        <w:rPr>
          <w:rFonts w:ascii="Calibri" w:hAnsi="Calibri"/>
          <w:b w:val="0"/>
          <w:i w:val="0"/>
          <w:color w:val="1A1A1A"/>
          <w:sz w:val="21"/>
        </w:rPr>
        <w:t>Was sind ihre standortbezogenen scope-2-thg-bruttoemissionen in tonnen co2-äquivalent beläuft sich im Berichtsjahr auf 4.060,783; davon entfallen 15.299,899 auf was sind ihre thg-gesamtemissionen in tonnen co2-äquivalent, 2.923,249 auf was sind ihre marktbezogenen scope-2-thg-bruttoemissionen in tonnen co2-äquivalent sowie 13.973,177 auf was sind ihre marktbezogenen thg-gesamtemissionen in tonnen co2-äquivalent.</w:t>
      </w:r>
    </w:p>
    <w:p>
      <w:pPr>
        <w:spacing w:before="0" w:after="80" w:line="276" w:lineRule="auto"/>
      </w:pPr>
      <w:r>
        <w:rPr>
          <w:rFonts w:ascii="Calibri" w:hAnsi="Calibri"/>
          <w:b w:val="0"/>
          <w:i w:val="0"/>
          <w:color w:val="1A1A1A"/>
          <w:sz w:val="21"/>
        </w:rPr>
        <w:t>Ergänzend ist festzuhalten: 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0" w:after="80" w:line="276" w:lineRule="auto"/>
      </w:pPr>
      <w:r>
        <w:rPr>
          <w:rFonts w:ascii="Calibri" w:hAnsi="Calibri"/>
          <w:b w:val="0"/>
          <w:i w:val="0"/>
          <w:color w:val="1A1A1A"/>
          <w:sz w:val="21"/>
        </w:rPr>
        <w:t>Ergänzend ist festzuhalten: 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rPr>
          <w:rFonts w:ascii="Calibri" w:hAnsi="Calibri"/>
          <w:b w:val="0"/>
          <w:i w:val="0"/>
          <w:color w:val="1A1A1A"/>
          <w:sz w:val="21"/>
        </w:rPr>
        <w:t>Was sind ihre standortbezogenen thg-gesamtemissionen in tonnen co2-äquivalent beläuft sich im Berichtsjahr auf 15.299,899 tCO₂e; davon entfallen 13.973,177 tCO₂e auf was sind ihre marktbezogenen thg-gesamtemissionen in tonnen co2-äquivalent.</w:t>
      </w:r>
    </w:p>
    <w:p>
      <w:pPr>
        <w:spacing w:before="0" w:after="80" w:line="276" w:lineRule="auto"/>
      </w:pPr>
      <w:r>
        <w:rPr>
          <w:rFonts w:ascii="Calibri" w:hAnsi="Calibri"/>
          <w:b w:val="0"/>
          <w:i w:val="0"/>
          <w:color w:val="1A1A1A"/>
          <w:sz w:val="21"/>
        </w:rPr>
        <w:t>Ergänzend ist festzuhalten: 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0" w:after="80" w:line="276" w:lineRule="auto"/>
      </w:pPr>
      <w:r>
        <w:rPr>
          <w:rFonts w:ascii="Calibri" w:hAnsi="Calibri"/>
          <w:b w:val="0"/>
          <w:i w:val="0"/>
          <w:color w:val="1A1A1A"/>
          <w:sz w:val="21"/>
        </w:rPr>
        <w:t>Ergänzend ist festzuhalten: 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explanation-driven]]</w:t>
      </w:r>
    </w:p>
    <w:p>
      <w:pPr>
        <w:pStyle w:val="Heading3"/>
      </w:pPr>
      <w:r>
        <w:t>AR 45 – Informationen zu Scope-2-THG-Bruttoemissionen und Energieinstrumenten</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100.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0" w:after="80" w:line="276" w:lineRule="auto"/>
      </w:pPr>
      <w:r>
        <w:rPr>
          <w:rFonts w:ascii="Calibri" w:hAnsi="Calibri"/>
          <w:b w:val="0"/>
          <w:i w:val="0"/>
          <w:color w:val="1A1A1A"/>
          <w:sz w:val="21"/>
        </w:rPr>
        <w:t>Methodisch ist anzumerken: 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Hat Ihr Unternehmen Aktivitäten zum Abbau und zur Speicherung von Treibhausgasen?: No</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0" w:after="80" w:line="276" w:lineRule="auto"/>
      </w:pPr>
      <w:r>
        <w:rPr>
          <w:rFonts w:ascii="Calibri" w:hAnsi="Calibri"/>
          <w:b w:val="0"/>
          <w:i w:val="0"/>
          <w:color w:val="1A1A1A"/>
          <w:sz w:val="21"/>
        </w:rPr>
        <w:t>Methodisch ist anzumerken: 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rPr>
          <w:rFonts w:ascii="Calibri" w:hAnsi="Calibri"/>
          <w:b w:val="0"/>
          <w:i w:val="0"/>
          <w:color w:val="1A1A1A"/>
          <w:sz w:val="21"/>
        </w:rPr>
        <w:t>Die folgende Tabelle zeigt die Angaben zu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0" w:after="80" w:line="276" w:lineRule="auto"/>
      </w:pPr>
      <w:r>
        <w:rPr>
          <w:rFonts w:ascii="Calibri" w:hAnsi="Calibri"/>
          <w:b w:val="0"/>
          <w:i w:val="0"/>
          <w:color w:val="1A1A1A"/>
          <w:sz w:val="21"/>
        </w:rPr>
        <w:t>Methodisch ist anzumerken: 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rPr>
          <w:rFonts w:ascii="Calibri" w:hAnsi="Calibri"/>
          <w:b w:val="0"/>
          <w:i w:val="0"/>
          <w:color w:val="1A1A1A"/>
          <w:sz w:val="21"/>
        </w:rPr>
        <w:t>Die folgende Tabelle zeigt die Angaben zu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Kommt es innerhalb der Unternehmenstätigkeiten und der vor- und nachgelagerten Wertschöpfungskette zur Entnahme oder Speicherung von Treibhausgas-Emissionen, die als CO₂-Zertifikate weiterverkauft werden?: No</w:t>
      </w:r>
    </w:p>
    <w:p>
      <w:pPr>
        <w:spacing w:before="0" w:after="80" w:line="276" w:lineRule="auto"/>
      </w:pPr>
      <w:r>
        <w:rPr>
          <w:rFonts w:ascii="Calibri" w:hAnsi="Calibri"/>
          <w:b w:val="0"/>
          <w:i w:val="0"/>
          <w:color w:val="1A1A1A"/>
          <w:sz w:val="21"/>
        </w:rPr>
        <w:t>Methodisch ist anzumerken: 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rPr>
          <w:rFonts w:ascii="Calibri" w:hAnsi="Calibri"/>
          <w:b w:val="0"/>
          <w:i w:val="0"/>
          <w:color w:val="1A1A1A"/>
          <w:sz w:val="21"/>
        </w:rPr>
        <w:t>Im Berichtsjahr beträgt wie viele co2-zertifikate außerhalb der wertschöpfungskette wurden gelöscht 0 tCO₂e; ergänzend werden 0 tCO₂e für geplante löschung von co2-zertifikate außerhalb der wertschöpfungskette ausgewiesen.</w:t>
      </w:r>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pStyle w:val="Heading2"/>
      </w:pPr>
      <w:r>
        <w:t>E1-8 – Interne CO2-Bepreisung</w:t>
      </w:r>
    </w:p>
    <w:p>
      <w:pPr>
        <w:pStyle w:val="Heading3"/>
      </w:pPr>
      <w:r>
        <w:t>62 – Internes CO2 Bepreisungssystem</w:t>
      </w:r>
    </w:p>
    <w:p>
      <w:pPr>
        <w:spacing w:before="0" w:after="80" w:line="276" w:lineRule="auto"/>
      </w:pPr>
      <w:r>
        <w:rPr>
          <w:rFonts w:ascii="Calibri" w:hAnsi="Calibri"/>
          <w:b w:val="0"/>
          <w:i w:val="0"/>
          <w:color w:val="1A1A1A"/>
          <w:sz w:val="21"/>
        </w:rPr>
        <w:t>Hat das Unternehmen einen internen CO2-Preis?: No</w:t>
      </w:r>
    </w:p>
    <w:p>
      <w:pPr>
        <w:spacing w:before="0" w:after="80" w:line="276" w:lineRule="auto"/>
      </w:pPr>
      <w:r>
        <w:rPr>
          <w:rFonts w:ascii="Calibri" w:hAnsi="Calibri"/>
          <w:b w:val="0"/>
          <w:i w:val="0"/>
          <w:color w:val="1A1A1A"/>
          <w:sz w:val="21"/>
        </w:rPr>
        <w:t>Zur Einordnung ist hinzuzufügen: Fröbel wendet zur Zeit keine internen CO2-Bepreisungssysteme an.</w:t>
      </w:r>
    </w:p>
    <w:p>
      <w:pPr>
        <w:pStyle w:val="Heading3"/>
      </w:pPr>
      <w:r>
        <w:t>AR 65 – Beschreibung der Verwendung von internen CO2 Bepreisunssystemen</w:t>
      </w:r>
    </w:p>
    <w:p>
      <w:pPr>
        <w:spacing w:before="0" w:after="80" w:line="276" w:lineRule="auto"/>
      </w:pPr>
      <w:r>
        <w:rPr>
          <w:rFonts w:ascii="Calibri" w:hAnsi="Calibri"/>
          <w:b w:val="0"/>
          <w:i w:val="0"/>
          <w:color w:val="1A1A1A"/>
          <w:sz w:val="21"/>
        </w:rPr>
        <w:t>Stimmen die internen CO2-Preise aus der Bewertung der Nutzungsdauer mit denen der Abschlüssen überein?: No</w:t>
      </w:r>
    </w:p>
    <w:p>
      <w:pPr>
        <w:spacing w:before="0" w:after="80" w:line="276" w:lineRule="auto"/>
      </w:pPr>
      <w:r>
        <w:rPr>
          <w:rFonts w:ascii="Calibri" w:hAnsi="Calibri"/>
          <w:b w:val="0"/>
          <w:i w:val="0"/>
          <w:color w:val="1A1A1A"/>
          <w:sz w:val="21"/>
        </w:rPr>
        <w:t>Stimmen die internen CO2-Preise aus der Wertminderung von Vermögenswerten mit denen der Abschlüssen überein?: No</w:t>
      </w:r>
    </w:p>
    <w:p>
      <w:pPr>
        <w:spacing w:before="0" w:after="80" w:line="276" w:lineRule="auto"/>
      </w:pPr>
      <w:r>
        <w:rPr>
          <w:rFonts w:ascii="Calibri" w:hAnsi="Calibri"/>
          <w:b w:val="0"/>
          <w:i w:val="0"/>
          <w:color w:val="1A1A1A"/>
          <w:sz w:val="21"/>
        </w:rPr>
        <w:t>Stimmen die internen CO2-Preise der Bemessung des beizulegenden Zeitwerts mit denen der Abschlüssen überein?: No</w:t>
      </w:r>
    </w:p>
    <w:p>
      <w:pPr>
        <w:spacing w:before="0" w:after="80" w:line="276" w:lineRule="auto"/>
      </w:pPr>
      <w:r>
        <w:rPr>
          <w:rFonts w:ascii="Calibri" w:hAnsi="Calibri"/>
          <w:b w:val="0"/>
          <w:i w:val="0"/>
          <w:color w:val="1A1A1A"/>
          <w:sz w:val="21"/>
        </w:rPr>
        <w:t>Zur Einordnung ist hinzuzufügen: 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Strategien für Arbeitskräfte und Management wesentlicher IROs trifft zu.</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Praktiken und Wirksamkeit der Mitarbeiterbeteiligung trifft zu.</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Ansatz und Verfahren für Abhilfemaßnahmen trifft zu.</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Einführung von Kanälen zur Meldung von Anliegen trifft zu.</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Maßnahmen im Zusammenhang mit eigener Arbeitskräfte (Beschäftigte und Fremdarbeitskräfte) trifft zu.</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Zusammensetzung der Belegschaft, Fluktuation und Berichtsmethodologien beläuft sich im Berichtszeitraum auf 1.163.</w:t>
      </w:r>
    </w:p>
    <w:p>
      <w:pPr>
        <w:spacing w:before="0" w:after="80" w:line="276" w:lineRule="auto"/>
      </w:pPr>
      <w:r>
        <w:rPr>
          <w:rFonts w:ascii="Calibri" w:hAnsi="Calibri"/>
          <w:b w:val="0"/>
          <w:i w:val="0"/>
          <w:color w:val="1A1A1A"/>
          <w:sz w:val="21"/>
        </w:rPr>
        <w:t>Zusammensetzung der Belegschaft, Fluktuation und Berichtsmethodologien beläuft sich im Berichtszeitraum auf 20,9.</w:t>
      </w:r>
    </w:p>
    <w:p>
      <w:pPr>
        <w:spacing w:before="0" w:after="80" w:line="276" w:lineRule="auto"/>
      </w:pPr>
      <w:r>
        <w:rPr>
          <w:rFonts w:ascii="Calibri" w:hAnsi="Calibri"/>
          <w:b w:val="0"/>
          <w:i w:val="0"/>
          <w:color w:val="1A1A1A"/>
          <w:sz w:val="21"/>
        </w:rPr>
        <w:t>Die Daten wurden aus der Personalmanagement Software ermittelt.</w:t>
      </w:r>
    </w:p>
    <w:p>
      <w:pPr>
        <w:spacing w:before="0" w:after="80" w:line="276" w:lineRule="auto"/>
      </w:pPr>
      <w:r>
        <w:rPr>
          <w:rFonts w:ascii="Calibri" w:hAnsi="Calibri"/>
          <w:b w:val="0"/>
          <w:i w:val="0"/>
          <w:color w:val="1A1A1A"/>
          <w:sz w:val="21"/>
        </w:rPr>
        <w:t>Personenzahl</w:t>
      </w:r>
    </w:p>
    <w:p>
      <w:pPr>
        <w:spacing w:before="0" w:after="80" w:line="276" w:lineRule="auto"/>
      </w:pPr>
      <w:r>
        <w:rPr>
          <w:rFonts w:ascii="Calibri" w:hAnsi="Calibri"/>
          <w:b w:val="0"/>
          <w:i w:val="0"/>
          <w:color w:val="1A1A1A"/>
          <w:sz w:val="21"/>
        </w:rPr>
        <w:t>Andere Methodik</w:t>
      </w:r>
    </w:p>
    <w:p>
      <w:pPr>
        <w:spacing w:before="0" w:after="80" w:line="276" w:lineRule="auto"/>
      </w:pPr>
      <w:r>
        <w:rPr>
          <w:rFonts w:ascii="Calibri" w:hAnsi="Calibri"/>
          <w:b w:val="0"/>
          <w:i w:val="0"/>
          <w:color w:val="1A1A1A"/>
          <w:sz w:val="21"/>
        </w:rPr>
        <w:t>keine</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70,4, 1,1, 75,02, 5,4</w:t>
      </w:r>
    </w:p>
    <w:p>
      <w:pPr>
        <w:spacing w:before="0" w:after="80" w:line="276" w:lineRule="auto"/>
      </w:pPr>
      <w:r>
        <w:rPr>
          <w:rFonts w:ascii="Calibri" w:hAnsi="Calibri"/>
          <w:b w:val="0"/>
          <w:i w:val="0"/>
          <w:color w:val="1A1A1A"/>
          <w:sz w:val="21"/>
        </w:rPr>
        <w:t xml:space="preserve">Der berichtete Wert für vergütungs- und Lohngleichheitskennzahlen beträgt 100.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0" w:after="80" w:line="276" w:lineRule="auto"/>
      </w:pPr>
      <w:r>
        <w:rPr>
          <w:rFonts w:ascii="Calibri" w:hAnsi="Calibri"/>
          <w:b w:val="0"/>
          <w:i w:val="0"/>
          <w:color w:val="1A1A1A"/>
          <w:sz w:val="21"/>
        </w:rPr>
        <w:t xml:space="preserve">Methodisch ist anzumerken: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Richtlinien zur Bewältigung wesentlicher Auswirkungen, Risiken und Chancen im Zusammenhang mit Verbrauchern und/oder Endnutzern trifft zu.</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Direkt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Strategien zum Schutz vor Vergeltungsmaßnahmen trifft zu.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spacing w:before="0" w:after="80" w:line="276" w:lineRule="auto"/>
      </w:pPr>
      <w:r>
        <w:rPr>
          <w:rFonts w:ascii="Calibri" w:hAnsi="Calibri"/>
          <w:b w:val="0"/>
          <w:i w:val="0"/>
          <w:color w:val="1A1A1A"/>
          <w:sz w:val="21"/>
        </w:rPr>
        <w:t>Zur Einordnung ist hinzuzufügen: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Maßnahmen im Zusammenhang mit Verbrauchern und Endnutzern trifft zu.</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Verfahren zur Zielsetzung und Zusammenarbeit mit Verbrauchern und Endnutzern bei der Zieldefinition trifft zu.</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