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Heading1"/>
        <w:jc w:val="center"/>
      </w:pPr>
      <w:r>
        <w:t>Sustainability statement</w:t>
      </w:r>
    </w:p>
    <w:p>
      <w:pPr>
        <w:pStyle w:val="Heading2"/>
        <w:jc w:val="center"/>
      </w:pPr>
      <w:r>
        <w:t>2024</w:t>
      </w:r>
    </w:p>
    <w:p>
      <w:pPr>
        <w:pStyle w:val="Heading3"/>
        <w:jc w:val="center"/>
      </w:pPr>
      <w:r>
        <w:t>FRÖBEL e.V.</w:t>
      </w:r>
    </w:p>
    <w:p>
      <w:r>
        <w:br w:type="page"/>
      </w:r>
    </w:p>
    <w:p>
      <w:pPr/>
      <w:r>
        <w:rPr>
          <w:rFonts w:ascii="Calibri" w:hAnsi="Calibri"/>
          <w:b/>
          <w:i w:val="0"/>
          <w:color w:val="1A1A1A"/>
          <w:sz w:val="24"/>
        </w:rPr>
        <w:t>[Inhaltsverzeichnis]</w:t>
      </w:r>
    </w:p>
    <w:p>
      <w:pPr/>
      <w:r>
        <w:rPr>
          <w:rFonts w:ascii="Calibri" w:hAnsi="Calibri"/>
          <w:b w:val="0"/>
          <w:i w:val="0"/>
          <w:color w:val="707070"/>
          <w:sz w:val="21"/>
        </w:rPr>
        <w:t>[Platzhalter, wird extern befüllt]</w:t>
      </w:r>
    </w:p>
    <w:p>
      <w:r>
        <w:br w:type="page"/>
      </w:r>
    </w:p>
    <w:p>
      <w:pPr>
        <w:pStyle w:val="Heading1"/>
      </w:pPr>
      <w:r>
        <w:t>Allgemeine Informationen (ESRS 2)</w:t>
      </w:r>
    </w:p>
    <w:p>
      <w:pPr>
        <w:pStyle w:val="Heading2"/>
      </w:pPr>
      <w:r>
        <w:t>BP-1 – Allgemeine Grundlage für die Erstellung von Nachhaltigkeitsberichten</w:t>
      </w:r>
    </w:p>
    <w:p>
      <w:pPr>
        <w:pStyle w:val="Heading3"/>
      </w:pPr>
      <w:r>
        <w:t>5 – Allgemeine Grundlagen</w:t>
      </w:r>
    </w:p>
    <w:p>
      <w:pPr>
        <w:spacing w:before="0" w:after="80" w:line="276" w:lineRule="auto"/>
      </w:pPr>
      <w:r>
        <w:rPr>
          <w:rFonts w:ascii="Calibri" w:hAnsi="Calibri"/>
          <w:b w:val="0"/>
          <w:i w:val="0"/>
          <w:color w:val="1A1A1A"/>
          <w:sz w:val="21"/>
        </w:rPr>
        <w:t>Konsolidiert</w:t>
      </w:r>
    </w:p>
    <w:p>
      <w:pPr>
        <w:spacing w:before="0" w:after="80" w:line="276" w:lineRule="auto"/>
      </w:pPr>
      <w:r>
        <w:rPr>
          <w:rFonts w:ascii="Calibri" w:hAnsi="Calibri"/>
          <w:b w:val="0"/>
          <w:i w:val="0"/>
          <w:color w:val="1A1A1A"/>
          <w:sz w:val="21"/>
        </w:rPr>
        <w:t>Ja. Der Konsolidierungskreis der Nachhaltigkeitserklärung entspricht dem Konsolidierungskreis des Konzernabschlusses. Die Nachhaltigkeitserklärung bezieht sich ausschließlich auf die vollkonsolidierten Tochtergesellschaften Fröbel Bildung und Erziehung gGmbH, FRÖBEL Kinder in Bewegung gGmbH und FRÖBEL Akademie gGmbH.</w:t>
      </w:r>
    </w:p>
    <w:p>
      <w:pPr>
        <w:spacing w:before="0" w:after="80" w:line="276" w:lineRule="auto"/>
      </w:pPr>
      <w:r>
        <w:rPr>
          <w:rFonts w:ascii="Calibri" w:hAnsi="Calibri"/>
          <w:b w:val="0"/>
          <w:i w:val="0"/>
          <w:color w:val="1A1A1A"/>
          <w:sz w:val="21"/>
        </w:rPr>
        <w:t>Die genannten Gesellschaften erstellen jeweils eigene Jahresabschlüsse und Lageberichte. Auf deren Basis wird unter dem Dach des FRÖBEL e.V. ein konsolidierter Konzernabschluss einschließlich Konzernlagebericht erstellt. Weitere Beteiligungen, die im Konzernabschluss nach der Equity-Methode bilanziert oder von der Vollkonsolidierung ausgenommen sind, sind nicht Bestandteil der Nachhaltigkeitserklärung.</w:t>
      </w:r>
    </w:p>
    <w:p>
      <w:pPr>
        <w:spacing w:before="0" w:after="80" w:line="276" w:lineRule="auto"/>
      </w:pPr>
      <w:r>
        <w:rPr>
          <w:rFonts w:ascii="Calibri" w:hAnsi="Calibri"/>
          <w:b w:val="0"/>
          <w:i w:val="0"/>
          <w:color w:val="1A1A1A"/>
          <w:sz w:val="21"/>
        </w:rPr>
        <w:t>Die konsolidierte Nachhaltigkeitserklärung umfasst alle wesentlichen Tochtergesellschaften der Fröbel Bildung und Erziehung gGmbH. Ausgenommen sind: Comobilia Beteiligungsgesellschaft mbH, da sie keine operativen Einrichtungen betreibt und keine relevanten Nachhaltigkeitsdaten liefert; Fröbel International gGmbH, da die von ihr betriebenen Einrichtungen in Australien liegen; sowie Katholino Service gGmbH, da Fröbel nur 40 % der Anteile hält und diese Gesellschaft unter eigenem Namen einen CSRD-Bericht erstellt.</w:t>
      </w:r>
    </w:p>
    <w:p>
      <w:pPr>
        <w:spacing w:before="0" w:after="80" w:line="276" w:lineRule="auto"/>
      </w:pPr>
      <w:r>
        <w:rPr>
          <w:rFonts w:ascii="Calibri" w:hAnsi="Calibri"/>
          <w:b w:val="0"/>
          <w:i w:val="0"/>
          <w:color w:val="1A1A1A"/>
          <w:sz w:val="21"/>
        </w:rPr>
        <w:t>Die Nachhaltigkeitserklärung deckt die vor- und nachgelagerte Wertschöpfungskette der Fröbel Bildung und Erziehung gGmbH umfassend ab. In der doppelten Wesentlichkeitsanalyse (DWA) wurden alle relevanten vorgelagerten und nachgelagerten Teile der Wertschöpfungskette berücksichtigt, ebenso in der Bilanzierung der Treibhausgasemissionen. Vorgelagert umfasst dies Lieferanten von Materialien, Lernmitteln und Dienstleistungen, Lebensmittel, Energiebezug (Strom und Wärme) sowie externe Dienstleister. Nachgelagert umfasst die Wertschöpfungskette Kinder, Familien und Kooperationspartner, den Pendelverkehr von Mitarbeitenden zu den Arbeitsstätten, den Pendelverkehr der Familien zu den Einrichtungen sowie Abfall und Recycling. Durch die Berücksichtigung dieser Bereiche wird die Nachhaltigkeitsleistung entlang der gesamten Wertschöpfungskette transparent dargestellt</w:t>
      </w:r>
    </w:p>
    <w:p>
      <w:pPr>
        <w:pStyle w:val="Heading2"/>
      </w:pPr>
      <w:r>
        <w:t>GOV-1 – Die Rolle der Verwaltungs-, Management- und Aufsichtsorgane</w:t>
      </w:r>
    </w:p>
    <w:p>
      <w:pPr>
        <w:pStyle w:val="Heading3"/>
      </w:pPr>
      <w:r>
        <w:t>21 – Zusammensetzung der Verwaltungs-, Leitungs- und Aufsichtsorgane</w:t>
      </w:r>
    </w:p>
    <w:p>
      <w:pPr>
        <w:spacing w:before="0" w:after="80" w:line="276" w:lineRule="auto"/>
      </w:pPr>
      <w:r>
        <w:rPr>
          <w:rFonts w:ascii="Calibri" w:hAnsi="Calibri"/>
          <w:b w:val="0"/>
          <w:i w:val="0"/>
          <w:color w:val="1A1A1A"/>
          <w:sz w:val="21"/>
        </w:rPr>
        <w:t>Für zusammensetzung der Verwaltungs-, Leitungs- und Aufsichtsorgane werden im Berichtsjahr 5 ausgewiesen.</w:t>
      </w:r>
    </w:p>
    <w:p>
      <w:pPr>
        <w:spacing w:before="0" w:after="80" w:line="276" w:lineRule="auto"/>
      </w:pPr>
      <w:r>
        <w:rPr>
          <w:rFonts w:ascii="Calibri" w:hAnsi="Calibri"/>
          <w:b w:val="0"/>
          <w:i w:val="0"/>
          <w:color w:val="1A1A1A"/>
          <w:sz w:val="21"/>
        </w:rPr>
        <w:t>Für zusammensetzung der Verwaltungs-, Leitungs- und Aufsichtsorgane werden im Berichtsjahr 26 ausgewiesen.</w:t>
      </w:r>
    </w:p>
    <w:p>
      <w:pPr>
        <w:spacing w:before="0" w:after="80" w:line="276" w:lineRule="auto"/>
      </w:pPr>
      <w:r>
        <w:rPr>
          <w:rFonts w:ascii="Calibri" w:hAnsi="Calibri"/>
          <w:b w:val="0"/>
          <w:i w:val="0"/>
          <w:color w:val="1A1A1A"/>
          <w:sz w:val="21"/>
        </w:rPr>
        <w:t>36. Gewählte Betriebsräte in 2022 in den Regionen West, Mitte, Ost, welche zum Teil auch den Gesamtbetriebsrat und die Schwerbehindertenvertretungen stellen.</w:t>
      </w:r>
    </w:p>
    <w:p>
      <w:pPr>
        <w:spacing w:before="0" w:after="80" w:line="276" w:lineRule="auto"/>
      </w:pPr>
      <w:r>
        <w:rPr>
          <w:rFonts w:ascii="Calibri" w:hAnsi="Calibri"/>
          <w:b w:val="0"/>
          <w:i w:val="0"/>
          <w:color w:val="1A1A1A"/>
          <w:sz w:val="21"/>
        </w:rPr>
        <w:t>Die Verwaltungs-, Leitungs- und Aufsichtsorgane von Fröbel verfügen über einen strukturierten Zugang zu fachlichem Wissen, das für den Sektor der frühkindlichen Bildung und Betreuung, die angebotenen Dienstleistungen sowie den geografischen Wirkungsraum des Unternehmens relevant ist.</w:t>
      </w:r>
    </w:p>
    <w:p>
      <w:pPr>
        <w:spacing w:before="0" w:after="80" w:line="276" w:lineRule="auto"/>
      </w:pPr>
      <w:r>
        <w:rPr>
          <w:rFonts w:ascii="Calibri" w:hAnsi="Calibri"/>
          <w:b w:val="0"/>
          <w:i w:val="0"/>
          <w:color w:val="1A1A1A"/>
          <w:sz w:val="21"/>
        </w:rPr>
        <w:t>Der Zugang erfolgt insbesondere über interne Fachabteilungen, darunter Pädagogik, Kinderschutz, Personal, Recht/Compliance sowie Nachhaltigkeit, die regelmäßig fachliche Einschätzungen, Berichte und Entscheidungsvorlagen zu wesentlichen Auswirkungen, Risiken und Chancen bereitstellen. Diese Expertise deckt sowohl pädagogische und soziale Themen (z. B. Kinderschutz, Inklusion, Qualität der Betreuung) als auch regulatorische, arbeitsrechtliche und nachhaltigkeitsbezogene Fragestellungen ab.</w:t>
      </w:r>
    </w:p>
    <w:p>
      <w:pPr>
        <w:spacing w:before="0" w:after="80" w:line="276" w:lineRule="auto"/>
      </w:pPr>
      <w:r>
        <w:rPr>
          <w:rFonts w:ascii="Calibri" w:hAnsi="Calibri"/>
          <w:b w:val="0"/>
          <w:i w:val="0"/>
          <w:color w:val="1A1A1A"/>
          <w:sz w:val="21"/>
        </w:rPr>
        <w:t>Ergänzend greift das Unternehmen auf externe Fachberatung zurück, etwa in den Bereichen Nachhaltigkeitsberichterstattung, Recht, Arbeitsschutz und Qualitätsentwicklung. Schulungen, Workshops und themenspezifische Informationsformate unterstützen zusätzlich den Wissensaufbau und die Aktualisierung relevanter Kenntnisse auf Leitungs- und Aufsichtsebene.</w:t>
      </w:r>
    </w:p>
    <w:p>
      <w:pPr>
        <w:spacing w:before="0" w:after="80" w:line="276" w:lineRule="auto"/>
      </w:pPr>
      <w:r>
        <w:rPr>
          <w:rFonts w:ascii="Calibri" w:hAnsi="Calibri"/>
          <w:b w:val="0"/>
          <w:i w:val="0"/>
          <w:color w:val="1A1A1A"/>
          <w:sz w:val="21"/>
        </w:rPr>
        <w:t>Auf dieser Grundlage sind die Verwaltungs-, Leitungs- und Aufsichtsorgane in der Lage, wesentliche Auswirkungen, Risiken und Chancen im Zusammenhang mit dem Geschäftsmodell, den Dienstleistungen und den regionalen Rahmenbedingungen sachgerecht zu bewerten und in strategische und operative Entscheidungen einzubeziehen.</w:t>
      </w:r>
    </w:p>
    <w:p>
      <w:pPr>
        <w:spacing w:before="0" w:after="80" w:line="276" w:lineRule="auto"/>
      </w:pPr>
      <w:r>
        <w:rPr>
          <w:rFonts w:ascii="Calibri" w:hAnsi="Calibri"/>
          <w:b w:val="0"/>
          <w:i w:val="0"/>
          <w:color w:val="1A1A1A"/>
          <w:sz w:val="21"/>
        </w:rPr>
        <w:t>Die folgende Tabelle zeigt die Angaben zu zusammensetzung der verwaltungs-, leitungs- und aufsichtsorgane.</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 oder anderer Diversitätsaspekt</w:t>
            </w:r>
          </w:p>
        </w:tc>
        <w:tc>
          <w:tcPr>
            <w:tcW w:type="dxa" w:w="4533"/>
            <w:shd w:val="clear" w:color="auto" w:fill="1C462D"/>
          </w:tcPr>
          <w:p>
            <w:r>
              <w:rPr>
                <w:rFonts w:ascii="Calibri" w:hAnsi="Calibri"/>
                <w:b/>
                <w:i w:val="0"/>
                <w:color w:val="FFFFFF"/>
                <w:sz w:val="18"/>
              </w:rPr>
              <w:t>Prozentualer Anteil</w:t>
            </w:r>
          </w:p>
        </w:tc>
      </w:tr>
      <w:tr>
        <w:tc>
          <w:tcPr>
            <w:tcW w:type="dxa" w:w="4533"/>
            <w:shd w:val="clear" w:color="auto" w:fill="EBF3EE"/>
          </w:tcPr>
          <w:p>
            <w:r>
              <w:rPr>
                <w:rFonts w:ascii="Calibri" w:hAnsi="Calibri"/>
                <w:b w:val="0"/>
                <w:i w:val="0"/>
                <w:color w:val="1A1A1A"/>
                <w:sz w:val="18"/>
              </w:rPr>
              <w:t>Geschäftsführende Mitglieder: Männer</w:t>
            </w:r>
          </w:p>
        </w:tc>
        <w:tc>
          <w:tcPr>
            <w:tcW w:type="dxa" w:w="4533"/>
            <w:shd w:val="clear" w:color="auto" w:fill="EBF3EE"/>
          </w:tcPr>
          <w:p>
            <w:r>
              <w:rPr>
                <w:rFonts w:ascii="Calibri" w:hAnsi="Calibri"/>
                <w:b w:val="0"/>
                <w:i w:val="0"/>
                <w:color w:val="1A1A1A"/>
                <w:sz w:val="18"/>
              </w:rPr>
              <w:t>75 %</w:t>
            </w:r>
          </w:p>
        </w:tc>
      </w:tr>
      <w:tr>
        <w:tc>
          <w:tcPr>
            <w:tcW w:type="dxa" w:w="4533"/>
            <w:shd w:val="clear" w:color="auto" w:fill="FFFFFF"/>
          </w:tcPr>
          <w:p>
            <w:r>
              <w:rPr>
                <w:rFonts w:ascii="Calibri" w:hAnsi="Calibri"/>
                <w:b w:val="0"/>
                <w:i w:val="0"/>
                <w:color w:val="1A1A1A"/>
                <w:sz w:val="18"/>
              </w:rPr>
              <w:t>Geschäftsführende Mitglieder: Frauen</w:t>
            </w:r>
          </w:p>
        </w:tc>
        <w:tc>
          <w:tcPr>
            <w:tcW w:type="dxa" w:w="4533"/>
            <w:shd w:val="clear" w:color="auto" w:fill="FFFFFF"/>
          </w:tcPr>
          <w:p>
            <w:r>
              <w:rPr>
                <w:rFonts w:ascii="Calibri" w:hAnsi="Calibri"/>
                <w:b w:val="0"/>
                <w:i w:val="0"/>
                <w:color w:val="1A1A1A"/>
                <w:sz w:val="18"/>
              </w:rPr>
              <w:t>25 %</w:t>
            </w:r>
          </w:p>
        </w:tc>
      </w:tr>
      <w:tr>
        <w:tc>
          <w:tcPr>
            <w:tcW w:type="dxa" w:w="4533"/>
            <w:shd w:val="clear" w:color="auto" w:fill="EBF3EE"/>
          </w:tcPr>
          <w:p>
            <w:r>
              <w:rPr>
                <w:rFonts w:ascii="Calibri" w:hAnsi="Calibri"/>
                <w:b w:val="0"/>
                <w:i w:val="0"/>
                <w:color w:val="1A1A1A"/>
                <w:sz w:val="18"/>
              </w:rPr>
              <w:t>Nicht geschäftsführende Mitglieder: Frauen</w:t>
            </w:r>
          </w:p>
        </w:tc>
        <w:tc>
          <w:tcPr>
            <w:tcW w:type="dxa" w:w="4533"/>
            <w:shd w:val="clear" w:color="auto" w:fill="EBF3EE"/>
          </w:tcPr>
          <w:p>
            <w:r>
              <w:rPr>
                <w:rFonts w:ascii="Calibri" w:hAnsi="Calibri"/>
                <w:b w:val="0"/>
                <w:i w:val="0"/>
                <w:color w:val="1A1A1A"/>
                <w:sz w:val="18"/>
              </w:rPr>
              <w:t>38,5 %</w:t>
            </w:r>
          </w:p>
        </w:tc>
      </w:tr>
      <w:tr>
        <w:tc>
          <w:tcPr>
            <w:tcW w:type="dxa" w:w="4533"/>
            <w:shd w:val="clear" w:color="auto" w:fill="FFFFFF"/>
          </w:tcPr>
          <w:p>
            <w:r>
              <w:rPr>
                <w:rFonts w:ascii="Calibri" w:hAnsi="Calibri"/>
                <w:b w:val="0"/>
                <w:i w:val="0"/>
                <w:color w:val="1A1A1A"/>
                <w:sz w:val="18"/>
              </w:rPr>
              <w:t>Nicht geschäftsführende Mitglieder: Männer</w:t>
            </w:r>
          </w:p>
        </w:tc>
        <w:tc>
          <w:tcPr>
            <w:tcW w:type="dxa" w:w="4533"/>
            <w:shd w:val="clear" w:color="auto" w:fill="FFFFFF"/>
          </w:tcPr>
          <w:p>
            <w:r>
              <w:rPr>
                <w:rFonts w:ascii="Calibri" w:hAnsi="Calibri"/>
                <w:b w:val="0"/>
                <w:i w:val="0"/>
                <w:color w:val="1A1A1A"/>
                <w:sz w:val="18"/>
              </w:rPr>
              <w:t>61,5 %</w:t>
            </w:r>
          </w:p>
        </w:tc>
      </w:tr>
    </w:tbl>
    <w:p/>
    <w:p>
      <w:pPr>
        <w:spacing w:before="0" w:after="80" w:line="276" w:lineRule="auto"/>
      </w:pPr>
      <w:r>
        <w:rPr>
          <w:rFonts w:ascii="Calibri" w:hAnsi="Calibri"/>
          <w:b w:val="0"/>
          <w:i w:val="0"/>
          <w:color w:val="1A1A1A"/>
          <w:sz w:val="21"/>
        </w:rPr>
        <w:t>Die folgende Tabelle zeigt die Angaben zu zusammensetzung der verwaltungs-, leitungs- und aufsichtsorgane.</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Weiblich</w:t>
            </w:r>
          </w:p>
        </w:tc>
        <w:tc>
          <w:tcPr>
            <w:tcW w:type="dxa" w:w="4533"/>
            <w:shd w:val="clear" w:color="auto" w:fill="EBF3EE"/>
          </w:tcPr>
          <w:p>
            <w:r>
              <w:rPr>
                <w:rFonts w:ascii="Calibri" w:hAnsi="Calibri"/>
                <w:b w:val="0"/>
                <w:i w:val="0"/>
                <w:color w:val="1A1A1A"/>
                <w:sz w:val="18"/>
              </w:rPr>
              <w:t>35,5 %</w:t>
            </w:r>
          </w:p>
        </w:tc>
      </w:tr>
      <w:tr>
        <w:tc>
          <w:tcPr>
            <w:tcW w:type="dxa" w:w="4533"/>
            <w:shd w:val="clear" w:color="auto" w:fill="FFFFFF"/>
          </w:tcPr>
          <w:p>
            <w:r>
              <w:rPr>
                <w:rFonts w:ascii="Calibri" w:hAnsi="Calibri"/>
                <w:b w:val="0"/>
                <w:i w:val="0"/>
                <w:color w:val="1A1A1A"/>
                <w:sz w:val="18"/>
              </w:rPr>
              <w:t>Männlich</w:t>
            </w:r>
          </w:p>
        </w:tc>
        <w:tc>
          <w:tcPr>
            <w:tcW w:type="dxa" w:w="4533"/>
            <w:shd w:val="clear" w:color="auto" w:fill="FFFFFF"/>
          </w:tcPr>
          <w:p>
            <w:r>
              <w:rPr>
                <w:rFonts w:ascii="Calibri" w:hAnsi="Calibri"/>
                <w:b w:val="0"/>
                <w:i w:val="0"/>
                <w:color w:val="1A1A1A"/>
                <w:sz w:val="18"/>
              </w:rPr>
              <w:t>65,5 %</w:t>
            </w:r>
          </w:p>
        </w:tc>
      </w:tr>
    </w:tbl>
    <w:p/>
    <w:p>
      <w:pPr>
        <w:spacing w:before="0" w:after="80" w:line="276" w:lineRule="auto"/>
      </w:pPr>
      <w:r>
        <w:rPr>
          <w:rFonts w:ascii="Calibri" w:hAnsi="Calibri"/>
          <w:b w:val="0"/>
          <w:i w:val="0"/>
          <w:color w:val="1A1A1A"/>
          <w:sz w:val="21"/>
        </w:rPr>
        <w:t>Im Berichtsjahr beträgt zusammensetzung der Verwaltungs-, Leitungs- und Aufsichtsorgane 83,9.</w:t>
      </w:r>
    </w:p>
    <w:p>
      <w:pPr>
        <w:spacing w:before="0" w:after="80" w:line="276" w:lineRule="auto"/>
      </w:pPr>
      <w:r>
        <w:rPr>
          <w:rFonts w:ascii="Calibri" w:hAnsi="Calibri"/>
          <w:b w:val="0"/>
          <w:i w:val="0"/>
          <w:color w:val="1A1A1A"/>
          <w:sz w:val="21"/>
        </w:rPr>
        <w:t xml:space="preserve">Die Anzahl der nicht geschäftsführenden Mitglieder und nicht geschäftsführenden Mitglieder nach Organisationen: </w:t>
        <w:br/>
        <w:t>- Fröbel e.V.: 1 / 1</w:t>
        <w:br/>
        <w:t>- Fröbel Bildung und Erziehung gGmbH: 1 / 11</w:t>
        <w:br/>
        <w:t>- Fröbek Kinder in Bewegung gGmbH : 1 / 3</w:t>
        <w:br/>
        <w:t>- Fröbel Akademie gGmbH: 2 / 4</w:t>
        <w:br/>
        <w:t>- Fröbel Aufsichtsrat: 0 / 7</w:t>
        <w:br/>
        <w:br/>
        <w:t>Stefan Spieker nimmt als Vorstandsvorsitzender des Fröbel e.V., Geschäftsführer der Fröbel Bildung und Erziehung und Geschäftsführer Kinder in Bewegung gGmbH und Fröbel Akademie gGmbH eine Mehrfachfunktion ein. Bei den Organisationen werden Rollen, nicht Personen gezählt.</w:t>
      </w:r>
    </w:p>
    <w:p>
      <w:pPr>
        <w:pStyle w:val="Heading3"/>
      </w:pPr>
      <w:r>
        <w:t>22 – Zuständigkeiten der Verwaltungs-, Leitungs- und Aufsichtsorgane</w:t>
      </w:r>
    </w:p>
    <w:p>
      <w:pPr>
        <w:spacing w:before="0" w:after="80" w:line="276" w:lineRule="auto"/>
      </w:pPr>
      <w:r>
        <w:rPr>
          <w:rFonts w:ascii="Calibri" w:hAnsi="Calibri"/>
          <w:b w:val="0"/>
          <w:i w:val="0"/>
          <w:color w:val="1A1A1A"/>
          <w:sz w:val="21"/>
        </w:rPr>
        <w:t>Die Überwachung der Auswirkungen, Risiken und Chancen der Fröbel Bildung und Erziehung gGmbH erfolgt durch die Geschäftsführung als Leitungsorgan. Die Verwaltungs- und Aufsichtsfunktion gegenüber der Fröbel Bildung und Erziehung gGmbH wird durch den Aufsichtsrat des Fröbel e. V. wahrgenommen, der die Geschäftsführung überwacht und die strategische Steuerung begleitet.</w:t>
      </w:r>
    </w:p>
    <w:p>
      <w:pPr>
        <w:spacing w:before="0" w:after="80" w:line="276" w:lineRule="auto"/>
      </w:pPr>
      <w:r>
        <w:rPr>
          <w:rFonts w:ascii="Calibri" w:hAnsi="Calibri"/>
          <w:b w:val="0"/>
          <w:i w:val="0"/>
          <w:color w:val="1A1A1A"/>
          <w:sz w:val="21"/>
        </w:rPr>
        <w:t>Die Zuständigkeiten für die Steuerung und Überwachung der Auswirkungen, Risiken und Chancen der Fröbel Bildung und Erziehung gGmbH ergeben sich aus den allgemeinen Leitungs- und Überwachungsaufgaben der Unternehmensorgane sowie aus der strategischen Verankerung des Themas Nachhaltigkeit.</w:t>
      </w:r>
    </w:p>
    <w:p>
      <w:pPr>
        <w:spacing w:before="0" w:after="80" w:line="276" w:lineRule="auto"/>
      </w:pPr>
      <w:r>
        <w:rPr>
          <w:rFonts w:ascii="Calibri" w:hAnsi="Calibri"/>
          <w:b w:val="0"/>
          <w:i w:val="0"/>
          <w:color w:val="1A1A1A"/>
          <w:sz w:val="21"/>
        </w:rPr>
        <w:t>Die Geschäftsführung der Fröbel Bildung und Erziehung gGmbH berücksichtigt wesentliche Auswirkungen, Risiken und Chancen im Rahmen der Unternehmenssteuerung und der Umsetzung der Nachhaltigkeitsstrategie. Hierzu erfolgt eine regelmäßige Berichterstattung zu relevanten nachhaltigkeitsbezogenen Themen.</w:t>
      </w:r>
    </w:p>
    <w:p>
      <w:pPr>
        <w:spacing w:before="0" w:after="80" w:line="276" w:lineRule="auto"/>
      </w:pPr>
      <w:r>
        <w:rPr>
          <w:rFonts w:ascii="Calibri" w:hAnsi="Calibri"/>
          <w:b w:val="0"/>
          <w:i w:val="0"/>
          <w:color w:val="1A1A1A"/>
          <w:sz w:val="21"/>
        </w:rPr>
        <w:t>Der Aufsichtsrat des Fröbel e. V. nimmt im Rahmen seiner Aufsichtsfunktion gegenüber der Fröbel Bildung und Erziehung gGmbH die Überwachung dieser Themen wahr und wird im Rahmen der Berichterstattung in die Bewertung wesentlicher Auswirkungen, Risiken und Chancen einbezogen.</w:t>
      </w:r>
    </w:p>
    <w:p>
      <w:pPr>
        <w:spacing w:before="0" w:after="80" w:line="276" w:lineRule="auto"/>
      </w:pPr>
      <w:r>
        <w:rPr>
          <w:rFonts w:ascii="Calibri" w:hAnsi="Calibri"/>
          <w:b w:val="0"/>
          <w:i w:val="0"/>
          <w:color w:val="1A1A1A"/>
          <w:sz w:val="21"/>
        </w:rPr>
        <w:t>Die Überwachung der Auswirkungen, Risiken und Chancen der Fröbel Bildung und Erziehung gGmbH stützt sich auf die fachlichen Kompetenzen der Geschäftsführung sowie des Aufsichtsrats des Fröbel e. V.</w:t>
      </w:r>
    </w:p>
    <w:p>
      <w:pPr>
        <w:spacing w:before="0" w:after="80" w:line="276" w:lineRule="auto"/>
      </w:pPr>
      <w:r>
        <w:rPr>
          <w:rFonts w:ascii="Calibri" w:hAnsi="Calibri"/>
          <w:b w:val="0"/>
          <w:i w:val="0"/>
          <w:color w:val="1A1A1A"/>
          <w:sz w:val="21"/>
        </w:rPr>
        <w:t>Die Geschäftsführung verfügt über unternehmensbezogene Kenntnisse zu strategischen, operativen und nachhaltigkeitsbezogenen Fragestellungen und bezieht Aspekte zu Auswirkungen, Risiken und Chancen in ihre Entscheidungsfindung ein.</w:t>
      </w:r>
    </w:p>
    <w:p>
      <w:pPr>
        <w:spacing w:before="0" w:after="80" w:line="276" w:lineRule="auto"/>
      </w:pPr>
      <w:r>
        <w:rPr>
          <w:rFonts w:ascii="Calibri" w:hAnsi="Calibri"/>
          <w:b w:val="0"/>
          <w:i w:val="0"/>
          <w:color w:val="1A1A1A"/>
          <w:sz w:val="21"/>
        </w:rPr>
        <w:t>Der Aufsichtsrat bringt im Rahmen seiner Überwachungsfunktion fachliche Erfahrung aus unterschiedlichen beruflichen Hintergründen ein. Nachhaltigkeitsbezogene Themen sowie wesentliche Auswirkungen, Risiken und Chancen werden bei Bedarf in Sitzungen behandelt. Eine regelmäßige oder formal festgelegte Befassung erfolgt derzeit nicht.</w:t>
      </w:r>
    </w:p>
    <w:p>
      <w:pPr>
        <w:spacing w:before="0" w:after="80" w:line="276" w:lineRule="auto"/>
      </w:pPr>
      <w:r>
        <w:rPr>
          <w:rFonts w:ascii="Calibri" w:hAnsi="Calibri"/>
          <w:b w:val="0"/>
          <w:i w:val="0"/>
          <w:color w:val="1A1A1A"/>
          <w:sz w:val="21"/>
        </w:rPr>
        <w:t>Bei der Fröbel Bildung und Erziehung gGmbH ist die fachliche Unterstützung zu Auswirkungen, Risiken und Chancen auf operativer Ebene bestimmten Funktionen zugeordnet. Die Geschäftsführung wird hierbei insbesondere durch den Referenten für Nachhaltigkeit sowie unterstützend durch die Referentin für Bildung für nachhaltige Entwicklung (BNE).</w:t>
      </w:r>
    </w:p>
    <w:p>
      <w:pPr>
        <w:spacing w:before="0" w:after="80" w:line="276" w:lineRule="auto"/>
      </w:pPr>
      <w:r>
        <w:rPr>
          <w:rFonts w:ascii="Calibri" w:hAnsi="Calibri"/>
          <w:b w:val="0"/>
          <w:i w:val="0"/>
          <w:color w:val="1A1A1A"/>
          <w:sz w:val="21"/>
        </w:rPr>
        <w:t>Diese Funktionen bereiten relevante Informationen und fachliche Einschätzungen zu nachhaltigkeitsbezogenen Themen vor und stellen diese der Geschäftsführung zur Verfügung. Die Aufsicht über die Wahrnehmung dieser Aufgaben sowie über die Berücksichtigung der Themen Auswirkungen, Risiken und Chancen erfolgt durch die Geschäftsführung selbst sowie durch den Aufsichtsrat des Fröbel e. V. im Rahmen seiner Aufsichtsfunktion gegenüber der Fröbel Bildung und Erziehung gGmbH.</w:t>
      </w:r>
    </w:p>
    <w:p>
      <w:pPr>
        <w:spacing w:before="0" w:after="80" w:line="276" w:lineRule="auto"/>
      </w:pPr>
      <w:r>
        <w:rPr>
          <w:rFonts w:ascii="Calibri" w:hAnsi="Calibri"/>
          <w:b w:val="0"/>
          <w:i w:val="0"/>
          <w:color w:val="1A1A1A"/>
          <w:sz w:val="21"/>
        </w:rPr>
        <w:t>Die Berichterstattung zu wesentlichen Auswirkungen, Risiken und Chancen der Fröbel Bildung und Erziehung gGmbH erfolgt über schriftliche interne Berichtsformate.</w:t>
      </w:r>
    </w:p>
    <w:p>
      <w:pPr>
        <w:spacing w:before="0" w:after="80" w:line="276" w:lineRule="auto"/>
      </w:pPr>
      <w:r>
        <w:rPr>
          <w:rFonts w:ascii="Calibri" w:hAnsi="Calibri"/>
          <w:b w:val="0"/>
          <w:i w:val="0"/>
          <w:color w:val="1A1A1A"/>
          <w:sz w:val="21"/>
        </w:rPr>
        <w:t>Die Geschäftsführung wird im Rahmen der laufenden Unternehmenssteuerung sowie anlassbezogen schriftlich über relevante nachhaltigkeitsbezogene Themen informiert. Die Aufbereitung der Informationen erfolgt unter Einbindung der zuständigen Fachfunktionen, insbesondere des Referenten für Nachhaltigkeit sowie der Referentin für Bildung für nachhaltige Entwicklung (BNE).</w:t>
      </w:r>
    </w:p>
    <w:p>
      <w:pPr>
        <w:spacing w:before="0" w:after="80" w:line="276" w:lineRule="auto"/>
      </w:pPr>
      <w:r>
        <w:rPr>
          <w:rFonts w:ascii="Calibri" w:hAnsi="Calibri"/>
          <w:b w:val="0"/>
          <w:i w:val="0"/>
          <w:color w:val="1A1A1A"/>
          <w:sz w:val="21"/>
        </w:rPr>
        <w:t>Der Aufsichtsrat des Fröbel e. V. wird im Rahmen seiner Aufsichtsfunktion gegenüber der Fröbel Bildung und Erziehung gGmbH schriftlich über wesentliche Auswirkungen, Risiken und Chancen informiert, insbesondere im Zusammenhang mit strategischen Fragestellungen und relevanten Entscheidungsbedarfen.</w:t>
      </w:r>
    </w:p>
    <w:p>
      <w:pPr>
        <w:spacing w:before="0" w:after="80" w:line="276" w:lineRule="auto"/>
      </w:pPr>
      <w:r>
        <w:rPr>
          <w:rFonts w:ascii="Calibri" w:hAnsi="Calibri"/>
          <w:b w:val="0"/>
          <w:i w:val="0"/>
          <w:color w:val="1A1A1A"/>
          <w:sz w:val="21"/>
        </w:rPr>
        <w:t>Bei der Fröbel bestehen derzeit keine gesonderten, formalisierten Kontrollsysteme oder speziellen Verfahren ausschließlich für das Management von Auswirkungen, Risiken und Chancen.</w:t>
      </w:r>
    </w:p>
    <w:p>
      <w:pPr>
        <w:spacing w:before="0" w:after="80" w:line="276" w:lineRule="auto"/>
      </w:pPr>
      <w:r>
        <w:rPr>
          <w:rFonts w:ascii="Calibri" w:hAnsi="Calibri"/>
          <w:b w:val="0"/>
          <w:i w:val="0"/>
          <w:color w:val="1A1A1A"/>
          <w:sz w:val="21"/>
        </w:rPr>
        <w:t>Die Steuerung und Kontrolle dieser Themen erfolgt im Rahmen bestehender interner Steuerungs- und Berichtsprozesse sowie durch die Umsetzung der Nachhaltigkeitsstrategie. Die Identifikation, Bewertung und Aufbereitung relevanter Aspekte erfolgt unter Einbindung der zuständigen Fachfunktionen, insbesondere des Referenten für Nachhaltigkeit sowie der Referentin für Bildung für nachhaltige Entwicklung (BNE).</w:t>
      </w:r>
    </w:p>
    <w:p>
      <w:pPr>
        <w:spacing w:before="0" w:after="80" w:line="276" w:lineRule="auto"/>
      </w:pPr>
      <w:r>
        <w:rPr>
          <w:rFonts w:ascii="Calibri" w:hAnsi="Calibri"/>
          <w:b w:val="0"/>
          <w:i w:val="0"/>
          <w:color w:val="1A1A1A"/>
          <w:sz w:val="21"/>
        </w:rPr>
        <w:t>Die gewonnenen Erkenntnisse werden in die Entscheidungsprozesse der Geschäftsführung integriert und fließen in die schriftliche Berichterstattung an den Aufsichtsrat des Fröbel e. V. ein. Damit sind Aspekte zu Auswirkungen, Risiken und Chancen in die bestehenden internen Funktionen und Steuerungsprozesse eingebettet.</w:t>
      </w:r>
    </w:p>
    <w:p>
      <w:pPr>
        <w:spacing w:before="0" w:after="80" w:line="276" w:lineRule="auto"/>
      </w:pPr>
      <w:r>
        <w:rPr>
          <w:rFonts w:ascii="Calibri" w:hAnsi="Calibri"/>
          <w:b w:val="0"/>
          <w:i w:val="0"/>
          <w:color w:val="1A1A1A"/>
          <w:sz w:val="21"/>
        </w:rPr>
        <w:t>Die Festlegung von Zielen im Zusammenhang mit wesentlichen Auswirkungen, Risiken und Chancen bei Fröbel erfolgen im Rahmen der strategischen Unternehmenssteuerung, insbesondere auf Grundlage der Nachhaltigkeitsstrategie.</w:t>
      </w:r>
    </w:p>
    <w:p>
      <w:pPr>
        <w:spacing w:before="0" w:after="80" w:line="276" w:lineRule="auto"/>
      </w:pPr>
      <w:r>
        <w:rPr>
          <w:rFonts w:ascii="Calibri" w:hAnsi="Calibri"/>
          <w:b w:val="0"/>
          <w:i w:val="0"/>
          <w:color w:val="1A1A1A"/>
          <w:sz w:val="21"/>
        </w:rPr>
        <w:t>Die Geschäftsführung überwacht die Fortschritte bei der Erreichung dieser Ziele im Rahmen der laufenden Unternehmenssteuerung sowie auf Basis der schriftlichen Berichterstattung zu relevanten nachhaltigkeitsbezogenen Themen. Die inhaltliche Aufbereitung der Zielerreichung und des Fortschritts erfolgt unter Einbindung der zuständigen Fachfunktionen, insbesondere des Referenten für Nachhaltigkeit.</w:t>
      </w:r>
    </w:p>
    <w:p>
      <w:pPr>
        <w:spacing w:before="0" w:after="80" w:line="276" w:lineRule="auto"/>
      </w:pPr>
      <w:r>
        <w:rPr>
          <w:rFonts w:ascii="Calibri" w:hAnsi="Calibri"/>
          <w:b w:val="0"/>
          <w:i w:val="0"/>
          <w:color w:val="1A1A1A"/>
          <w:sz w:val="21"/>
        </w:rPr>
        <w:t>Der Aufsichtsrat des Fröbel e. V. wird im Rahmen seiner Aufsichtsfunktion gegenüber der Fröbel Bildung und Erziehung gGmbH anlassbezogen über die Zielsetzung sowie über wesentliche Fortschritte oder Abweichungen bei der Zielerreichung informiert und begleitet die strategische Weiterentwicklung.</w:t>
      </w:r>
    </w:p>
    <w:p>
      <w:pPr>
        <w:pStyle w:val="Heading3"/>
      </w:pPr>
      <w:r>
        <w:t>23 – Fähigkeiten und Fachkenntnisse</w:t>
      </w:r>
    </w:p>
    <w:p>
      <w:pPr>
        <w:spacing w:before="0" w:after="80" w:line="276" w:lineRule="auto"/>
      </w:pPr>
      <w:r>
        <w:rPr>
          <w:rFonts w:ascii="Calibri" w:hAnsi="Calibri"/>
          <w:b w:val="0"/>
          <w:i w:val="0"/>
          <w:color w:val="1A1A1A"/>
          <w:sz w:val="21"/>
        </w:rPr>
        <w:t>Zur Überwachung nachhaltigkeitsbezogener Aspekte stellen die Verwaltungs-, Leitungs- und Aufsichtsorgane von Fröbel sicher, dass geeignete fachliche Fähigkeiten verfügbar sind. Dies erfolgt durch die gezielte Einbindung interner Fachfunktionen sowie durch den Zugriff auf externe Expertise, sodass nachhaltigkeitsbezogene Fragestellungen sachgerecht eingeordnet und bewertet werden können.</w:t>
      </w:r>
    </w:p>
    <w:p>
      <w:pPr>
        <w:spacing w:before="0" w:after="80" w:line="276" w:lineRule="auto"/>
      </w:pPr>
      <w:r>
        <w:rPr>
          <w:rFonts w:ascii="Calibri" w:hAnsi="Calibri"/>
          <w:b w:val="0"/>
          <w:i w:val="0"/>
          <w:color w:val="1A1A1A"/>
          <w:sz w:val="21"/>
        </w:rPr>
        <w:t>Nachhaltigkeitsbezogenes Fachwissen steht den Organen sowohl organisationsintern als auch über externe Unterstützung zur Verfügung. Intern bringen der Referent für Nachhaltigkeit sowie die Referentin für Bildung für nachhaltige Entwicklung (BNE) fachliche Kenntnisse zu ökologischen, sozialen und pädagogischen Nachhaltigkeitsthemen ein. Ergänzend greift Fröbel auf externe Beratung zurück, insbesondere durch die Zusammenarbeit mit der Nachhaltigkeitsagentur Planted, über die methodische und fachliche Unterstützung zu Nachhaltigkeits- und Klimathemen in Anspruch genommen wird.</w:t>
      </w:r>
    </w:p>
    <w:p>
      <w:pPr>
        <w:spacing w:before="0" w:after="80" w:line="276" w:lineRule="auto"/>
      </w:pPr>
      <w:r>
        <w:rPr>
          <w:rFonts w:ascii="Calibri" w:hAnsi="Calibri"/>
          <w:b w:val="0"/>
          <w:i w:val="0"/>
          <w:color w:val="1A1A1A"/>
          <w:sz w:val="21"/>
        </w:rPr>
        <w:t>Die verfügbaren Fähigkeiten und Fachkenntnisse sind unmittelbar auf die wesentlichen Auswirkungen, Risiken und Chancen der Fröbel Bildung und Erziehung gGmbH ausgerichtet. Sie wurden gezielt in die Durchführung der doppelten Wesentlichkeitsanalyse eingebunden und bildeten die fachliche Grundlage für die Identifikation und Bewertung der wesentlichen IROs. Auf dieser Basis werden nachhaltigkeitsbezogene Themen weiterentwickelt und im Rahmen der Unternehmenssteuerung sowie der Überwachung durch die Organe berücksichtigt.</w:t>
      </w:r>
    </w:p>
    <w:p>
      <w:pPr>
        <w:pStyle w:val="Heading2"/>
      </w:pPr>
      <w:r>
        <w:t>GOV-2 – Informationen an die Verwaltungs-, Management- und Aufsichtsorgane des Unternehmens und behandelte Nachhaltigkeitsthemen</w:t>
      </w:r>
    </w:p>
    <w:p>
      <w:pPr>
        <w:pStyle w:val="Heading3"/>
      </w:pPr>
      <w:r>
        <w:t>26 – Informationen und Nachhaltigkeitsaspekte, mit denen sich die Verwaltungs-, Leitungs- und Aufsichtsorganen des Unternehmens befassen</w:t>
      </w:r>
    </w:p>
    <w:p>
      <w:pPr>
        <w:spacing w:before="0" w:after="80" w:line="276" w:lineRule="auto"/>
      </w:pPr>
      <w:r>
        <w:rPr>
          <w:rFonts w:ascii="Calibri" w:hAnsi="Calibri"/>
          <w:b w:val="0"/>
          <w:i w:val="0"/>
          <w:color w:val="1A1A1A"/>
          <w:sz w:val="21"/>
        </w:rPr>
        <w:t>Die Verwaltungs-, Leitungs- und Aufsichtsorgane von Fröbel werden über wesentliche Auswirkungen, Risiken und Chancen sowie über die Umsetzung der Sorgfaltspflicht im Bereich Nachhaltigkeit informiert. Die Geschäftsführung erhält entsprechende Informationen im Rahmen der laufenden Unternehmenssteuerung sowie anlassbezogen in schriftlicher Form. Die inhaltliche Aufbereitung erfolgt unter Einbindung der zuständigen Fachfunktionen, insbesondere des Referenten für Nachhaltigkeit sowie der Referentin für Bildung für nachhaltige Entwicklung (BNE). Im Rahmen seiner Aufsichtsfunktion gegenüber der Fröbel Bildung und Erziehung gGmbH wird der Aufsichtsrat des Fröbel e. V. schriftlich und anlassbezogen über wesentliche nachhaltigkeitsbezogene Themen, den Stand der Umsetzung beschlossener Strategien und Maßnahmen sowie über relevante Ergebnisse informiert.</w:t>
      </w:r>
    </w:p>
    <w:p>
      <w:pPr>
        <w:spacing w:before="0" w:after="80" w:line="276" w:lineRule="auto"/>
      </w:pPr>
      <w:r>
        <w:rPr>
          <w:rFonts w:ascii="Calibri" w:hAnsi="Calibri"/>
          <w:b w:val="0"/>
          <w:i w:val="0"/>
          <w:color w:val="1A1A1A"/>
          <w:sz w:val="21"/>
        </w:rPr>
        <w:t>Bei der Überwachung der Unternehmensstrategie der Fröbel Gruppe beziehen die Geschäftsführung sowie der Aufsichtsrat des Fröbel e. V. wesentliche Auswirkungen, Risiken und Chancen in ihre Betrachtungen ein, insbesondere soweit diese nachhaltigkeitsbezogene Themen betreffen. Diese Aspekte fließen in strategische Überlegungen sowie in die Priorisierung von Maßnahmen ein. Auch bei Entscheidungen über wesentliche Vorhaben und wichtige Transaktionen werden potenzielle Auswirkungen, Risiken und Chancen berücksichtigt, sofern sie für die Zielerreichung oder die nachhaltige Entwicklung des Unternehmens relevant sind. Die Einbindung erfolgt fallbezogen im Rahmen der bestehenden Entscheidungsprozesse. Das Risikomanagement der Fröbel Bildung und Erziehung gGmbH ist derzeit überwiegend qualitativ ausgestaltet. Nachhaltigkeitsbezogene Risiken und Chancen werden im Rahmen der strategischen Steuerung sowie der Berichterstattung aufgegriffen und in die Überwachung durch die Organe einbezogen. In diesem Zusammenhang können Abwägungen zwischen unterschiedlichen Zielsetzungen vorgenommen werden, etwa zwischen pädagogischen, wirtschaftlichen und nachhaltigkeitsbezogenen Anforderungen. Ein formalisiertes Verfahren zur Dokumentation solcher Kompromisse besteht derzeit nicht.</w:t>
      </w:r>
    </w:p>
    <w:p>
      <w:pPr>
        <w:spacing w:before="0" w:after="80" w:line="276" w:lineRule="auto"/>
      </w:pPr>
      <w:r>
        <w:rPr>
          <w:rFonts w:ascii="Calibri" w:hAnsi="Calibri"/>
          <w:b w:val="0"/>
          <w:i w:val="0"/>
          <w:color w:val="1A1A1A"/>
          <w:sz w:val="21"/>
        </w:rPr>
        <w:t>Während des Berichtszeitraums befassten sich die Verwaltungs-, Leitungs- und/oder Aufsichtsorgane mit folgenden wesentlichen Auswirkungen, Risiken und Chancen:</w:t>
      </w:r>
    </w:p>
    <w:p>
      <w:pPr>
        <w:spacing w:before="0" w:after="80" w:line="276" w:lineRule="auto"/>
      </w:pPr>
      <w:r>
        <w:rPr>
          <w:rFonts w:ascii="Calibri" w:hAnsi="Calibri"/>
          <w:b w:val="0"/>
          <w:i w:val="0"/>
          <w:color w:val="1A1A1A"/>
          <w:sz w:val="21"/>
        </w:rPr>
        <w:t>– Energieverbrauch und Treibhausgasemissionen aus dem Betrieb von Gebäuden – Klimaschutzmaßnahmen sowie die Reduktion klimabezogener Auswirkungen – Klimabezogene Risiken für den Betrieb, insbesondere im Zusammenhang mit Hitze und Extremwetterereignissen – Arbeitsbedingungen und Beschäftigungssituation der Mitarbeitenden – Fachkräftesicherung und Personalgewinnung – Qualität der frühkindlichen Bildung – Bildung für nachhaltige Entwicklung (BNE) – Gesellschaftliche Wirkung der pädagogischen Arbeit – Weiterentwicklung der Nachhaltigkeitsstrategie – Durchführung der doppelten Wesentlichkeitsanalyse – Nachhaltigkeitsbezogene Risiken und Chancen – Anforderungen aus der CSRD, den ESRS sowie der Nachhaltigkeitsberichterstattung</w:t>
      </w:r>
    </w:p>
    <w:p>
      <w:pPr>
        <w:pStyle w:val="Heading2"/>
      </w:pPr>
      <w:r>
        <w:t>GOV-3 – Integration der nachhaltigkeitsbezogenen Leistung in Anreizsysteme</w:t>
      </w:r>
    </w:p>
    <w:p>
      <w:pPr>
        <w:pStyle w:val="Heading3"/>
      </w:pPr>
      <w:r>
        <w:t>29 – Einbeziehung der nachhaltigkeitsbezogenen Leistung in Anreizsysteme</w:t>
      </w:r>
    </w:p>
    <w:p>
      <w:pPr>
        <w:spacing w:before="0" w:after="80" w:line="276" w:lineRule="auto"/>
      </w:pPr>
      <w:r>
        <w:rPr>
          <w:rFonts w:ascii="Calibri" w:hAnsi="Calibri"/>
          <w:b w:val="0"/>
          <w:i w:val="0"/>
          <w:color w:val="1A1A1A"/>
          <w:sz w:val="21"/>
        </w:rPr>
        <w:t>Für die Mitglieder der Verwaltungs-, Leitungs- und Aufsichtsorgane von Fröbel bestehen derzeit keine nachhaltigkeitsbezogenen Anreizsysteme. Die Vergütung der Organmitglieder ist nicht an nachhaltigkeitsbezogene Kriterien oder Zielsetzungen gekoppelt.</w:t>
      </w:r>
    </w:p>
    <w:p>
      <w:pPr>
        <w:spacing w:before="0" w:after="80" w:line="276" w:lineRule="auto"/>
      </w:pPr>
      <w:r>
        <w:rPr>
          <w:rFonts w:ascii="Calibri" w:hAnsi="Calibri"/>
          <w:b w:val="0"/>
          <w:i w:val="0"/>
          <w:color w:val="1A1A1A"/>
          <w:sz w:val="21"/>
        </w:rPr>
        <w:t>Eine Bewertung der Leistung von Mitgliedern der Verwaltungs-, Leitungs- und Aufsichtsorgane anhand spezifischer nachhaltigkeitsbezogener Ziele und/oder Auswirkungen erfolgt derzeit nicht.</w:t>
      </w:r>
    </w:p>
    <w:p>
      <w:pPr>
        <w:spacing w:before="0" w:after="80" w:line="276" w:lineRule="auto"/>
      </w:pPr>
      <w:r>
        <w:rPr>
          <w:rFonts w:ascii="Calibri" w:hAnsi="Calibri"/>
          <w:b w:val="0"/>
          <w:i w:val="0"/>
          <w:color w:val="1A1A1A"/>
          <w:sz w:val="21"/>
        </w:rPr>
        <w:t>Nachhaltigkeitsbezogene Leistungskennzahlen werden bisher weder als Leistungsrichtwerte herangezogen noch in die Vergütungspolitik für Mitglieder der Verwaltungs-, Leitungs- und Aufsichtsorgane einbezogen.</w:t>
      </w:r>
    </w:p>
    <w:p>
      <w:pPr>
        <w:spacing w:before="0" w:after="80" w:line="276" w:lineRule="auto"/>
      </w:pPr>
      <w:r>
        <w:rPr>
          <w:rFonts w:ascii="Calibri" w:hAnsi="Calibri"/>
          <w:b w:val="0"/>
          <w:i w:val="0"/>
          <w:color w:val="1A1A1A"/>
          <w:sz w:val="21"/>
        </w:rPr>
        <w:t>Da keine nachhaltigkeitsbezogenen Anreizsysteme bestehen, erfolgt derzeit keine Genehmigung oder Aktualisierung entsprechender Bedingungen auf einer bestimmten Zuständigkeitsebene im Unternehmen.</w:t>
      </w:r>
    </w:p>
    <w:p>
      <w:pPr>
        <w:pStyle w:val="Heading2"/>
      </w:pPr>
      <w:r>
        <w:t>GOV-4 – Erklärung zur Sorgfaltspflicht</w:t>
      </w:r>
    </w:p>
    <w:p>
      <w:pPr>
        <w:pStyle w:val="Heading3"/>
      </w:pPr>
      <w:r>
        <w:t>30 / 32 – Sorgfaltspflicht</w:t>
      </w:r>
    </w:p>
    <w:p>
      <w:pPr>
        <w:spacing w:before="0" w:after="80" w:line="276" w:lineRule="auto"/>
      </w:pPr>
      <w:r>
        <w:rPr>
          <w:rFonts w:ascii="Calibri" w:hAnsi="Calibri"/>
          <w:b w:val="0"/>
          <w:i w:val="0"/>
          <w:color w:val="1A1A1A"/>
          <w:sz w:val="21"/>
        </w:rPr>
        <w:t>Das Verfahren zur Erfüllung der Sorgfaltspflicht ist integraler Bestandteil der Governance-, Risiko- und Steuerungsprozesse von Fröbel und wird in der Nachhaltigkeitserklärung themenübergreifend abgebildet.</w:t>
      </w:r>
    </w:p>
    <w:p>
      <w:pPr>
        <w:spacing w:before="0" w:after="80" w:line="276" w:lineRule="auto"/>
      </w:pPr>
      <w:r>
        <w:rPr>
          <w:rFonts w:ascii="Calibri" w:hAnsi="Calibri"/>
          <w:b w:val="0"/>
          <w:i w:val="0"/>
          <w:color w:val="1A1A1A"/>
          <w:sz w:val="21"/>
        </w:rPr>
        <w:t>Die einzelnen Schritte der Sorgfaltspflicht nach ESRS 1 Kapitel 4 sind wie folgt in der Berichterstattung verankert:</w:t>
      </w:r>
    </w:p>
    <w:p>
      <w:pPr>
        <w:spacing w:before="0" w:after="80" w:line="276" w:lineRule="auto"/>
      </w:pPr>
      <w:r>
        <w:rPr>
          <w:rFonts w:ascii="Calibri" w:hAnsi="Calibri"/>
          <w:b w:val="0"/>
          <w:i w:val="0"/>
          <w:color w:val="1A1A1A"/>
          <w:sz w:val="21"/>
        </w:rPr>
        <w:t>1. Einbettung in Governance und Richtlinien Die Verankerung der Sorgfaltspflicht in Leitbild, Richtlinien, Kinderschutzkonzepten, Compliance-Vorgaben sowie im internen Meldesystem wird in den Abschnitten zu Governance (GOV), Richtlinien (MDR-P) sowie in den themenspezifischen Angaben (z. B. S1, S4, E1) beschrieben.</w:t>
      </w:r>
    </w:p>
    <w:p>
      <w:pPr>
        <w:spacing w:before="0" w:after="80" w:line="276" w:lineRule="auto"/>
      </w:pPr>
      <w:r>
        <w:rPr>
          <w:rFonts w:ascii="Calibri" w:hAnsi="Calibri"/>
          <w:b w:val="0"/>
          <w:i w:val="0"/>
          <w:color w:val="1A1A1A"/>
          <w:sz w:val="21"/>
        </w:rPr>
        <w:t>2. Ermittlung und Bewertung von Auswirkungen, Risiken und Chancen Die systematische Identifikation und Bewertung erfolgt im Rahmen der doppelten Wesentlichkeitsanalyse gemäß ESRS 2 IRO-1. Die Ergebnisse werden in den jeweiligen themenspezifischen Abschnitten offengelegt.</w:t>
      </w:r>
    </w:p>
    <w:p>
      <w:pPr>
        <w:spacing w:before="0" w:after="80" w:line="276" w:lineRule="auto"/>
      </w:pPr>
      <w:r>
        <w:rPr>
          <w:rFonts w:ascii="Calibri" w:hAnsi="Calibri"/>
          <w:b w:val="0"/>
          <w:i w:val="0"/>
          <w:color w:val="1A1A1A"/>
          <w:sz w:val="21"/>
        </w:rPr>
        <w:t>3. Präventions- und Minderungsmaßnahmen Konkrete Maßnahmen zur Vermeidung und Minderung negativer Auswirkungen sowie zur Nutzung von Chancen werden in den Abschnitten zu Maßnahmen (MDR-A) sowie in den themenspezifischen Angaben, insbesondere zu Kinderschutz, Arbeitsbedingungen, Verpflegung, Energie und Klimaschutz, dargestellt.</w:t>
      </w:r>
    </w:p>
    <w:p>
      <w:pPr>
        <w:spacing w:before="0" w:after="80" w:line="276" w:lineRule="auto"/>
      </w:pPr>
      <w:r>
        <w:rPr>
          <w:rFonts w:ascii="Calibri" w:hAnsi="Calibri"/>
          <w:b w:val="0"/>
          <w:i w:val="0"/>
          <w:color w:val="1A1A1A"/>
          <w:sz w:val="21"/>
        </w:rPr>
        <w:t>4. Überwachung der Wirksamkeit Die Überwachung erfolgt über Qualitätsmanagementprozesse, interne Kontrollen, Monitoring von Kennzahlen sowie strukturierte Feedback- und Beschwerdeverfahren. Die entsprechenden Verfahren sind in ESRS 2-36 sowie in den thematischen Abschnitten beschrieben.</w:t>
      </w:r>
    </w:p>
    <w:p>
      <w:pPr>
        <w:spacing w:before="0" w:after="80" w:line="276" w:lineRule="auto"/>
      </w:pPr>
      <w:r>
        <w:rPr>
          <w:rFonts w:ascii="Calibri" w:hAnsi="Calibri"/>
          <w:b w:val="0"/>
          <w:i w:val="0"/>
          <w:color w:val="1A1A1A"/>
          <w:sz w:val="21"/>
        </w:rPr>
        <w:t>5. Kommunikation Die Offenlegung der wesentlichen Auswirkungen, Risiken und Maßnahmen erfolgt in dieser Nachhaltigkeitserklärung. Zusätzlich bestehen interne und externe Kommunikationswege, insbesondere für Mitarbeitende, Familien und weitere Stakeholder.</w:t>
      </w:r>
    </w:p>
    <w:p>
      <w:pPr>
        <w:spacing w:before="0" w:after="80" w:line="276" w:lineRule="auto"/>
      </w:pPr>
      <w:r>
        <w:rPr>
          <w:rFonts w:ascii="Calibri" w:hAnsi="Calibri"/>
          <w:b w:val="0"/>
          <w:i w:val="0"/>
          <w:color w:val="1A1A1A"/>
          <w:sz w:val="21"/>
        </w:rPr>
        <w:t>6. Abhilfemechanismen Verfahren zur Bearbeitung von Beschwerden und zur Durchführung von Abhilfemaßnahmen sind in den Angaben zu Beschwerdekanälen, Ereignis- und Krisenmanagement sowie internen Meldesystemen dargestellt.</w:t>
      </w:r>
    </w:p>
    <w:p>
      <w:pPr>
        <w:pStyle w:val="Heading2"/>
      </w:pPr>
      <w:r>
        <w:t>GOV-5 – Risikomanagement und interne Kontrollen über die Nachhaltigkeitsberichterstattung</w:t>
      </w:r>
    </w:p>
    <w:p>
      <w:pPr>
        <w:pStyle w:val="Heading3"/>
      </w:pPr>
      <w:r>
        <w:t>36 – Risikomanagement und interne Kontrollen der Nachhaltigkeitsberichterstattung</w:t>
      </w:r>
    </w:p>
    <w:p>
      <w:pPr>
        <w:spacing w:before="0" w:after="80" w:line="276" w:lineRule="auto"/>
      </w:pPr>
      <w:r>
        <w:rPr>
          <w:rFonts w:ascii="Calibri" w:hAnsi="Calibri"/>
          <w:b w:val="0"/>
          <w:i w:val="0"/>
          <w:color w:val="1A1A1A"/>
          <w:sz w:val="21"/>
        </w:rPr>
        <w:t>Das Risikomanagement und die internen Kontrollen der Nachhaltigkeitsberichterstattung sind in die bestehenden Organisations-, Steuerungs- und Kontrollstrukturen des Unternehmens eingebettet. Ziel ist es, die Vollständigkeit, Nachvollziehbarkeit und Plausibilität der nachhaltigkeitsbezogenen Angaben sicherzustellen.</w:t>
      </w:r>
    </w:p>
    <w:p>
      <w:pPr>
        <w:spacing w:before="0" w:after="80" w:line="276" w:lineRule="auto"/>
      </w:pPr>
      <w:r>
        <w:rPr>
          <w:rFonts w:ascii="Calibri" w:hAnsi="Calibri"/>
          <w:b w:val="0"/>
          <w:i w:val="0"/>
          <w:color w:val="1A1A1A"/>
          <w:sz w:val="21"/>
        </w:rPr>
        <w:t>Zentrale Bestandteile sind: - klar definierte Zuständigkeiten für die Erhebung, Prüfung und Freigabe nachhaltigkeitsbezogener Daten, - standardisierte Erhebungs- und Dokumentationsprozesse für qualitative und quantitative Angaben (z. B. Energie, Mobilität, Verpflegung, Arbeitskräfte, Kinderschutz), - fachliche Plausibilitätsprüfungen durch zuständige Bereiche, - ein mehrstufiges internes Review-Verfahren auf operativer, fachlicher und zentraler Ebene.</w:t>
      </w:r>
    </w:p>
    <w:p>
      <w:pPr>
        <w:spacing w:before="0" w:after="80" w:line="276" w:lineRule="auto"/>
      </w:pPr>
      <w:r>
        <w:rPr>
          <w:rFonts w:ascii="Calibri" w:hAnsi="Calibri"/>
          <w:b w:val="0"/>
          <w:i w:val="0"/>
          <w:color w:val="1A1A1A"/>
          <w:sz w:val="21"/>
        </w:rPr>
        <w:t>Die Verfahren umfassen sowohl eigene Tätigkeiten als auch – soweit relevant – vorgelagerte Wertschöpfungsketten, insbesondere bei Daten mit modellbasiertem Charakter.</w:t>
      </w:r>
    </w:p>
    <w:p>
      <w:pPr>
        <w:spacing w:before="0" w:after="80" w:line="276" w:lineRule="auto"/>
      </w:pPr>
      <w:r>
        <w:rPr>
          <w:rFonts w:ascii="Calibri" w:hAnsi="Calibri"/>
          <w:b w:val="0"/>
          <w:i w:val="0"/>
          <w:color w:val="1A1A1A"/>
          <w:sz w:val="21"/>
        </w:rPr>
        <w:t>Die Risikobewertung erfolgt im Rahmen der Wesentlichkeitsanalyse gemäß ESRS 2 IRO-1 und wird für Zwecke der Nachhaltigkeitsberichterstattung weiter konkretisiert.</w:t>
      </w:r>
    </w:p>
    <w:p>
      <w:pPr>
        <w:spacing w:before="0" w:after="80" w:line="276" w:lineRule="auto"/>
      </w:pPr>
      <w:r>
        <w:rPr>
          <w:rFonts w:ascii="Calibri" w:hAnsi="Calibri"/>
          <w:b w:val="0"/>
          <w:i w:val="0"/>
          <w:color w:val="1A1A1A"/>
          <w:sz w:val="21"/>
        </w:rPr>
        <w:t>Risiken werden anhand folgender Kriterien bewertet und priorisiert: - potenzielle Auswirkungen auf Menschen, Umwelt und Unternehmenssteuerung, - Eintrittswahrscheinlichkeit von Fehldarstellungen oder unvollständigen Angaben, - Datenverfügbarkeit und -qualität (Primär- vs. Sekundärdaten, Modellierungen), - regulatorische Relevanz und Prüfungsrisiken.</w:t>
      </w:r>
    </w:p>
    <w:p>
      <w:pPr>
        <w:spacing w:before="0" w:after="80" w:line="276" w:lineRule="auto"/>
      </w:pPr>
      <w:r>
        <w:rPr>
          <w:rFonts w:ascii="Calibri" w:hAnsi="Calibri"/>
          <w:b w:val="0"/>
          <w:i w:val="0"/>
          <w:color w:val="1A1A1A"/>
          <w:sz w:val="21"/>
        </w:rPr>
        <w:t>Die Priorisierung erfolgt qualitativ und orientiert sich an der Relevanz für die Berichterstattung sowie an der potenziellen Auswirkung auf die Aussagekraft der Nachhaltigkeitserklärung.</w:t>
      </w:r>
    </w:p>
    <w:p>
      <w:pPr>
        <w:spacing w:before="0" w:after="80" w:line="276" w:lineRule="auto"/>
      </w:pPr>
      <w:r>
        <w:rPr>
          <w:rFonts w:ascii="Calibri" w:hAnsi="Calibri"/>
          <w:b w:val="0"/>
          <w:i w:val="0"/>
          <w:color w:val="1A1A1A"/>
          <w:sz w:val="21"/>
        </w:rPr>
        <w:t>Zu den wesentlichen Risiken in der Nachhaltigkeitsberichterstattung zählen insbesondere: - unvollständige oder uneinheitliche Datenverfügbarkeit über Standorte hinweg, - Abhängigkeit von modellierten Daten in einzelnen Themenfeldern (z. B. Mobilität, Verpflegung, vorgelagerte Emissionen), - Schnittstellenrisiken zwischen Fachbereichen, - Interpretationsspielräume bei neuen oder weiterentwickelten ESRS-Vorgaben.</w:t>
      </w:r>
    </w:p>
    <w:p>
      <w:pPr>
        <w:spacing w:before="0" w:after="80" w:line="276" w:lineRule="auto"/>
      </w:pPr>
      <w:r>
        <w:rPr>
          <w:rFonts w:ascii="Calibri" w:hAnsi="Calibri"/>
          <w:b w:val="0"/>
          <w:i w:val="0"/>
          <w:color w:val="1A1A1A"/>
          <w:sz w:val="21"/>
        </w:rPr>
        <w:t>Zur Minderung dieser Risiken werden u. a. folgende Kontrollen angewendet: - klare Definition von Datenquellen, Annahmen und Berechnungsmethoden, - fachliche Prüfung und Freigabe durch zuständige Bereiche, - Dokumentation zentraler Annahmen und Abgrenzungen, - Konsistenzprüfungen zwischen Textangaben, Kennzahlen und Methodenbeschreibungen.</w:t>
      </w:r>
    </w:p>
    <w:p>
      <w:pPr>
        <w:spacing w:before="0" w:after="80" w:line="276" w:lineRule="auto"/>
      </w:pPr>
      <w:r>
        <w:rPr>
          <w:rFonts w:ascii="Calibri" w:hAnsi="Calibri"/>
          <w:b w:val="0"/>
          <w:i w:val="0"/>
          <w:color w:val="1A1A1A"/>
          <w:sz w:val="21"/>
        </w:rPr>
        <w:t>Die Ergebnisse der Risikobewertung und der internen Kontrollen fließen systematisch in die Weiterentwicklung der Nachhaltigkeitsberichterstattung ein.</w:t>
      </w:r>
    </w:p>
    <w:p>
      <w:pPr>
        <w:spacing w:before="0" w:after="80" w:line="276" w:lineRule="auto"/>
      </w:pPr>
      <w:r>
        <w:rPr>
          <w:rFonts w:ascii="Calibri" w:hAnsi="Calibri"/>
          <w:b w:val="0"/>
          <w:i w:val="0"/>
          <w:color w:val="1A1A1A"/>
          <w:sz w:val="21"/>
        </w:rPr>
        <w:t>Identifizierte Risiken und Verbesserungspotenziale werden genutzt zur: - Anpassung von Erhebungs- und Dokumentationsprozessen, - Schärfung von Zuständigkeiten und Schnittstellen, - Weiterentwicklung interner Leitlinien und Arbeitshilfen, - Priorisierung von Maßnahmen zur Verbesserung der Datenqualität.</w:t>
      </w:r>
    </w:p>
    <w:p>
      <w:pPr>
        <w:spacing w:before="0" w:after="80" w:line="276" w:lineRule="auto"/>
      </w:pPr>
      <w:r>
        <w:rPr>
          <w:rFonts w:ascii="Calibri" w:hAnsi="Calibri"/>
          <w:b w:val="0"/>
          <w:i w:val="0"/>
          <w:color w:val="1A1A1A"/>
          <w:sz w:val="21"/>
        </w:rPr>
        <w:t>Die Erkenntnisse werden in den relevanten Fachbereichen berücksichtigt und in den jährlichen Berichterstattungsprozess integriert.</w:t>
      </w:r>
    </w:p>
    <w:p>
      <w:pPr>
        <w:spacing w:before="0" w:after="80" w:line="276" w:lineRule="auto"/>
      </w:pPr>
      <w:r>
        <w:rPr>
          <w:rFonts w:ascii="Calibri" w:hAnsi="Calibri"/>
          <w:b w:val="0"/>
          <w:i w:val="0"/>
          <w:color w:val="1A1A1A"/>
          <w:sz w:val="21"/>
        </w:rPr>
        <w:t>Über wesentliche Ergebnisse der Risikobewertung und der internen Kontrollen im Zusammenhang mit der Nachhaltigkeitsberichterstattung wird im Rahmen der internen Steuerungs- und Berichtslinien informiert.</w:t>
      </w:r>
    </w:p>
    <w:p>
      <w:pPr>
        <w:spacing w:before="0" w:after="80" w:line="276" w:lineRule="auto"/>
      </w:pPr>
      <w:r>
        <w:rPr>
          <w:rFonts w:ascii="Calibri" w:hAnsi="Calibri"/>
          <w:b w:val="0"/>
          <w:i w:val="0"/>
          <w:color w:val="1A1A1A"/>
          <w:sz w:val="21"/>
        </w:rPr>
        <w:t>Dies erfolgt insbesondere: - im Zuge der Erstellung und Abstimmung der Nachhaltigkeitserklärung, - im Rahmen von Berichten und Vorlagen an die Unternehmensleitung, - bei Bedarf in Berichten an den Aufsichtsrat, insbesondere bei wesentlichen Änderungen, Risiken oder Weiterentwicklungen der Berichterstattung.</w:t>
      </w:r>
    </w:p>
    <w:p>
      <w:pPr>
        <w:spacing w:before="0" w:after="80" w:line="276" w:lineRule="auto"/>
      </w:pPr>
      <w:r>
        <w:rPr>
          <w:rFonts w:ascii="Calibri" w:hAnsi="Calibri"/>
          <w:b w:val="0"/>
          <w:i w:val="0"/>
          <w:color w:val="1A1A1A"/>
          <w:sz w:val="21"/>
        </w:rPr>
        <w:t>Damit ist sichergestellt, dass die Leitungs- und Aufsichtsorgane in angemessener Weise über Risiken, Kontrollen und Weiterentwicklungen der Nachhaltigkeitsberichterstattung informiert sind.</w:t>
      </w:r>
    </w:p>
    <w:p>
      <w:pPr>
        <w:pStyle w:val="Heading2"/>
      </w:pPr>
      <w:r>
        <w:t>SBM-1 – Strategie, Geschäftsmodell und Wertschöpfungskette</w:t>
      </w:r>
    </w:p>
    <w:p>
      <w:pPr>
        <w:pStyle w:val="Heading3"/>
      </w:pPr>
      <w:r>
        <w:t>42 – Geschäftsmodell und Wertschöpfungskette</w:t>
      </w:r>
    </w:p>
    <w:p>
      <w:pPr>
        <w:spacing w:before="0" w:after="80" w:line="276" w:lineRule="auto"/>
      </w:pPr>
      <w:r>
        <w:rPr>
          <w:rFonts w:ascii="Calibri" w:hAnsi="Calibri"/>
          <w:b w:val="0"/>
          <w:i w:val="0"/>
          <w:color w:val="1A1A1A"/>
          <w:sz w:val="21"/>
        </w:rPr>
        <w:t>Fröbel erbringt Dienstleistungen der frühkindlichen Bildung, Betreuung und Erziehung. Das Geschäftsmodell basiert auf dem Betrieb von Kindertageseinrichtungen als zentrale Leistungserbringung. Endnutzer der Dienstleistungen sind die betreuten Kinder; Verbraucher im Sinne der Inanspruchnahme, Organisation und Kommunikation sind deren Eltern und Sorgeberechtigte. Die Leistungen werden überwiegend im öffentlichen Auftrag oder im Rahmen öffentlich finanzierter Betreuungsstrukturen erbracht.</w:t>
      </w:r>
    </w:p>
    <w:p>
      <w:pPr>
        <w:spacing w:before="0" w:after="80" w:line="276" w:lineRule="auto"/>
      </w:pPr>
      <w:r>
        <w:rPr>
          <w:rFonts w:ascii="Calibri" w:hAnsi="Calibri"/>
          <w:b w:val="0"/>
          <w:i w:val="0"/>
          <w:color w:val="1A1A1A"/>
          <w:sz w:val="21"/>
        </w:rPr>
        <w:t>Die Wertschöpfung erfolgt entlang einer klar abgegrenzten Kette aus vor-, inner- und nachgelagerten Stufen. Vorgelagerte Wertschöpfung umfasst insbesondere die Bereitstellung von Gebäuden und Infrastruktur, Energie und Wasser, Verpflegung, Reinigungs- und Instandhaltungsleistungen, pädagogische Materialien, IT-Leistungen sowie Fort- und Weiterbildungsangebote externer Anbieter. Diese Inputs sind Voraussetzung für den operativen Betrieb der Einrichtungen.</w:t>
      </w:r>
    </w:p>
    <w:p>
      <w:pPr>
        <w:spacing w:before="0" w:after="80" w:line="276" w:lineRule="auto"/>
      </w:pPr>
      <w:r>
        <w:rPr>
          <w:rFonts w:ascii="Calibri" w:hAnsi="Calibri"/>
          <w:b w:val="0"/>
          <w:i w:val="0"/>
          <w:color w:val="1A1A1A"/>
          <w:sz w:val="21"/>
        </w:rPr>
        <w:t>Die eigene Wertschöpfungsstufe liegt in der Organisation, Steuerung und Umsetzung der pädagogischen Arbeit in den Einrichtungen. Dazu zählen insbesondere die Betreuung und Förderung der Kinder, die Sicherstellung von Kinderschutz, Gesundheit und Sicherheit, die Umsetzung pädagogischer Konzepte, die Einbindung und Kommunikation mit Familien sowie die Qualitätssicherung und Weiterentwicklung der Leistungen auf Einrichtungs-, regionaler und Trägerebene.</w:t>
      </w:r>
    </w:p>
    <w:p>
      <w:pPr>
        <w:spacing w:before="0" w:after="80" w:line="276" w:lineRule="auto"/>
      </w:pPr>
      <w:r>
        <w:rPr>
          <w:rFonts w:ascii="Calibri" w:hAnsi="Calibri"/>
          <w:b w:val="0"/>
          <w:i w:val="0"/>
          <w:color w:val="1A1A1A"/>
          <w:sz w:val="21"/>
        </w:rPr>
        <w:t>Nachgelagerte Wirkungen entstehen durch die Nutzung der Dienstleistungen und betreffen unter anderem Bildungschancen der Kinder, soziale Teilhabe, die Vereinbarkeit von Familie und Beruf sowie Effekte auf lokale Gemeinschaften und öffentliche Strukturen. Die Wertschöpfungskette ist damit überwiegend dienstleistungs- und personenbezogen geprägt; materielle Produktionsprozesse spielen eine untergeordnete Rolle.</w:t>
      </w:r>
    </w:p>
    <w:p>
      <w:pPr>
        <w:spacing w:before="0" w:after="80" w:line="276" w:lineRule="auto"/>
      </w:pPr>
      <w:r>
        <w:rPr>
          <w:rFonts w:ascii="Calibri" w:hAnsi="Calibri"/>
          <w:b w:val="0"/>
          <w:i w:val="0"/>
          <w:color w:val="1A1A1A"/>
          <w:sz w:val="21"/>
        </w:rPr>
        <w:t>Die wesentlichen Inputs des Geschäftsmodells sind qualifizierte pädagogische Fachkräfte, geeignete Gebäude und Räumlichkeiten, pädagogische Konzepte und Materialien, Energie und Wasser, Verpflegungs- und Unterstützungsleistungen sowie organisatorische und digitale Infrastrukturen. Diese Inputs sind erforderlich, um die Dienstleistungen sicher, gesetzeskonform und in der geforderten Qualität erbringen zu können.</w:t>
      </w:r>
    </w:p>
    <w:p>
      <w:pPr>
        <w:spacing w:before="0" w:after="80" w:line="276" w:lineRule="auto"/>
      </w:pPr>
      <w:r>
        <w:rPr>
          <w:rFonts w:ascii="Calibri" w:hAnsi="Calibri"/>
          <w:b w:val="0"/>
          <w:i w:val="0"/>
          <w:color w:val="1A1A1A"/>
          <w:sz w:val="21"/>
        </w:rPr>
        <w:t>Die Sicherung und Entwicklung dieser Inputs erfolgt über strukturierte, standardisierte Prozesse. Pädagogische Fachkräfte werden über zentrale Personalgewinnung, Qualifizierungs- und Fortbildungsprogramme sowie verbindliche Standards im Bereich Pädagogik, Kinderschutz, Inklusion und Qualitätssicherung entwickelt und gehalten. Gebäude und Infrastruktur werden über Miet- oder Eigentumsverhältnisse bereitgestellt und durch regelmäßige Wartung, Sicherheits- und Hygienekonzepte sowie gezielte Investitionen gesichert.</w:t>
      </w:r>
    </w:p>
    <w:p>
      <w:pPr>
        <w:spacing w:before="0" w:after="80" w:line="276" w:lineRule="auto"/>
      </w:pPr>
      <w:r>
        <w:rPr>
          <w:rFonts w:ascii="Calibri" w:hAnsi="Calibri"/>
          <w:b w:val="0"/>
          <w:i w:val="0"/>
          <w:color w:val="1A1A1A"/>
          <w:sz w:val="21"/>
        </w:rPr>
        <w:t>Pädagogische Konzepte, Leitlinien und Standards werden zentral entwickelt, regelmäßig überprüft und organisationsweit implementiert. Die Versorgung mit Energie, Verpflegung und weiteren betrieblichen Leistungen erfolgt überwiegend über vertraglich gebundene externe Dienstleister oder kommunale Partner. Die Auswahl, Steuerung und Überwachung dieser Leistungen erfolgt über definierte Anforderungen, Qualitätskriterien und interne Kontrollmechanismen.</w:t>
      </w:r>
    </w:p>
    <w:p>
      <w:pPr>
        <w:spacing w:before="0" w:after="80" w:line="276" w:lineRule="auto"/>
      </w:pPr>
      <w:r>
        <w:rPr>
          <w:rFonts w:ascii="Calibri" w:hAnsi="Calibri"/>
          <w:b w:val="0"/>
          <w:i w:val="0"/>
          <w:color w:val="1A1A1A"/>
          <w:sz w:val="21"/>
        </w:rPr>
        <w:t>Die wesentlichen Outputs des Geschäftsmodells sind qualitativ hochwertige Betreuungs-, Bildungs- und Förderangebote für Kinder sowie begleitende Unterstützungs- und Kommunikationsleistungen für Familien. Daraus resultieren zentrale Ergebnisse wie sichere und verlässliche Betreuung, Förderung der frühkindlichen Entwicklung, Inklusion, Kinderschutz sowie die Unterstützung der Vereinbarkeit von Familie und Beruf.</w:t>
      </w:r>
    </w:p>
    <w:p>
      <w:pPr>
        <w:spacing w:before="0" w:after="80" w:line="276" w:lineRule="auto"/>
      </w:pPr>
      <w:r>
        <w:rPr>
          <w:rFonts w:ascii="Calibri" w:hAnsi="Calibri"/>
          <w:b w:val="0"/>
          <w:i w:val="0"/>
          <w:color w:val="1A1A1A"/>
          <w:sz w:val="21"/>
        </w:rPr>
        <w:t>Für Familien entsteht ein unmittelbarer Nutzen durch verlässliche Betreuung, pädagogische Qualität, transparente Kommunikation und Beteiligungsmöglichkeiten. Öffentliche Träger, Kommunen und Fördergeber profitieren von der Erfüllung gesetzlicher Betreuungsaufträge, stabilen Betriebsstrukturen und verlässlicher Qualitätssicherung. Für Mitarbeitende ergeben sich sichere Arbeitsplätze, Qualifizierungs- und Entwicklungsmöglichkeiten. Weitere Stakeholder – etwa Kommunen, Sozialräume und Kooperationspartner – profitieren von stabilen Bildungs- und Betreuungsangeboten, sozialer Teilhabe und gesellschaftlicher Wertschöpfung. Finanzielle Investoren im klassischen Sinne bestehen nicht; die wirtschaftliche Stabilität dient primär der langfristigen Sicherung des Angebots und der Erfüllung des gemeinnützigen Auftrags.</w:t>
      </w:r>
    </w:p>
    <w:p>
      <w:pPr>
        <w:spacing w:before="0" w:after="80" w:line="276" w:lineRule="auto"/>
      </w:pPr>
      <w:r>
        <w:rPr>
          <w:rFonts w:ascii="Calibri" w:hAnsi="Calibri"/>
          <w:b w:val="0"/>
          <w:i w:val="0"/>
          <w:color w:val="1A1A1A"/>
          <w:sz w:val="21"/>
        </w:rPr>
        <w:t>Fröbel ist als Träger von Kindertageseinrichtungen zentral in der eigenen operativen Wertschöpfungskette positioniert. Die vorgelagerte Wertschöpfungskette umfasst insbesondere Lieferanten und Dienstleister für Gebäude, Energie (Strom, Wärme), Verpflegung (Catering, Lebensmittel), Reinigungs- und Instandhaltungsleistungen, pädagogische Materialien, IT-Leistungen sowie Fort- und Weiterbildungsangebote. Diese Leistungen werden überwiegend extern bezogen und über vertragliche Beziehungen gesteuert.</w:t>
      </w:r>
    </w:p>
    <w:p>
      <w:pPr>
        <w:spacing w:before="0" w:after="80" w:line="276" w:lineRule="auto"/>
      </w:pPr>
      <w:r>
        <w:rPr>
          <w:rFonts w:ascii="Calibri" w:hAnsi="Calibri"/>
          <w:b w:val="0"/>
          <w:i w:val="0"/>
          <w:color w:val="1A1A1A"/>
          <w:sz w:val="21"/>
        </w:rPr>
        <w:t>Die eigene Wertschöpfungsstufe besteht in der Organisation und Durchführung der pädagogischen Arbeit, der Betreuung und Förderung der Kinder, der Zusammenarbeit mit Familien sowie der Umsetzung von Qualitäts-, Schutz- und Beteiligungskonzepten in den Einrichtungen. Nachgelagert wirkt die Wertschöpfungskette vor allem gesellschaftlich: durch positive Effekte auf Bildungschancen, soziale Teilhabe, Erwerbsbeteiligung von Eltern sowie auf lokale Gemeinschaften und Arbeitsmärkte. Endnutzer der Dienstleistungen sind die betreuten Kinder; Verbraucher im Sinne der Inanspruchnahme und Organisation der Leistungen sind deren Eltern und Sorgeberechtigte. Beziehungen zu diesen Gruppen sind langfristig angelegt und geprägt durch gesetzliche Rahmenbedingungen, pädagogische Standards und kontinuierliche Interaktion.</w:t>
      </w:r>
    </w:p>
    <w:p>
      <w:pPr>
        <w:pStyle w:val="Heading2"/>
      </w:pPr>
      <w:r>
        <w:t>SBM-3 – Materielle Auswirkungen, Risiken und Chancen und deren Interaktion mit Strategie und Geschäftsmodell</w:t>
      </w:r>
    </w:p>
    <w:p>
      <w:pPr>
        <w:pStyle w:val="Heading3"/>
      </w:pPr>
      <w:r>
        <w:t>48 – Wesentliche Auswirkungen, Risiken und Chancen und ihr Zusammenspiel mit Strategie und Geschäftsmodell</w:t>
      </w:r>
    </w:p>
    <w:p>
      <w:pPr>
        <w:spacing w:before="0" w:after="80" w:line="276" w:lineRule="auto"/>
      </w:pPr>
      <w:r>
        <w:rPr>
          <w:rFonts w:ascii="Calibri" w:hAnsi="Calibri"/>
          <w:b w:val="0"/>
          <w:i w:val="0"/>
          <w:color w:val="1A1A1A"/>
          <w:sz w:val="21"/>
        </w:rPr>
        <w:t>Die wesentlichen Auswirkungen des Unternehmens ergeben sich im Schwerpunkt aus der Erbringung frühkindlicher Bildungs-, Betreuungs- und Erziehungsleistungen sowie aus den hierfür erforderlichen unterstützenden Tätigkeiten.</w:t>
      </w:r>
    </w:p>
    <w:p>
      <w:pPr>
        <w:spacing w:before="0" w:after="80" w:line="276" w:lineRule="auto"/>
      </w:pPr>
      <w:r>
        <w:rPr>
          <w:rFonts w:ascii="Calibri" w:hAnsi="Calibri"/>
          <w:b w:val="0"/>
          <w:i w:val="0"/>
          <w:color w:val="1A1A1A"/>
          <w:sz w:val="21"/>
        </w:rP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pPr>
        <w:spacing w:before="0" w:after="80" w:line="276" w:lineRule="auto"/>
      </w:pPr>
      <w:r>
        <w:rPr>
          <w:rFonts w:ascii="Calibri" w:hAnsi="Calibri"/>
          <w:b w:val="0"/>
          <w:i w:val="0"/>
          <w:color w:val="1A1A1A"/>
          <w:sz w:val="21"/>
        </w:rP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pPr>
        <w:spacing w:before="0" w:after="80" w:line="276" w:lineRule="auto"/>
      </w:pPr>
      <w:r>
        <w:rPr>
          <w:rFonts w:ascii="Calibri" w:hAnsi="Calibri"/>
          <w:b w:val="0"/>
          <w:i w:val="0"/>
          <w:color w:val="1A1A1A"/>
          <w:sz w:val="21"/>
        </w:rPr>
        <w:t>Im Umweltbereich ergeben sich wesentliche Auswirkungen aus dem Energie- und Ressourcenverbrauch der Gebäude, aus Mobilität sowie aus vorgelagerten Wertschöpfungsketten, insbesondere der Beschaffung von Lebensmitteln, Energie und weiteren Betriebsmitteln.</w:t>
      </w:r>
    </w:p>
    <w:p>
      <w:pPr>
        <w:spacing w:before="0" w:after="80" w:line="276" w:lineRule="auto"/>
      </w:pPr>
      <w:r>
        <w:rPr>
          <w:rFonts w:ascii="Calibri" w:hAnsi="Calibri"/>
          <w:b w:val="0"/>
          <w:i w:val="0"/>
          <w:color w:val="1A1A1A"/>
          <w:sz w:val="21"/>
        </w:rPr>
        <w:t>Die wesentlichen Auswirkungen des Unternehmens ergeben sich im Schwerpunkt aus der Erbringung frühkindlicher Bildungs-, Betreuungs- und Erziehungsleistungen sowie aus den hierfür erforderlichen unterstützenden Tätigkeiten.</w:t>
      </w:r>
    </w:p>
    <w:p>
      <w:pPr>
        <w:spacing w:before="0" w:after="80" w:line="276" w:lineRule="auto"/>
      </w:pPr>
      <w:r>
        <w:rPr>
          <w:rFonts w:ascii="Calibri" w:hAnsi="Calibri"/>
          <w:b w:val="0"/>
          <w:i w:val="0"/>
          <w:color w:val="1A1A1A"/>
          <w:sz w:val="21"/>
        </w:rP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pPr>
        <w:spacing w:before="0" w:after="80" w:line="276" w:lineRule="auto"/>
      </w:pPr>
      <w:r>
        <w:rPr>
          <w:rFonts w:ascii="Calibri" w:hAnsi="Calibri"/>
          <w:b w:val="0"/>
          <w:i w:val="0"/>
          <w:color w:val="1A1A1A"/>
          <w:sz w:val="21"/>
        </w:rP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pPr>
        <w:spacing w:before="0" w:after="80" w:line="276" w:lineRule="auto"/>
      </w:pPr>
      <w:r>
        <w:rPr>
          <w:rFonts w:ascii="Calibri" w:hAnsi="Calibri"/>
          <w:b w:val="0"/>
          <w:i w:val="0"/>
          <w:color w:val="1A1A1A"/>
          <w:sz w:val="21"/>
        </w:rPr>
        <w:t>Im Umweltbereich ergeben sich wesentliche Auswirkungen aus dem Energie- und Ressourcenverbrauch der Gebäude, aus Mobilität sowie aus vorgelagerten Wertschöpfungsketten, insbesondere der Beschaffung von Lebensmitteln, Energie und weiteren Betriebsmitteln.</w:t>
      </w:r>
    </w:p>
    <w:p>
      <w:pPr>
        <w:spacing w:before="0" w:after="80" w:line="276" w:lineRule="auto"/>
      </w:pPr>
      <w:r>
        <w:rPr>
          <w:rFonts w:ascii="Calibri" w:hAnsi="Calibri"/>
          <w:b w:val="0"/>
          <w:i w:val="0"/>
          <w:color w:val="1A1A1A"/>
          <w:sz w:val="21"/>
        </w:rPr>
        <w:t>Das Geschäftsmodell ist darauf ausgerichtet, qualitativ hochwertige, sichere und verlässliche Betreuung einschließlich unterstützender Leistungen wie Verpflegung bereitzustellen. Die identifizierten Auswirkungen, Risiken und Chancen fließen in strategische Entscheidungen zur Qualitätsentwicklung, Standortsteuerung, Personalplanung, Gebäude- und Energieeffizienz sowie zur Organisation der Verpflegung ein.</w:t>
      </w:r>
    </w:p>
    <w:p>
      <w:pPr>
        <w:spacing w:before="0" w:after="80" w:line="276" w:lineRule="auto"/>
      </w:pPr>
      <w:r>
        <w:rPr>
          <w:rFonts w:ascii="Calibri" w:hAnsi="Calibri"/>
          <w:b w:val="0"/>
          <w:i w:val="0"/>
          <w:color w:val="1A1A1A"/>
          <w:sz w:val="21"/>
        </w:rPr>
        <w:t>Insbesondere Rückmeldungen von Familien, Ergebnisse aus Qualitäts- und Kinderschutzprozessen sowie Kostenentwicklungen beeinflussen operative und strategische Entscheidungen, etwa zur Weiterentwicklung pädagogischer Konzepte, zu Verpflegungslösungen oder zur Absicherung von Auslastung und Wirtschaftlichkeit.</w:t>
      </w:r>
    </w:p>
    <w:p>
      <w:pPr>
        <w:spacing w:before="0" w:after="80" w:line="276" w:lineRule="auto"/>
      </w:pPr>
      <w:r>
        <w:rPr>
          <w:rFonts w:ascii="Calibri" w:hAnsi="Calibri"/>
          <w:b w:val="0"/>
          <w:i w:val="0"/>
          <w:color w:val="1A1A1A"/>
          <w:sz w:val="21"/>
        </w:rPr>
        <w:t>Die wesentlichen positiven Auswirkungen betreffen die Entwicklung, das Wohlbefinden und die Gesundheit der betreuten Kinder sowie die Unterstützung der Familien bei der Vereinbarkeit von Familie und Beruf. Eine sichere Betreuung, inklusive Angebote und eine gesundheitsfördernde Ernährung wirken präventiv und langfristig.</w:t>
      </w:r>
    </w:p>
    <w:p>
      <w:pPr>
        <w:spacing w:before="0" w:after="80" w:line="276" w:lineRule="auto"/>
      </w:pPr>
      <w:r>
        <w:rPr>
          <w:rFonts w:ascii="Calibri" w:hAnsi="Calibri"/>
          <w:b w:val="0"/>
          <w:i w:val="0"/>
          <w:color w:val="1A1A1A"/>
          <w:sz w:val="21"/>
        </w:rPr>
        <w:t>Negative Auswirkungen könnten entstehen, wenn Schutz-, Qualitäts- oder Hygieneanforderungen nicht eingehalten werden. Umweltwirkungen ergeben sich insbesondere aus Energieverbrauch, Mobilität sowie aus der Lebensmittelproduktion, -verarbeitung und -entsorgung.</w:t>
      </w:r>
    </w:p>
    <w:p>
      <w:pPr>
        <w:spacing w:before="0" w:after="80" w:line="276" w:lineRule="auto"/>
      </w:pPr>
      <w:r>
        <w:rPr>
          <w:rFonts w:ascii="Calibri" w:hAnsi="Calibri"/>
          <w:b w:val="0"/>
          <w:i w:val="0"/>
          <w:color w:val="1A1A1A"/>
          <w:sz w:val="21"/>
        </w:rPr>
        <w:t>Die Auswirkungen stehen in direktem Zusammenhang mit dem Geschäftsmodell, da sie aus der täglichen Leistungserbringung in den Einrichtungen resultieren. Pädagogische Ausrichtung, Qualitätsstandards, Kinderschutz und die Organisation der Verpflegung sind strategische Steuerungshebel zur Beeinflussung dieser Auswirkungen.</w:t>
      </w:r>
    </w:p>
    <w:p>
      <w:pPr>
        <w:spacing w:before="0" w:after="80" w:line="276" w:lineRule="auto"/>
      </w:pPr>
      <w:r>
        <w:rPr>
          <w:rFonts w:ascii="Calibri" w:hAnsi="Calibri"/>
          <w:b w:val="0"/>
          <w:i w:val="0"/>
          <w:color w:val="1A1A1A"/>
          <w:sz w:val="21"/>
        </w:rPr>
        <w:t>Soziale Auswirkungen auf Kinder und Familien wirken kurzfristig bis langfristig. Umweltwirkungen, etwa aus Energieverbrauch oder Lebensmittelbeschaffung, entfalten sich überwiegend mittel- bis langfristig. Finanzielle Risiken wie Auslastungsschwankungen wirken kurzfristig, können aber bei struktureller Entwicklung langfristige Effekte haben.</w:t>
      </w:r>
    </w:p>
    <w:p>
      <w:pPr>
        <w:spacing w:before="0" w:after="80" w:line="276" w:lineRule="auto"/>
      </w:pPr>
      <w:r>
        <w:rPr>
          <w:rFonts w:ascii="Calibri" w:hAnsi="Calibri"/>
          <w:b w:val="0"/>
          <w:i w:val="0"/>
          <w:color w:val="1A1A1A"/>
          <w:sz w:val="21"/>
        </w:rPr>
        <w:t>Das Unternehmen trägt einen unmittelbaren Anteil an den wesentlichen Auswirkungen durch eigene Tätigkeiten in den Einrichtungen. Mittelbare Anteile bestehen über Geschäftsbeziehungen, insbesondere zu Lieferanten, Caterern, Energieversorgern und weiteren Dienstleistern.</w:t>
      </w:r>
    </w:p>
    <w:p>
      <w:pPr>
        <w:spacing w:before="0" w:after="80" w:line="276" w:lineRule="auto"/>
      </w:pPr>
      <w:r>
        <w:rPr>
          <w:rFonts w:ascii="Calibri" w:hAnsi="Calibri"/>
          <w:b w:val="0"/>
          <w:i w:val="0"/>
          <w:color w:val="1A1A1A"/>
          <w:sz w:val="21"/>
        </w:rPr>
        <w:t>Aktuelle finanzielle Auswirkungen ergeben sich insbesondere aus: - belegungsabhängigen Erlösen und Auslastungsrisiken, - Personal-, Betriebs- und Verpflegungskosten, - Preisentwicklungen bei Energie und Lebensmitteln, - potenziellen Kosten aus Qualitäts-, Hygiene- oder Kinderschutzvorfällen.</w:t>
      </w:r>
    </w:p>
    <w:p>
      <w:pPr>
        <w:spacing w:before="0" w:after="80" w:line="276" w:lineRule="auto"/>
      </w:pPr>
      <w:r>
        <w:rPr>
          <w:rFonts w:ascii="Calibri" w:hAnsi="Calibri"/>
          <w:b w:val="0"/>
          <w:i w:val="0"/>
          <w:color w:val="1A1A1A"/>
          <w:sz w:val="21"/>
        </w:rPr>
        <w:t>Die Widerstandsfähigkeit des Geschäftsmodells beruht auf der Fähigkeit, Qualität, Auslastung und Kosten – einschließlich Energie- und Verpflegungskosten – zu steuern. Eine vertiefte quantitative Resilienzanalyse ist geplant.</w:t>
      </w:r>
    </w:p>
    <w:p>
      <w:pPr>
        <w:spacing w:before="0" w:after="80" w:line="276" w:lineRule="auto"/>
      </w:pPr>
      <w:r>
        <w:rPr>
          <w:rFonts w:ascii="Calibri" w:hAnsi="Calibri"/>
          <w:b w:val="0"/>
          <w:i w:val="0"/>
          <w:color w:val="1A1A1A"/>
          <w:sz w:val="21"/>
        </w:rPr>
        <w:t>Da das der erste CSRD-Report ist, gibt es keinen Vergleich zum vorangegangenen Berichtszeitraum</w:t>
      </w:r>
    </w:p>
    <w:p>
      <w:pPr>
        <w:spacing w:before="0" w:after="80" w:line="276" w:lineRule="auto"/>
      </w:pPr>
      <w:r>
        <w:rPr>
          <w:rFonts w:ascii="Calibri" w:hAnsi="Calibri"/>
          <w:b w:val="0"/>
          <w:i w:val="0"/>
          <w:color w:val="1A1A1A"/>
          <w:sz w:val="21"/>
        </w:rPr>
        <w:t>Die beschriebenen Auswirkungen, Risiken und Chancen entsprechen den ESRS-relevanten IROs. Ergänzende unternehmensspezifische Detailinformationen dienen der Kontextualisierung, ersetzen jedoch nicht die ESRS-Angaben.</w:t>
      </w:r>
    </w:p>
    <w:p>
      <w:pPr>
        <w:pStyle w:val="Heading2"/>
      </w:pPr>
      <w:r>
        <w:t>IRO-1 – Beschreibung der Prozesse zur Identifizierung und Bewertung materieller Auswirkungen, Risiken und Chancen</w:t>
      </w:r>
    </w:p>
    <w:p>
      <w:pPr>
        <w:pStyle w:val="Heading3"/>
      </w:pPr>
      <w:r>
        <w:t>53 – Beschreibung des Verfahrens zur Ermittlung und Bewertung der wesentlichen Auswirkungen, Risiken und Chancen</w:t>
      </w:r>
    </w:p>
    <w:p>
      <w:pPr>
        <w:spacing w:before="0" w:after="80" w:line="276" w:lineRule="auto"/>
      </w:pPr>
      <w:r>
        <w:rPr>
          <w:rFonts w:ascii="Calibri" w:hAnsi="Calibri"/>
          <w:b w:val="0"/>
          <w:i w:val="0"/>
          <w:color w:val="1A1A1A"/>
          <w:sz w:val="21"/>
        </w:rPr>
        <w:t>Das Verfahren zur Ermittlung wesentlicher Auswirkungen, Risiken und Chancen (IROs) orientierte sich an den Vorgaben des EFRAG-Leitfadens zur Wesentlichkeitsanalyse (IG 1, Abschnitt 3) sowie den Anforderungen der ESRS 1, Abschnitt 3 und ESRS 2, Abschnitt 4. Die Durchführung erfolgte in fünf aufeinanderfolgenden Schritten:</w:t>
      </w:r>
    </w:p>
    <w:p>
      <w:pPr>
        <w:spacing w:before="0" w:after="80" w:line="276" w:lineRule="auto"/>
      </w:pPr>
      <w:r>
        <w:rPr>
          <w:rFonts w:ascii="Calibri" w:hAnsi="Calibri"/>
          <w:b w:val="0"/>
          <w:i w:val="0"/>
          <w:color w:val="1A1A1A"/>
          <w:sz w:val="21"/>
        </w:rPr>
        <w:t>1. Festlegung des Konsolidierungskreises und Abbildung der relevanten Wertschöpfungsketten (vgl. ESRS 1, Rz. 63 ff.). 2. Identifikation und Bewertung relevanter Stakeholder (vgl. ESRS 2, Rz. 43 ff.). 3. Identifikation von Auswirkungen, Risiken und Chancen anhand der Aktivitäten in der Wertschöpfungskette (Top-down und Bottom-up, vgl. EFRAG IG 1, Abschnitt 3,2, Rz. 73 ff.). 4. Bewertung der identifizierten IROs nach Relevanz, Schweregrad, Umfang und Wahrscheinlichkeit (vgl. ESRS 1, Abschnitt 3,4, Rz. 84 ff.). 5. Ableitung der Berichtspflichten und Überführung in die Nachhaltigkeitserklärung (vgl. ESRS 2, Abschnitt 4,1, Rz. 54 ff.).</w:t>
      </w:r>
    </w:p>
    <w:p>
      <w:pPr>
        <w:spacing w:before="0" w:after="80" w:line="276" w:lineRule="auto"/>
      </w:pPr>
      <w:r>
        <w:rPr>
          <w:rFonts w:ascii="Calibri" w:hAnsi="Calibri"/>
          <w:b w:val="0"/>
          <w:i w:val="0"/>
          <w:color w:val="1A1A1A"/>
          <w:sz w:val="21"/>
        </w:rPr>
        <w:t>Im gesamten Prozess wurden die Annahmen und Bewertungen durch das interne Kontrollsystem (IKS) nach dem Vier-Augen-Prinzip geprüft (vgl. ESRS 2, GOV-5, Rz. 34 ff.). Die Bewertung stützte sich auf qualitative Einschätzungen der Stakeholder, ergänzt durch unternehmensinterne Daten (z. B. Energieverbräuche, Emissionen, Mobilität, Lebensmittel) und wissenschaftliche Quellen.</w:t>
      </w:r>
    </w:p>
    <w:p>
      <w:pPr>
        <w:spacing w:before="0" w:after="80" w:line="276" w:lineRule="auto"/>
      </w:pPr>
      <w:r>
        <w:rPr>
          <w:rFonts w:ascii="Calibri" w:hAnsi="Calibri"/>
          <w:b w:val="0"/>
          <w:i w:val="0"/>
          <w:color w:val="1A1A1A"/>
          <w:sz w:val="21"/>
        </w:rPr>
        <w:t>Das Verfahren zur Identifikation, Bewertung, Priorisierung und Überwachung der tatsächlichen und potenziellen Auswirkungen auf Mensch und Umwelt folgte der Systematik von ESRS 1 (Abschnitt 3,4 Wesentlichkeit der Auswirkungen, Rz. 84 ff.) und dem EFRAG-Leitfaden IG 1, Abschnitt 3,2–3.5. Besonderer Fokus lag auf den für FRÖBEL wesentlichen Kategorien Gebäudeenergie, Lebensmittel und Mobilität, da diese die größten Quellen der Treibhausgasemissionen darstellen und eng mit den Kerntätigkeiten des Unternehmens verbunden sind.</w:t>
      </w:r>
    </w:p>
    <w:p>
      <w:pPr>
        <w:spacing w:before="0" w:after="80" w:line="276" w:lineRule="auto"/>
      </w:pPr>
      <w:r>
        <w:rPr>
          <w:rFonts w:ascii="Calibri" w:hAnsi="Calibri"/>
          <w:b w:val="0"/>
          <w:i w:val="0"/>
          <w:color w:val="1A1A1A"/>
          <w:sz w:val="21"/>
        </w:rPr>
        <w:t>Das Vorgehen im Überblick: - Identifikation der Auswirkungen entlang der Wertschöpfungskette (Scope 1–3), inkl. Beschaffung von Waren, Lebensmitteln, Energie, Mobilität der Mitarbeitenden und Familien sowie Abfall und Recycling. - Bewertung der Auswirkungen anhand von Schweregrad, Umfang und Wahrscheinlichkeit (vgl. ESRS 1, Rz. 85 ff.). - Priorisierung nach relativer Bedeutung für Mensch und Umwelt (vgl. ESRS 1, Rz. 87 ff.). - Monitoring durch regelmäßige Überprüfung und Dokumentation im IKS sowie Integration in das allgemeine Nachhaltigkeitsmanagement.</w:t>
      </w:r>
    </w:p>
    <w:p>
      <w:pPr>
        <w:spacing w:before="0" w:after="80" w:line="276" w:lineRule="auto"/>
      </w:pPr>
      <w:r>
        <w:rPr>
          <w:rFonts w:ascii="Calibri" w:hAnsi="Calibri"/>
          <w:b w:val="0"/>
          <w:i w:val="0"/>
          <w:color w:val="1A1A1A"/>
          <w:sz w:val="21"/>
        </w:rPr>
        <w:t>Das Verfahren orientierte sich zudem an der Sorgfaltspflicht nach UNGPs und OECD-Guidelines, indem sowohl direkte Unternehmensaktivitäten als auch Geschäftsbeziehungen einbezogen wurden (vgl. ESRS 1, Rz. 24).</w:t>
      </w:r>
    </w:p>
    <w:p>
      <w:pPr>
        <w:spacing w:before="0" w:after="80" w:line="276" w:lineRule="auto"/>
      </w:pPr>
      <w:r>
        <w:rPr>
          <w:rFonts w:ascii="Calibri" w:hAnsi="Calibri"/>
          <w:b w:val="0"/>
          <w:i w:val="0"/>
          <w:color w:val="1A1A1A"/>
          <w:sz w:val="21"/>
        </w:rPr>
        <w:t>Das Verfahren konzentrierte sich insbesondere auf die Themenfelder frühkindliche Bildung und Erziehung, da diese die zentrale Geschäftstätigkeit von Fröbel darstellen und somit maßgeblich die wesentlichen Auswirkungen auf Stakeholder bestimmen (vgl. ESRS 1, Abschnitt 3,1 und 3,4, Rz. 84 ff.). Zusätzlich wurden die Bereiche Gebäudeenergie, Lebensmittel und Mobilität vertieft betrachtet, da sie die größten Quellen der Treibhausgasemissionen im Unternehmen bilden (vgl. ESRS E1 AR 16 und AR 36).</w:t>
      </w:r>
    </w:p>
    <w:p>
      <w:pPr>
        <w:spacing w:before="0" w:after="80" w:line="276" w:lineRule="auto"/>
      </w:pPr>
      <w:r>
        <w:rPr>
          <w:rFonts w:ascii="Calibri" w:hAnsi="Calibri"/>
          <w:b w:val="0"/>
          <w:i w:val="0"/>
          <w:color w:val="1A1A1A"/>
          <w:sz w:val="21"/>
        </w:rPr>
        <w:t>Weitere geografische Besonderheiten oder spezifische Geschäftsbeziehungen, die ein erhöhtes Risikoprofil im Sinne der Sorgfaltspflichtverfahren aufweisen würden (vgl. ESRS 2, Rz. 43 ff. sowie EFRAG IG 1, Abschnitt 3,2), wurden nicht festgestellt.</w:t>
      </w:r>
    </w:p>
    <w:p>
      <w:pPr>
        <w:spacing w:before="0" w:after="80" w:line="276" w:lineRule="auto"/>
      </w:pPr>
      <w:r>
        <w:rPr>
          <w:rFonts w:ascii="Calibri" w:hAnsi="Calibri"/>
          <w:b w:val="0"/>
          <w:i w:val="0"/>
          <w:color w:val="1A1A1A"/>
          <w:sz w:val="21"/>
        </w:rPr>
        <w:t>Bei der Ermittlung und Bewertung der wesentlichen Auswirkungen wurde zwischen Auswirkungen unterschieden, die unmittelbar aus den eigenen Tätigkeiten von FRÖBEL resultieren, und solchen, an denen FRÖBEL durch Geschäftsbeziehungen oder entlang der Wertschöpfungskette beteiligt ist (vgl. ESRS 1, Abschnitt 3,1, Rz. 24 sowie ESRS 2, Rz. 40 ff.).</w:t>
      </w:r>
    </w:p>
    <w:p>
      <w:pPr>
        <w:spacing w:before="0" w:after="80" w:line="276" w:lineRule="auto"/>
      </w:pPr>
      <w:r>
        <w:rPr>
          <w:rFonts w:ascii="Calibri" w:hAnsi="Calibri"/>
          <w:b w:val="0"/>
          <w:i w:val="0"/>
          <w:color w:val="1A1A1A"/>
          <w:sz w:val="21"/>
        </w:rPr>
        <w:t>Eigene Tätigkeiten umfassen insbesondere Auswirkungen in den Bereichen Kinderschutz und Kindeswohl, Nicht-Diskriminierung und Inklusion, Gesundheit und Sicherheit von Mitarbeitenden und Kindern, Treibhausgasemissionen aus dem Energieverbrauch, Abfall- und Recyclingprozesse sowie Lebensmittelqualität und Ernährung.</w:t>
      </w:r>
    </w:p>
    <w:p>
      <w:pPr>
        <w:spacing w:before="0" w:after="80" w:line="276" w:lineRule="auto"/>
      </w:pPr>
      <w:r>
        <w:rPr>
          <w:rFonts w:ascii="Calibri" w:hAnsi="Calibri"/>
          <w:b w:val="0"/>
          <w:i w:val="0"/>
          <w:color w:val="1A1A1A"/>
          <w:sz w:val="21"/>
        </w:rPr>
        <w:t>Auswirkungen, die sowohl aus eigenen Tätigkeiten als auch aus Geschäftsbeziehungen resultieren, betreffen insbesondere den Datenschutz (eigene Datenverarbeitung sowie die Nutzung externer IT- und Cloud-Dienstleistungen) sowie Arbeitsbedingungen in Lieferketten, insbesondere in den Bereichen Catering, Reinigung und sonstige Dienstleistungen.</w:t>
      </w:r>
    </w:p>
    <w:p>
      <w:pPr>
        <w:spacing w:before="0" w:after="80" w:line="276" w:lineRule="auto"/>
      </w:pPr>
      <w:r>
        <w:rPr>
          <w:rFonts w:ascii="Calibri" w:hAnsi="Calibri"/>
          <w:b w:val="0"/>
          <w:i w:val="0"/>
          <w:color w:val="1A1A1A"/>
          <w:sz w:val="21"/>
        </w:rPr>
        <w:t>Zur Bewertung klimabezogener Auswirkungen werden Treibhausgasemissionen gemäß Scope 1, 2 und 3 erfasst (vgl. ESRS E1, Rz. 7 und AR 36). Scope-3-Emissionen umfassen neben Energie- und Lebensmittelbezug auch die Beschaffung von Waren, die Mobilität von Mitarbeitenden und Familien sowie Abfall und Recycling.</w:t>
      </w:r>
    </w:p>
    <w:p>
      <w:pPr>
        <w:spacing w:before="0" w:after="80" w:line="276" w:lineRule="auto"/>
      </w:pPr>
      <w:r>
        <w:rPr>
          <w:rFonts w:ascii="Calibri" w:hAnsi="Calibri"/>
          <w:b w:val="0"/>
          <w:i w:val="0"/>
          <w:color w:val="1A1A1A"/>
          <w:sz w:val="21"/>
        </w:rPr>
        <w:t>Das Verfahren umfasste die systematische Berücksichtigung der Perspektiven relevanter Stakeholder (vgl. ESRS 2, Rz. 43 ff. sowie EFRAG IG 1, Abschnitt 3,5, Rz. 101 ff.). Interne Stakeholder (Mitarbeitende und Führungskräfte) wurden direkt durch Interviews und schriftliche Rückmeldungen konsultiert. Externe Stakeholder (z. B. Familien, Kommunen) wurden durch die methodische Perspektivenübernahme berücksichtigt. „Stille Stakeholder“ wie Umwelt und zukünftige Generationen wurden ergänzend in die Analyse einbezogen (vgl. ESRS 1, Anlage A, AR 7).</w:t>
      </w:r>
    </w:p>
    <w:p>
      <w:pPr>
        <w:spacing w:before="0" w:after="80" w:line="276" w:lineRule="auto"/>
      </w:pPr>
      <w:r>
        <w:rPr>
          <w:rFonts w:ascii="Calibri" w:hAnsi="Calibri"/>
          <w:b w:val="0"/>
          <w:i w:val="0"/>
          <w:color w:val="1A1A1A"/>
          <w:sz w:val="21"/>
        </w:rPr>
        <w:t>Die Konsultationen fanden im Zeitraum Oktober 2023 bis Januar 2024 statt und dienten der Validierung der Themen, der Ergänzung fehlender Aspekte sowie der Priorisierung. Zur fachlichen Unterstützung wurde die Nachhaltigkeitsagentur Planted als externer Sachverständiger hinzugezogen (vgl. ESRS 2, GOV-5, Rz. 34 ff. zur Qualitätssicherung). Eine Gesamtdokumentation des Prozesses liegt im internen Kontrollsystem vor.</w:t>
      </w:r>
    </w:p>
    <w:p>
      <w:pPr>
        <w:spacing w:before="0" w:after="80" w:line="276" w:lineRule="auto"/>
      </w:pPr>
      <w:r>
        <w:rPr>
          <w:rFonts w:ascii="Calibri" w:hAnsi="Calibri"/>
          <w:b w:val="0"/>
          <w:i w:val="0"/>
          <w:color w:val="1A1A1A"/>
          <w:sz w:val="21"/>
        </w:rPr>
        <w:t>Die Priorisierung der wesentlichen Auswirkungen erfolgte nach den Vorgaben von ESRS 1, Abschnitt 3,4 (Wesentlichkeit der Auswirkungen, Rz. 84 ff.) unter Berücksichtigung der relativen Schwere und Eintrittswahrscheinlichkeit. Zur Bewertung wurde ein mehrdimensionales Scoring-System auf einer 5-Punkte-Skala eingesetzt: - Eintrittswahrscheinlichkeit: von sehr unwahrscheinlich (1) bis sicherer Eintritt (5). - Ausmaß positiver und negativer Auswirkungen: von minimal (1) bis sehr hoch (5). - Umfang der Auswirkungen: von minimal (1) bis maximum/weitreichend (5). - Wiederherstellbarkeit (nur negative Auswirkungen): von sehr einfach (1) bis unmöglich (5).</w:t>
      </w:r>
    </w:p>
    <w:p>
      <w:pPr>
        <w:spacing w:before="0" w:after="80" w:line="276" w:lineRule="auto"/>
      </w:pPr>
      <w:r>
        <w:rPr>
          <w:rFonts w:ascii="Calibri" w:hAnsi="Calibri"/>
          <w:b w:val="0"/>
          <w:i w:val="0"/>
          <w:color w:val="1A1A1A"/>
          <w:sz w:val="21"/>
        </w:rPr>
        <w:t>Positive Auswirkungen, insbesondere in den Bereichen Bildungschancen, Inklusion und Teilhabe, wurden in die Bewertung einbezogen und nach ihrem relativen Ausmaß, Umfang und ihrer Eintrittswahrscheinlichkeit priorisiert (vgl. ESRS 1, Rz. 87).</w:t>
      </w:r>
    </w:p>
    <w:p>
      <w:pPr>
        <w:spacing w:before="0" w:after="80" w:line="276" w:lineRule="auto"/>
      </w:pPr>
      <w:r>
        <w:rPr>
          <w:rFonts w:ascii="Calibri" w:hAnsi="Calibri"/>
          <w:b w:val="0"/>
          <w:i w:val="0"/>
          <w:color w:val="1A1A1A"/>
          <w:sz w:val="21"/>
        </w:rPr>
        <w:t>Die Bewertung der Risiken und Chancen, die sich aus Nachhaltigkeitsthemen ergeben, erfolgte analog über die Dimension Ausmaß auf einer 5-Punkte-Skala (von minimal bis sehr hoch).</w:t>
      </w:r>
    </w:p>
    <w:p>
      <w:pPr>
        <w:spacing w:before="0" w:after="80" w:line="276" w:lineRule="auto"/>
      </w:pPr>
      <w:r>
        <w:rPr>
          <w:rFonts w:ascii="Calibri" w:hAnsi="Calibri"/>
          <w:b w:val="0"/>
          <w:i w:val="0"/>
          <w:color w:val="1A1A1A"/>
          <w:sz w:val="21"/>
        </w:rPr>
        <w:t>Wesentliche Auswirkungen wurden dann priorisiert, wenn sie einen hohen oder sehr hohen Score in mindestens einer Dimension aufwiesen. In Zweifelsfällen wurden potenziell wesentliche Themen vorsorglich in die Wesentlichkeitsanalyse aufgenommen.</w:t>
      </w:r>
    </w:p>
    <w:p>
      <w:pPr>
        <w:spacing w:before="0" w:after="80" w:line="276" w:lineRule="auto"/>
      </w:pPr>
      <w:r>
        <w:rPr>
          <w:rFonts w:ascii="Calibri" w:hAnsi="Calibri"/>
          <w:b w:val="0"/>
          <w:i w:val="0"/>
          <w:color w:val="1A1A1A"/>
          <w:sz w:val="21"/>
        </w:rPr>
        <w:t>Das Verfahren zur Ermittlung, Bewertung, Priorisierung und Überwachung von Risiken und Chancen mit finanziellen Effekten orientierte sich an den Vorgaben von ESRS 1, Abschnitt 3,3 (Finanzielle Wesentlichkeit, Rz. 77 ff.) sowie dem EFRAG IG 1, Abschnitt 3.2. Dabei wurden externe Entwicklungen und Abhängigkeiten identifiziert, die potenziell erhebliche finanzielle Auswirkungen auf Fröbel haben können. Die Analyse folgte einem mehrstufigen Vorgehen: - Identifikation: Erfassung potenzieller finanzieller Risiken und Chancen entlang der Wertschöpfungskette, insbesondere in Bezug auf Personalgewinnung und -bindung, Energieversorgung, Lebensmittelversorgung sowie externe Regulierungen. - Bewertung: Einordnung nach Eintrittswahrscheinlichkeit, Ausmaß und zeitlichem Horizont (kurz-, mittel- und langfristig). - Priorisierung: Abgleich der finanziellen Tragweite mit den im zentralen Risikomanagementsystem erfassten Unternehmensrisiken. - Überwachung: Regelmäßige Aktualisierung im Rahmen des IKS und Integration in das Risikomanagement.</w:t>
      </w:r>
    </w:p>
    <w:p>
      <w:pPr>
        <w:spacing w:before="0" w:after="80" w:line="276" w:lineRule="auto"/>
      </w:pPr>
      <w:r>
        <w:rPr>
          <w:rFonts w:ascii="Calibri" w:hAnsi="Calibri"/>
          <w:b w:val="0"/>
          <w:i w:val="0"/>
          <w:color w:val="1A1A1A"/>
          <w:sz w:val="21"/>
        </w:rPr>
        <w:t>Das Verfahren berücksichtigt sowohl externe Abhängigkeiten als auch die sich daraus ergebenden finanziellen Risiken und Chancen (vgl. ESRS 1, Rz. 78–79). Beispiele: - Arbeitsmarkt und Demografie: Risiko des Fachkräftemangels mit finanziellen Auswirkungen auf die Betriebssicherheit und Auslastung von Einrichtungen; Chance durch Positionierung als attraktiver Arbeitgeber mit guten Arbeitsbedingungen. - Regulatorische Rahmenbedingungen: Risiko steigender Kosten durch neue Vorgaben in der frühkindlichen Bildung oder arbeitsrechtliche Veränderungen; Chance durch staatliche Förderprogramme und Zuschüsse. - Energiepreise: Risiko deutlicher Kostensteigerungen für Strom und Wärme; Chance durch Investitionen in Effizienzmaßnahmen und langfristige Verträge mit erneuerbaren Energien. - Lebensmittelversorgung: Risiko höherer Einkaufspreise und Lieferengpässe; Chance durch nachhaltige Beschaffungsstrategien und regionale Lieferketten. - Gesellschaftliche Trends: Risiko sinkender Nachfrage bei rückläufigen Geburtenzahlen; Chance steigender Nachfrage durch den gesellschaftlichen Stellenwert früher Bildung.</w:t>
      </w:r>
    </w:p>
    <w:p>
      <w:pPr>
        <w:spacing w:before="0" w:after="80" w:line="276" w:lineRule="auto"/>
      </w:pPr>
      <w:r>
        <w:rPr>
          <w:rFonts w:ascii="Calibri" w:hAnsi="Calibri"/>
          <w:b w:val="0"/>
          <w:i w:val="0"/>
          <w:color w:val="1A1A1A"/>
          <w:sz w:val="21"/>
        </w:rPr>
        <w:t>Die finanziellen Risiken und Chancen wurden anhand einer 5-Punkte-Skala für Eintrittswahrscheinlichkeit und Ausmaß bewertet (vgl. ESRS 1, Rz. 82–83):</w:t>
      </w:r>
    </w:p>
    <w:p>
      <w:pPr>
        <w:spacing w:before="0" w:after="80" w:line="276" w:lineRule="auto"/>
      </w:pPr>
      <w:r>
        <w:rPr>
          <w:rFonts w:ascii="Calibri" w:hAnsi="Calibri"/>
          <w:b w:val="0"/>
          <w:i w:val="0"/>
          <w:color w:val="1A1A1A"/>
          <w:sz w:val="21"/>
        </w:rPr>
        <w:t>Eintrittswahrscheinlichkeit: von sehr unwahrscheinlich (1) bis sicherer Eintritt (5).</w:t>
      </w:r>
    </w:p>
    <w:p>
      <w:pPr>
        <w:spacing w:before="0" w:after="80" w:line="276" w:lineRule="auto"/>
      </w:pPr>
      <w:r>
        <w:rPr>
          <w:rFonts w:ascii="Calibri" w:hAnsi="Calibri"/>
          <w:b w:val="0"/>
          <w:i w:val="0"/>
          <w:color w:val="1A1A1A"/>
          <w:sz w:val="21"/>
        </w:rPr>
        <w:t>Ausmaß: von minimal (1) bis sehr hoch (5).</w:t>
      </w:r>
    </w:p>
    <w:p>
      <w:pPr>
        <w:spacing w:before="0" w:after="80" w:line="276" w:lineRule="auto"/>
      </w:pPr>
      <w:r>
        <w:rPr>
          <w:rFonts w:ascii="Calibri" w:hAnsi="Calibri"/>
          <w:b w:val="0"/>
          <w:i w:val="0"/>
          <w:color w:val="1A1A1A"/>
          <w:sz w:val="21"/>
        </w:rPr>
        <w:t>Quantitative Daten (z. B. Energiekosten, Personalkosten) wurden einbezogen, soweit verfügbar; qualitative Einschätzungen wurden insbesondere bei gesellschaftlichen Trends und regulatorischen Entwicklungen genutzt.</w:t>
      </w:r>
    </w:p>
    <w:p>
      <w:pPr>
        <w:spacing w:before="0" w:after="80" w:line="276" w:lineRule="auto"/>
      </w:pPr>
      <w:r>
        <w:rPr>
          <w:rFonts w:ascii="Calibri" w:hAnsi="Calibri"/>
          <w:b w:val="0"/>
          <w:i w:val="0"/>
          <w:color w:val="1A1A1A"/>
          <w:sz w:val="21"/>
        </w:rPr>
        <w:t>Nachhaltigkeitsrisiken und -chancen wurden im zentralen Risikomanagement gleichrangig mit anderen Unternehmensrisiken behandelt (vgl. ESRS 2, Rz. 40 ff.). Die Priorisierung erfolgte über: - eine Risikomatrix (Eintrittswahrscheinlichkeit × Ausmaß), - Abgleich mit finanziellen Schwellenwerten (Budget, Liquidität und Wirtschaftlichkeit), - Integration in die reguläre Risikoberichterstattung.</w:t>
      </w:r>
    </w:p>
    <w:p>
      <w:pPr>
        <w:spacing w:before="0" w:after="80" w:line="276" w:lineRule="auto"/>
      </w:pPr>
      <w:r>
        <w:rPr>
          <w:rFonts w:ascii="Calibri" w:hAnsi="Calibri"/>
          <w:b w:val="0"/>
          <w:i w:val="0"/>
          <w:color w:val="1A1A1A"/>
          <w:sz w:val="21"/>
        </w:rPr>
        <w:t>Besondere Aufmerksamkeit erhielten langfristige Entwicklungen, etwa die demografische Entwicklung im Personalmarkt, volatile Energie- und Lebensmittelpreise sowie regulatorische Veränderungen in der frühkindlichen Bildung, da diese erhebliche finanzielle Effekte auf das Kerngeschäft haben können.</w:t>
      </w:r>
    </w:p>
    <w:p>
      <w:pPr>
        <w:spacing w:before="0" w:after="80" w:line="276" w:lineRule="auto"/>
      </w:pPr>
      <w:r>
        <w:rPr>
          <w:rFonts w:ascii="Calibri" w:hAnsi="Calibri"/>
          <w:b w:val="0"/>
          <w:i w:val="0"/>
          <w:color w:val="1A1A1A"/>
          <w:sz w:val="21"/>
        </w:rPr>
        <w:t>Die Entscheidungsfindung im Rahmen der Doppelten Wesentlichkeitsanalyse (DWA) erfolgte in einem mehrstufigen Verfahren mit klar definierten Verantwortlichkeiten (vgl. ESRS 2, GOV-5, Rz. 34 ff.). Die Gesamtkoordination und Prozessleitung lagen beim Stab Nachhaltigkeit, der den Ablauf steuerte, die Bewertungsschritte zusammenführte und eine Entscheidungsgrundlage erarbeitete. Die inhaltliche Fachexpertise wurde in enger Zusammenarbeit mit den relevanten Fachbereichen, insbesondere Pädagogik, Personal und Verwaltung, eingebracht. Zur methodischen Absicherung wurde die Nachhaltigkeitsagentur Planted als externer Berater hinzugezogen. Die finale Entscheidung über die Einstufung wesentlicher Themen oblag der Geschäftsführung. Die interne Kontrolle erfolgte über das Interne Kontrollsystem (IKS) nach dem Vier-Augen-Prinzip, indem die einzelnen Bewertungsschritte durch den Stab Nachhaltigkeit in Abstimmung mit den Fachbereichen bearbeitet und anschließend durch die jeweiligen Bereichsleitungen geprüft, plausibilisiert und freigegeben wurden. Die Ergebnisse wurden dokumentiert und systematisch im IKS archiviert.</w:t>
      </w:r>
    </w:p>
    <w:p>
      <w:pPr>
        <w:spacing w:before="0" w:after="80" w:line="276" w:lineRule="auto"/>
      </w:pPr>
      <w:r>
        <w:rPr>
          <w:rFonts w:ascii="Calibri" w:hAnsi="Calibri"/>
          <w:b w:val="0"/>
          <w:i w:val="0"/>
          <w:color w:val="1A1A1A"/>
          <w:sz w:val="21"/>
        </w:rPr>
        <w:t>Die DWA wurde im Geschäftsjahr 2023/24 erstmals durchgeführt; eine jährliche Validierung und Verifizierung der Ergebnisse ist vorgesehen, um neue Entwicklungen, etwa regulatorische Änderungen oder gesellschaftliche Trends, zu berücksichtigen und die Methodik kontinuierlich weiterzuentwickeln.</w:t>
      </w:r>
    </w:p>
    <w:p>
      <w:pPr>
        <w:spacing w:before="0" w:after="80" w:line="276" w:lineRule="auto"/>
      </w:pPr>
      <w:r>
        <w:rPr>
          <w:rFonts w:ascii="Calibri" w:hAnsi="Calibri"/>
          <w:b w:val="0"/>
          <w:i w:val="0"/>
          <w:color w:val="1A1A1A"/>
          <w:sz w:val="21"/>
        </w:rPr>
        <w:t>Die im Rahmen der Doppelten Wesentlichkeitsanalyse ermittelten Auswirkungen, Risiken und Chancen werden grundsätzlich nach denselben methodischen Grundsätzen bewertet wie die unternehmensweiten Risiken (vgl. ESRS 2, GOV-5, Rz. 34 ff.). Nachhaltigkeitsthemen wie Fachkräftemangel, Energiepreise oder regulatorische Veränderungen werden daher bereits in den Risikomanagementprozess von Fröbel einbezogen.</w:t>
      </w:r>
    </w:p>
    <w:p>
      <w:pPr>
        <w:spacing w:before="0" w:after="80" w:line="276" w:lineRule="auto"/>
      </w:pPr>
      <w:r>
        <w:rPr>
          <w:rFonts w:ascii="Calibri" w:hAnsi="Calibri"/>
          <w:b w:val="0"/>
          <w:i w:val="0"/>
          <w:color w:val="1A1A1A"/>
          <w:sz w:val="21"/>
        </w:rPr>
        <w:t>Eine formalisierte und systematische Einbindung der Nachhaltigkeitsthemen in die reguläre Risikoberichterstattung an die Geschäftsführung und die zuständigen Gremien ist bislang noch nicht umgesetzt. Fröbel prüft jedoch, ob eine engere Verzahnung von Nachhaltigkeitsrisiken mit dem allgemeinen Risikomanagement künftig sinnvoll ist, insbesondere im Hinblick auf regulatorische Anforderungen und zur weiteren Professionalisierung des IKS.</w:t>
      </w:r>
    </w:p>
    <w:p>
      <w:pPr>
        <w:spacing w:before="0" w:after="80" w:line="276" w:lineRule="auto"/>
      </w:pPr>
      <w:r>
        <w:rPr>
          <w:rFonts w:ascii="Calibri" w:hAnsi="Calibri"/>
          <w:b w:val="0"/>
          <w:i w:val="0"/>
          <w:color w:val="1A1A1A"/>
          <w:sz w:val="21"/>
        </w:rPr>
        <w:t>Nachhaltigkeitschancen, wie die steigende gesellschaftliche Nachfrage nach qualitativ hochwertiger frühkindlicher Bildung, die Positionierung als attraktiver Arbeitgeber oder Kostenvorteile durch nachhaltige Beschaffung, wurden im Rahmen der Doppelten Wesentlichkeitsanalyse identifiziert und bewertet.</w:t>
      </w:r>
    </w:p>
    <w:p>
      <w:pPr>
        <w:spacing w:before="0" w:after="80" w:line="276" w:lineRule="auto"/>
      </w:pPr>
      <w:r>
        <w:rPr>
          <w:rFonts w:ascii="Calibri" w:hAnsi="Calibri"/>
          <w:b w:val="0"/>
          <w:i w:val="0"/>
          <w:color w:val="1A1A1A"/>
          <w:sz w:val="21"/>
        </w:rPr>
        <w:t>Ein formales Managementverfahren zur systematischen Steuerung dieser Chancen besteht derzeit jedoch noch nicht. Die Chancen werden bislang punktuell in strategischen Projekten berücksichtigt, z. B. bei der Personalentwicklung oder in der pädagogischen Profilbildung.</w:t>
      </w:r>
    </w:p>
    <w:p>
      <w:pPr>
        <w:spacing w:before="0" w:after="80" w:line="276" w:lineRule="auto"/>
      </w:pPr>
      <w:r>
        <w:rPr>
          <w:rFonts w:ascii="Calibri" w:hAnsi="Calibri"/>
          <w:b w:val="0"/>
          <w:i w:val="0"/>
          <w:color w:val="1A1A1A"/>
          <w:sz w:val="21"/>
        </w:rPr>
        <w:t>Fröbel prüft, wie die identifizierten Chancen künftig stärker in die bestehenden Steuerungs- und Managementprozesse integriert werden können, um die sich bietenden Potenziale gezielt zu nutzen und damit die langfristige Resilienz des Unternehmens zu stärken. (vgl. ESRS 1, Abschnitt 3,3, Rz. 77 ff.)</w:t>
      </w:r>
    </w:p>
    <w:p>
      <w:pPr>
        <w:spacing w:before="0" w:after="80" w:line="276" w:lineRule="auto"/>
      </w:pPr>
      <w:r>
        <w:rPr>
          <w:rFonts w:ascii="Calibri" w:hAnsi="Calibri"/>
          <w:b w:val="0"/>
          <w:i w:val="0"/>
          <w:color w:val="1A1A1A"/>
          <w:sz w:val="21"/>
        </w:rPr>
        <w:t>Für die Durchführung der Doppelten Wesentlichkeitsanalyse wurden sowohl interne als auch externe Datenquellen systematisch berücksichtigt (vgl. ESRS 2, Rz. 50 ff.):</w:t>
      </w:r>
    </w:p>
    <w:p>
      <w:pPr>
        <w:spacing w:before="0" w:after="80" w:line="276" w:lineRule="auto"/>
      </w:pPr>
      <w:r>
        <w:rPr>
          <w:rFonts w:ascii="Calibri" w:hAnsi="Calibri"/>
          <w:b w:val="0"/>
          <w:i w:val="0"/>
          <w:color w:val="1A1A1A"/>
          <w:sz w:val="21"/>
        </w:rPr>
        <w:t>Interne Datenquellen: - Treibhausgasbilanz (Scope 1–3) einschließlich Energieverbrauch, Lebensmittel und Mobilität, - Personalstatistiken (z. B. Mitarbeiterzahlen, Fluktuation, Fachkräftebedarf), - Nutzungs- und Belegungszahlen der Einrichtungen, - Ergebnisse aus Mitarbeiter- und Familienbefragungen, - Dokumentation im internen Kontrollsystem (IKS).</w:t>
      </w:r>
    </w:p>
    <w:p>
      <w:pPr>
        <w:spacing w:before="0" w:after="80" w:line="276" w:lineRule="auto"/>
      </w:pPr>
      <w:r>
        <w:rPr>
          <w:rFonts w:ascii="Calibri" w:hAnsi="Calibri"/>
          <w:b w:val="0"/>
          <w:i w:val="0"/>
          <w:color w:val="1A1A1A"/>
          <w:sz w:val="21"/>
        </w:rPr>
        <w:t>Externe Datenquellen: - Demografische Kennzahlen (z. B. Geburtenraten, Bevölkerungsentwicklung), - Entwicklungen der Energie- und Lebensmittelpreise, - regulatorische Rahmenbedingungen (z. B. Vorgaben zur frühkindlichen Bildung, Arbeits- und Klimaschutzgesetze),</w:t>
      </w:r>
    </w:p>
    <w:p>
      <w:pPr>
        <w:spacing w:before="0" w:after="80" w:line="276" w:lineRule="auto"/>
      </w:pPr>
      <w:r>
        <w:rPr>
          <w:rFonts w:ascii="Calibri" w:hAnsi="Calibri"/>
          <w:b w:val="0"/>
          <w:i w:val="0"/>
          <w:color w:val="1A1A1A"/>
          <w:sz w:val="21"/>
        </w:rPr>
        <w:t>Externe Expertise: - Methodische Beratung und Validierung des Prozesses durch die Nachhaltigkeitsagentur Planted.</w:t>
      </w:r>
    </w:p>
    <w:p>
      <w:pPr>
        <w:spacing w:before="0" w:after="80" w:line="276" w:lineRule="auto"/>
      </w:pPr>
      <w:r>
        <w:rPr>
          <w:rFonts w:ascii="Calibri" w:hAnsi="Calibri"/>
          <w:b w:val="0"/>
          <w:i w:val="0"/>
          <w:color w:val="1A1A1A"/>
          <w:sz w:val="21"/>
        </w:rPr>
        <w:t>Die Kombination dieser Datenquellen gewährleistete eine fundierte Grundlage für die Identifikation, Bewertung und Priorisierung der wesentlichen Auswirkungen, Risiken und Chancen.</w:t>
      </w:r>
    </w:p>
    <w:p>
      <w:pPr>
        <w:spacing w:before="0" w:after="80" w:line="276" w:lineRule="auto"/>
      </w:pPr>
      <w:r>
        <w:rPr>
          <w:rFonts w:ascii="Calibri" w:hAnsi="Calibri"/>
          <w:b w:val="0"/>
          <w:i w:val="0"/>
          <w:color w:val="1A1A1A"/>
          <w:sz w:val="21"/>
        </w:rPr>
        <w:t>Die Doppelte Wesentlichkeitsanalyse wurde im Zeitraum Oktober 2023 bis Januar 2024 erstmals durchgeführt. Da es sich um die erste Anwendung handelt, gibt es keine Änderungen im Vergleich zu einem Vorjahresverfahren.</w:t>
      </w:r>
    </w:p>
    <w:p>
      <w:pPr>
        <w:spacing w:before="0" w:after="80" w:line="276" w:lineRule="auto"/>
      </w:pPr>
      <w:r>
        <w:rPr>
          <w:rFonts w:ascii="Calibri" w:hAnsi="Calibri"/>
          <w:b w:val="0"/>
          <w:i w:val="0"/>
          <w:color w:val="1A1A1A"/>
          <w:sz w:val="21"/>
        </w:rPr>
        <w:t>Die Methodik und Ergebnisse sollen künftig jährlich validiert und verifiziert werden, um neue regulatorische Anforderungen, gesellschaftliche Entwicklungen sowie interne Erfahrungen aus der Anwendung des Verfahrens zu berücksichtigen. Dabei ist insbesondere für die kommenden Berichtsjahre vorgesehen, die Methodik weiter zu verfeinern und stärker mit dem unternehmensweiten Risikomanagement zu verzahnen.</w:t>
      </w:r>
    </w:p>
    <w:p>
      <w:pPr>
        <w:spacing w:before="0" w:after="80" w:line="276" w:lineRule="auto"/>
      </w:pPr>
      <w:r>
        <w:rPr>
          <w:rFonts w:ascii="Calibri" w:hAnsi="Calibri"/>
          <w:b w:val="0"/>
          <w:i w:val="0"/>
          <w:color w:val="1A1A1A"/>
          <w:sz w:val="21"/>
        </w:rPr>
        <w:t>Die nächste Überprüfung und Aktualisierung des Verfahrens ist für das Geschäftsjahr 2025 vorgesehen. (vgl. ESRS 2, Rz. 54 ff.)</w:t>
      </w:r>
    </w:p>
    <w:p>
      <w:bookmarkStart w:id="75511" w:name="iro-2"/>
      <w:pPr>
        <w:pStyle w:val="Heading2"/>
      </w:pPr>
      <w:r>
        <w:t>IRO-2 – Offenlegungsanforderungen in den ESRS, die vom Nachhaltigkeitsbericht des Unternehmens abgedeckt werden</w:t>
      </w:r>
      <w:bookmarkEnd w:id="75511"/>
    </w:p>
    <w:p>
      <w:pPr>
        <w:spacing w:before="120" w:after="60"/>
      </w:pPr>
      <w:r>
        <w:rPr>
          <w:rFonts w:ascii="Calibri" w:hAnsi="Calibri"/>
          <w:b/>
          <w:i w:val="0"/>
          <w:color w:val="1A1A1A"/>
          <w:sz w:val="21"/>
        </w:rPr>
        <w:t>IRO-2 Inhaltstabelle der Offenlegungsanforderungen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3022"/>
        <w:gridCol w:w="3022"/>
        <w:gridCol w:w="3022"/>
      </w:tblGrid>
      <w:tr>
        <w:tc>
          <w:tcPr>
            <w:tcW w:type="dxa" w:w="1701"/>
            <w:shd w:val="clear" w:color="auto" w:fill="1C462D"/>
          </w:tcPr>
          <w:p>
            <w:r>
              <w:rPr>
                <w:rFonts w:ascii="Calibri" w:hAnsi="Calibri"/>
                <w:b/>
                <w:i w:val="0"/>
                <w:color w:val="FFFFFF"/>
                <w:sz w:val="18"/>
              </w:rPr>
              <w:t>Angabe-Nr.</w:t>
            </w:r>
          </w:p>
        </w:tc>
        <w:tc>
          <w:tcPr>
            <w:tcW w:type="dxa" w:w="6520"/>
            <w:shd w:val="clear" w:color="auto" w:fill="1C462D"/>
          </w:tcPr>
          <w:p>
            <w:r>
              <w:rPr>
                <w:rFonts w:ascii="Calibri" w:hAnsi="Calibri"/>
                <w:b/>
                <w:i w:val="0"/>
                <w:color w:val="FFFFFF"/>
                <w:sz w:val="18"/>
              </w:rPr>
              <w:t>Offenlegungsanforderung</w:t>
            </w:r>
          </w:p>
        </w:tc>
        <w:tc>
          <w:tcPr>
            <w:tcW w:type="dxa" w:w="1134"/>
            <w:shd w:val="clear" w:color="auto" w:fill="1C462D"/>
          </w:tcPr>
          <w:p>
            <w:r>
              <w:rPr>
                <w:rFonts w:ascii="Calibri" w:hAnsi="Calibri"/>
                <w:b/>
                <w:i w:val="0"/>
                <w:color w:val="FFFFFF"/>
                <w:sz w:val="18"/>
              </w:rPr>
              <w:t>Seite</w:t>
            </w:r>
          </w:p>
        </w:tc>
      </w:tr>
      <w:tr>
        <w:tc>
          <w:tcPr>
            <w:tcW w:type="dxa" w:w="3022"/>
            <w:shd w:val="clear" w:color="auto" w:fill="EBF3EE"/>
          </w:tcPr>
          <w:p>
            <w:r>
              <w:rPr>
                <w:rFonts w:ascii="Calibri" w:hAnsi="Calibri"/>
                <w:b w:val="0"/>
                <w:i w:val="0"/>
                <w:color w:val="1A1A1A"/>
                <w:sz w:val="18"/>
              </w:rPr>
              <w:t>BP-1</w:t>
            </w:r>
          </w:p>
        </w:tc>
        <w:tc>
          <w:tcPr>
            <w:tcW w:type="dxa" w:w="3022"/>
            <w:shd w:val="clear" w:color="auto" w:fill="EBF3EE"/>
          </w:tcPr>
          <w:p>
            <w:r>
              <w:rPr>
                <w:rFonts w:ascii="Calibri" w:hAnsi="Calibri"/>
                <w:b w:val="0"/>
                <w:i w:val="0"/>
                <w:color w:val="1A1A1A"/>
                <w:sz w:val="18"/>
              </w:rPr>
              <w:t>Allgemeine Grundlage für die Erstellung von Nachhaltigkeitsberichten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GOV-1</w:t>
            </w:r>
          </w:p>
        </w:tc>
        <w:tc>
          <w:tcPr>
            <w:tcW w:type="dxa" w:w="3022"/>
            <w:shd w:val="clear" w:color="auto" w:fill="FFFFFF"/>
          </w:tcPr>
          <w:p>
            <w:r>
              <w:rPr>
                <w:rFonts w:ascii="Calibri" w:hAnsi="Calibri"/>
                <w:b w:val="0"/>
                <w:i w:val="0"/>
                <w:color w:val="1A1A1A"/>
                <w:sz w:val="18"/>
              </w:rPr>
              <w:t>Die Rolle der Verwaltungs-, Management- und Aufsichtsorgane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GOV-2</w:t>
            </w:r>
          </w:p>
        </w:tc>
        <w:tc>
          <w:tcPr>
            <w:tcW w:type="dxa" w:w="3022"/>
            <w:shd w:val="clear" w:color="auto" w:fill="EBF3EE"/>
          </w:tcPr>
          <w:p>
            <w:r>
              <w:rPr>
                <w:rFonts w:ascii="Calibri" w:hAnsi="Calibri"/>
                <w:b w:val="0"/>
                <w:i w:val="0"/>
                <w:color w:val="1A1A1A"/>
                <w:sz w:val="18"/>
              </w:rPr>
              <w:t>Informationen an die Verwaltungs-, Management- und Aufsichtsorgane des Unternehmens und behandelte Nachhaltigkeitsthemen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GOV-3</w:t>
            </w:r>
          </w:p>
        </w:tc>
        <w:tc>
          <w:tcPr>
            <w:tcW w:type="dxa" w:w="3022"/>
            <w:shd w:val="clear" w:color="auto" w:fill="FFFFFF"/>
          </w:tcPr>
          <w:p>
            <w:r>
              <w:rPr>
                <w:rFonts w:ascii="Calibri" w:hAnsi="Calibri"/>
                <w:b w:val="0"/>
                <w:i w:val="0"/>
                <w:color w:val="1A1A1A"/>
                <w:sz w:val="18"/>
              </w:rPr>
              <w:t>Integration der nachhaltigkeitsbezogenen Leistung in Anreizsysteme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GOV-4</w:t>
            </w:r>
          </w:p>
        </w:tc>
        <w:tc>
          <w:tcPr>
            <w:tcW w:type="dxa" w:w="3022"/>
            <w:shd w:val="clear" w:color="auto" w:fill="EBF3EE"/>
          </w:tcPr>
          <w:p>
            <w:r>
              <w:rPr>
                <w:rFonts w:ascii="Calibri" w:hAnsi="Calibri"/>
                <w:b w:val="0"/>
                <w:i w:val="0"/>
                <w:color w:val="1A1A1A"/>
                <w:sz w:val="18"/>
              </w:rPr>
              <w:t>Erklärung zur Sorgfaltspflicht</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GOV-5</w:t>
            </w:r>
          </w:p>
        </w:tc>
        <w:tc>
          <w:tcPr>
            <w:tcW w:type="dxa" w:w="3022"/>
            <w:shd w:val="clear" w:color="auto" w:fill="FFFFFF"/>
          </w:tcPr>
          <w:p>
            <w:r>
              <w:rPr>
                <w:rFonts w:ascii="Calibri" w:hAnsi="Calibri"/>
                <w:b w:val="0"/>
                <w:i w:val="0"/>
                <w:color w:val="1A1A1A"/>
                <w:sz w:val="18"/>
              </w:rPr>
              <w:t>Risikomanagement und interne Kontrollen über die Nachhaltigkeitsberichterstattung</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SBM-1</w:t>
            </w:r>
          </w:p>
        </w:tc>
        <w:tc>
          <w:tcPr>
            <w:tcW w:type="dxa" w:w="3022"/>
            <w:shd w:val="clear" w:color="auto" w:fill="EBF3EE"/>
          </w:tcPr>
          <w:p>
            <w:r>
              <w:rPr>
                <w:rFonts w:ascii="Calibri" w:hAnsi="Calibri"/>
                <w:b w:val="0"/>
                <w:i w:val="0"/>
                <w:color w:val="1A1A1A"/>
                <w:sz w:val="18"/>
              </w:rPr>
              <w:t>Strategie, Geschäftsmodell und Wertschöpfungskette</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IRO-1</w:t>
            </w:r>
          </w:p>
        </w:tc>
        <w:tc>
          <w:tcPr>
            <w:tcW w:type="dxa" w:w="3022"/>
            <w:shd w:val="clear" w:color="auto" w:fill="EBF3EE"/>
          </w:tcPr>
          <w:p>
            <w:r>
              <w:rPr>
                <w:rFonts w:ascii="Calibri" w:hAnsi="Calibri"/>
                <w:b w:val="0"/>
                <w:i w:val="0"/>
                <w:color w:val="1A1A1A"/>
                <w:sz w:val="18"/>
              </w:rPr>
              <w:t>Beschreibung der Prozesse zur Identifizierung und Bewertung materieller Auswirkungen, Risiken und Chancen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IRO-2</w:t>
            </w:r>
          </w:p>
        </w:tc>
        <w:tc>
          <w:tcPr>
            <w:tcW w:type="dxa" w:w="3022"/>
            <w:shd w:val="clear" w:color="auto" w:fill="FFFFFF"/>
          </w:tcPr>
          <w:p>
            <w:r>
              <w:rPr>
                <w:rFonts w:ascii="Calibri" w:hAnsi="Calibri"/>
                <w:b w:val="0"/>
                <w:i w:val="0"/>
                <w:color w:val="1A1A1A"/>
                <w:sz w:val="18"/>
              </w:rPr>
              <w:t>Offenlegungsanforderungen in den ESRS, die vom Nachhaltigkeitsbericht des Unternehmens abgedeckt werden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E1-GOV-3</w:t>
            </w:r>
          </w:p>
        </w:tc>
        <w:tc>
          <w:tcPr>
            <w:tcW w:type="dxa" w:w="3022"/>
            <w:shd w:val="clear" w:color="auto" w:fill="EBF3EE"/>
          </w:tcPr>
          <w:p>
            <w:r>
              <w:rPr>
                <w:rFonts w:ascii="Calibri" w:hAnsi="Calibri"/>
                <w:b w:val="0"/>
                <w:i w:val="0"/>
                <w:color w:val="1A1A1A"/>
                <w:sz w:val="18"/>
              </w:rPr>
              <w:t>Integration der nachhaltigkeitsbezogenen Leistung in Anreizsysteme</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E1-IRO-1</w:t>
            </w:r>
          </w:p>
        </w:tc>
        <w:tc>
          <w:tcPr>
            <w:tcW w:type="dxa" w:w="3022"/>
            <w:shd w:val="clear" w:color="auto" w:fill="EBF3EE"/>
          </w:tcPr>
          <w:p>
            <w:r>
              <w:rPr>
                <w:rFonts w:ascii="Calibri" w:hAnsi="Calibri"/>
                <w:b w:val="0"/>
                <w:i w:val="0"/>
                <w:color w:val="1A1A1A"/>
                <w:sz w:val="18"/>
              </w:rPr>
              <w:t>Beschreibung der Verfahren zur Ermittlung und Bewertung der wesentlichen klimabezogenen Auswirkungen, Risiken und Chancen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E1-1</w:t>
            </w:r>
          </w:p>
        </w:tc>
        <w:tc>
          <w:tcPr>
            <w:tcW w:type="dxa" w:w="3022"/>
            <w:shd w:val="clear" w:color="auto" w:fill="FFFFFF"/>
          </w:tcPr>
          <w:p>
            <w:r>
              <w:rPr>
                <w:rFonts w:ascii="Calibri" w:hAnsi="Calibri"/>
                <w:b w:val="0"/>
                <w:i w:val="0"/>
                <w:color w:val="1A1A1A"/>
                <w:sz w:val="18"/>
              </w:rPr>
              <w:t>Übergangsplan zur Minderungsmassnahme des Klimawandels</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E1-2</w:t>
            </w:r>
          </w:p>
        </w:tc>
        <w:tc>
          <w:tcPr>
            <w:tcW w:type="dxa" w:w="3022"/>
            <w:shd w:val="clear" w:color="auto" w:fill="EBF3EE"/>
          </w:tcPr>
          <w:p>
            <w:r>
              <w:rPr>
                <w:rFonts w:ascii="Calibri" w:hAnsi="Calibri"/>
                <w:b w:val="0"/>
                <w:i w:val="0"/>
                <w:color w:val="1A1A1A"/>
                <w:sz w:val="18"/>
              </w:rPr>
              <w:t>Richtlinien zu Klimawandelminderung und -anpassung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E1-3</w:t>
            </w:r>
          </w:p>
        </w:tc>
        <w:tc>
          <w:tcPr>
            <w:tcW w:type="dxa" w:w="3022"/>
            <w:shd w:val="clear" w:color="auto" w:fill="FFFFFF"/>
          </w:tcPr>
          <w:p>
            <w:r>
              <w:rPr>
                <w:rFonts w:ascii="Calibri" w:hAnsi="Calibri"/>
                <w:b w:val="0"/>
                <w:i w:val="0"/>
                <w:color w:val="1A1A1A"/>
                <w:sz w:val="18"/>
              </w:rPr>
              <w:t>Maßnahmen und Ressourcen in Bezug auf Klimawandelrichtlinien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E1-4</w:t>
            </w:r>
          </w:p>
        </w:tc>
        <w:tc>
          <w:tcPr>
            <w:tcW w:type="dxa" w:w="3022"/>
            <w:shd w:val="clear" w:color="auto" w:fill="EBF3EE"/>
          </w:tcPr>
          <w:p>
            <w:r>
              <w:rPr>
                <w:rFonts w:ascii="Calibri" w:hAnsi="Calibri"/>
                <w:b w:val="0"/>
                <w:i w:val="0"/>
                <w:color w:val="1A1A1A"/>
                <w:sz w:val="18"/>
              </w:rPr>
              <w:t>Ziele im Zusammenhang mit Klimawandelminderung und -anpassung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E1-5</w:t>
            </w:r>
          </w:p>
        </w:tc>
        <w:tc>
          <w:tcPr>
            <w:tcW w:type="dxa" w:w="3022"/>
            <w:shd w:val="clear" w:color="auto" w:fill="FFFFFF"/>
          </w:tcPr>
          <w:p>
            <w:r>
              <w:rPr>
                <w:rFonts w:ascii="Calibri" w:hAnsi="Calibri"/>
                <w:b w:val="0"/>
                <w:i w:val="0"/>
                <w:color w:val="1A1A1A"/>
                <w:sz w:val="18"/>
              </w:rPr>
              <w:t>Energieverbrauch und -mix</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E1-6</w:t>
            </w:r>
          </w:p>
        </w:tc>
        <w:tc>
          <w:tcPr>
            <w:tcW w:type="dxa" w:w="3022"/>
            <w:shd w:val="clear" w:color="auto" w:fill="EBF3EE"/>
          </w:tcPr>
          <w:p>
            <w:r>
              <w:rPr>
                <w:rFonts w:ascii="Calibri" w:hAnsi="Calibri"/>
                <w:b w:val="0"/>
                <w:i w:val="0"/>
                <w:color w:val="1A1A1A"/>
                <w:sz w:val="18"/>
              </w:rPr>
              <w:t>Brutto Scopes 1, 2, 3 und Gesamtemissionen von Treibhausgasen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E1-7</w:t>
            </w:r>
          </w:p>
        </w:tc>
        <w:tc>
          <w:tcPr>
            <w:tcW w:type="dxa" w:w="3022"/>
            <w:shd w:val="clear" w:color="auto" w:fill="FFFFFF"/>
          </w:tcPr>
          <w:p>
            <w:r>
              <w:rPr>
                <w:rFonts w:ascii="Calibri" w:hAnsi="Calibri"/>
                <w:b w:val="0"/>
                <w:i w:val="0"/>
                <w:color w:val="1A1A1A"/>
                <w:sz w:val="18"/>
              </w:rPr>
              <w:t>Entnahme von Treibhausgasen und Projekte zur Verringerung von Treibhausgasen, finanziert über CO2-Zertifikate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E1-8</w:t>
            </w:r>
          </w:p>
        </w:tc>
        <w:tc>
          <w:tcPr>
            <w:tcW w:type="dxa" w:w="3022"/>
            <w:shd w:val="clear" w:color="auto" w:fill="EBF3EE"/>
          </w:tcPr>
          <w:p>
            <w:r>
              <w:rPr>
                <w:rFonts w:ascii="Calibri" w:hAnsi="Calibri"/>
                <w:b w:val="0"/>
                <w:i w:val="0"/>
                <w:color w:val="1A1A1A"/>
                <w:sz w:val="18"/>
              </w:rPr>
              <w:t>Interne CO2-Bepreisung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S1-1</w:t>
            </w:r>
          </w:p>
        </w:tc>
        <w:tc>
          <w:tcPr>
            <w:tcW w:type="dxa" w:w="3022"/>
            <w:shd w:val="clear" w:color="auto" w:fill="FFFFFF"/>
          </w:tcPr>
          <w:p>
            <w:r>
              <w:rPr>
                <w:rFonts w:ascii="Calibri" w:hAnsi="Calibri"/>
                <w:b w:val="0"/>
                <w:i w:val="0"/>
                <w:color w:val="1A1A1A"/>
                <w:sz w:val="18"/>
              </w:rPr>
              <w:t>Richtlinien zur eigenen Belegschaft</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S1-2</w:t>
            </w:r>
          </w:p>
        </w:tc>
        <w:tc>
          <w:tcPr>
            <w:tcW w:type="dxa" w:w="3022"/>
            <w:shd w:val="clear" w:color="auto" w:fill="EBF3EE"/>
          </w:tcPr>
          <w:p>
            <w:r>
              <w:rPr>
                <w:rFonts w:ascii="Calibri" w:hAnsi="Calibri"/>
                <w:b w:val="0"/>
                <w:i w:val="0"/>
                <w:color w:val="1A1A1A"/>
                <w:sz w:val="18"/>
              </w:rPr>
              <w:t>Prozesse zur Einbindung eigener Arbeitnehmer und Arbeitnehmervertreter in Bezug auf Auswirkungen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S1-3</w:t>
            </w:r>
          </w:p>
        </w:tc>
        <w:tc>
          <w:tcPr>
            <w:tcW w:type="dxa" w:w="3022"/>
            <w:shd w:val="clear" w:color="auto" w:fill="FFFFFF"/>
          </w:tcPr>
          <w:p>
            <w:r>
              <w:rPr>
                <w:rFonts w:ascii="Calibri" w:hAnsi="Calibri"/>
                <w:b w:val="0"/>
                <w:i w:val="0"/>
                <w:color w:val="1A1A1A"/>
                <w:sz w:val="18"/>
              </w:rPr>
              <w:t>Prozesse zur Behebung negativer Auswirkungen und Kanäle für eigene Arbeitnehmer, um Bedenken zu äußern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S1-4</w:t>
            </w:r>
          </w:p>
        </w:tc>
        <w:tc>
          <w:tcPr>
            <w:tcW w:type="dxa" w:w="3022"/>
            <w:shd w:val="clear" w:color="auto" w:fill="EBF3EE"/>
          </w:tcPr>
          <w:p>
            <w:r>
              <w:rPr>
                <w:rFonts w:ascii="Calibri" w:hAnsi="Calibri"/>
                <w:b w:val="0"/>
                <w:i w:val="0"/>
                <w:color w:val="1A1A1A"/>
                <w:sz w:val="18"/>
              </w:rPr>
              <w:t>Maßnahmen zur Bewältigung wesentlicher Auswirkungen auf die eigene Belegschaft, und Ansätze zur Minderung wesentlicher Risiken und Verfolgung wesentlicher Chancen bezüglich der eigenen Belegschaft sowie ihre Wirksamkeit</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S1-5</w:t>
            </w:r>
          </w:p>
        </w:tc>
        <w:tc>
          <w:tcPr>
            <w:tcW w:type="dxa" w:w="3022"/>
            <w:shd w:val="clear" w:color="auto" w:fill="FFFFFF"/>
          </w:tcPr>
          <w:p>
            <w:r>
              <w:rPr>
                <w:rFonts w:ascii="Calibri" w:hAnsi="Calibri"/>
                <w:b w:val="0"/>
                <w:i w:val="0"/>
                <w:color w:val="1A1A1A"/>
                <w:sz w:val="18"/>
              </w:rPr>
              <w:t>Ziele zur Bewältigung wesentlicher negativer Auswirkungen, Förderung positiver Auswirkungen und Management von wesentlichen Risiken und Chancen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S1-6</w:t>
            </w:r>
          </w:p>
        </w:tc>
        <w:tc>
          <w:tcPr>
            <w:tcW w:type="dxa" w:w="3022"/>
            <w:shd w:val="clear" w:color="auto" w:fill="EBF3EE"/>
          </w:tcPr>
          <w:p>
            <w:r>
              <w:rPr>
                <w:rFonts w:ascii="Calibri" w:hAnsi="Calibri"/>
                <w:b w:val="0"/>
                <w:i w:val="0"/>
                <w:color w:val="1A1A1A"/>
                <w:sz w:val="18"/>
              </w:rPr>
              <w:t>Merkmale der Mitarbeiter des Unternehmens</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S1-9</w:t>
            </w:r>
          </w:p>
        </w:tc>
        <w:tc>
          <w:tcPr>
            <w:tcW w:type="dxa" w:w="3022"/>
            <w:shd w:val="clear" w:color="auto" w:fill="FFFFFF"/>
          </w:tcPr>
          <w:p>
            <w:r>
              <w:rPr>
                <w:rFonts w:ascii="Calibri" w:hAnsi="Calibri"/>
                <w:b w:val="0"/>
                <w:i w:val="0"/>
                <w:color w:val="1A1A1A"/>
                <w:sz w:val="18"/>
              </w:rPr>
              <w:t>Diversitätsmetriken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S1-16</w:t>
            </w:r>
          </w:p>
        </w:tc>
        <w:tc>
          <w:tcPr>
            <w:tcW w:type="dxa" w:w="3022"/>
            <w:shd w:val="clear" w:color="auto" w:fill="EBF3EE"/>
          </w:tcPr>
          <w:p>
            <w:r>
              <w:rPr>
                <w:rFonts w:ascii="Calibri" w:hAnsi="Calibri"/>
                <w:b w:val="0"/>
                <w:i w:val="0"/>
                <w:color w:val="1A1A1A"/>
                <w:sz w:val="18"/>
              </w:rPr>
              <w:t>Vergütungsmetriken (Lohnlücke und Gesamtvergütung)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S4-1</w:t>
            </w:r>
          </w:p>
        </w:tc>
        <w:tc>
          <w:tcPr>
            <w:tcW w:type="dxa" w:w="3022"/>
            <w:shd w:val="clear" w:color="auto" w:fill="EBF3EE"/>
          </w:tcPr>
          <w:p>
            <w:r>
              <w:rPr>
                <w:rFonts w:ascii="Calibri" w:hAnsi="Calibri"/>
                <w:b w:val="0"/>
                <w:i w:val="0"/>
                <w:color w:val="1A1A1A"/>
                <w:sz w:val="18"/>
              </w:rPr>
              <w:t>Richtlinien zu Verbrauchern und Endnutzern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S4-2</w:t>
            </w:r>
          </w:p>
        </w:tc>
        <w:tc>
          <w:tcPr>
            <w:tcW w:type="dxa" w:w="3022"/>
            <w:shd w:val="clear" w:color="auto" w:fill="FFFFFF"/>
          </w:tcPr>
          <w:p>
            <w:r>
              <w:rPr>
                <w:rFonts w:ascii="Calibri" w:hAnsi="Calibri"/>
                <w:b w:val="0"/>
                <w:i w:val="0"/>
                <w:color w:val="1A1A1A"/>
                <w:sz w:val="18"/>
              </w:rPr>
              <w:t>Prozesse zur Einbindung von Verbrauchern und Endnutzern in Bezug auf Auswirkungen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S4-3</w:t>
            </w:r>
          </w:p>
        </w:tc>
        <w:tc>
          <w:tcPr>
            <w:tcW w:type="dxa" w:w="3022"/>
            <w:shd w:val="clear" w:color="auto" w:fill="EBF3EE"/>
          </w:tcPr>
          <w:p>
            <w:r>
              <w:rPr>
                <w:rFonts w:ascii="Calibri" w:hAnsi="Calibri"/>
                <w:b w:val="0"/>
                <w:i w:val="0"/>
                <w:color w:val="1A1A1A"/>
                <w:sz w:val="18"/>
              </w:rPr>
              <w:t>Prozesse zur Behebung negativer Auswirkungen und Kanäle für Verbraucher und Endnutzer, um Bedenken zu äußern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S4-4</w:t>
            </w:r>
          </w:p>
        </w:tc>
        <w:tc>
          <w:tcPr>
            <w:tcW w:type="dxa" w:w="3022"/>
            <w:shd w:val="clear" w:color="auto" w:fill="FFFFFF"/>
          </w:tcPr>
          <w:p>
            <w:r>
              <w:rPr>
                <w:rFonts w:ascii="Calibri" w:hAnsi="Calibri"/>
                <w:b w:val="0"/>
                <w:i w:val="0"/>
                <w:color w:val="1A1A1A"/>
                <w:sz w:val="18"/>
              </w:rPr>
              <w:t>Maßnahmen zur Bewältigung wesentlicher Auswirkungen auf Verbraucher und Endnutzer und Ansätze zur Minderung wesentlicher Risiken und Verfolgung wesentlicher Chancen in Bezug auf Verbraucher und Endnutzer und deren Effektivität</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S4-5</w:t>
            </w:r>
          </w:p>
        </w:tc>
        <w:tc>
          <w:tcPr>
            <w:tcW w:type="dxa" w:w="3022"/>
            <w:shd w:val="clear" w:color="auto" w:fill="EBF3EE"/>
          </w:tcPr>
          <w:p>
            <w:r>
              <w:rPr>
                <w:rFonts w:ascii="Calibri" w:hAnsi="Calibri"/>
                <w:b w:val="0"/>
                <w:i w:val="0"/>
                <w:color w:val="1A1A1A"/>
                <w:sz w:val="18"/>
              </w:rPr>
              <w:t>Ziele zur Bewältigung wesentlicher negativer Auswirkungen, Förderung positiver Auswirkungen und Management von wesentlichen Risiken und Chancen</w:t>
            </w:r>
          </w:p>
        </w:tc>
        <w:tc>
          <w:tcPr>
            <w:tcW w:type="dxa" w:w="3022"/>
            <w:shd w:val="clear" w:color="auto" w:fill="EBF3EE"/>
          </w:tcPr>
          <w:p>
            <w:r>
              <w:rPr>
                <w:rFonts w:ascii="Calibri" w:hAnsi="Calibri"/>
                <w:b w:val="0"/>
                <w:i w:val="0"/>
                <w:color w:val="1A1A1A"/>
                <w:sz w:val="18"/>
              </w:rPr>
            </w:r>
          </w:p>
        </w:tc>
      </w:tr>
    </w:tbl>
    <w:p/>
    <w:p>
      <w:pPr>
        <w:pStyle w:val="Heading3"/>
      </w:pPr>
      <w:r>
        <w:t>57 – Wesentlichkeitsbewertung des Themas E1 Klimawandel</w:t>
      </w:r>
    </w:p>
    <w:p>
      <w:pPr>
        <w:spacing w:before="0" w:after="80" w:line="276" w:lineRule="auto"/>
      </w:pPr>
      <w:r>
        <w:rPr>
          <w:rFonts w:ascii="Calibri" w:hAnsi="Calibri"/>
          <w:b w:val="0"/>
          <w:i w:val="0"/>
          <w:color w:val="1A1A1A"/>
          <w:sz w:val="21"/>
        </w:rPr>
        <w:t>ESRS E1 Klimwandel wurde im Zuge der doppelten Wesentlichkeitsanalyse für das Jahr 2024 als wesentlch eingestuft.</w:t>
      </w:r>
    </w:p>
    <w:p>
      <w:pPr>
        <w:pStyle w:val="Heading1"/>
      </w:pPr>
      <w:r>
        <w:t>Umweltinformationen</w:t>
      </w:r>
    </w:p>
    <w:p>
      <w:pPr>
        <w:pStyle w:val="Heading2"/>
      </w:pPr>
      <w:r>
        <w:t>E1 - GOV-3 (ESRS 2)</w:t>
      </w:r>
    </w:p>
    <w:p>
      <w:pPr>
        <w:pStyle w:val="Heading2"/>
      </w:pPr>
      <w:r>
        <w:t>E1 - SBM-3 (ESRS 2)</w:t>
      </w:r>
    </w:p>
    <w:p>
      <w:pPr>
        <w:pStyle w:val="Heading2"/>
      </w:pPr>
      <w:r>
        <w:t>E1 - IRO-1 (ESRS 2)</w:t>
      </w:r>
    </w:p>
    <w:p>
      <w:pPr>
        <w:pStyle w:val="Heading2"/>
      </w:pPr>
      <w:r>
        <w:t>E1-1 – Übergangsplan zur Minderungsmassnahme des Klimawandels</w:t>
      </w:r>
    </w:p>
    <w:p>
      <w:pPr>
        <w:pStyle w:val="Heading3"/>
      </w:pPr>
      <w:r>
        <w:t>14 – Erläuterung des Transitionsplans für den Klimaschutz</w:t>
      </w:r>
    </w:p>
    <w:p>
      <w:pPr>
        <w:spacing w:before="0" w:after="80" w:line="276" w:lineRule="auto"/>
      </w:pPr>
      <w:r>
        <w:rPr>
          <w:rFonts w:ascii="Calibri" w:hAnsi="Calibri"/>
          <w:b w:val="0"/>
          <w:i w:val="0"/>
          <w:color w:val="1A1A1A"/>
          <w:sz w:val="21"/>
        </w:rPr>
        <w:t>Erläuterung des Transitionsplans für den Klimaschutz trifft zu.</w:t>
      </w:r>
    </w:p>
    <w:p>
      <w:pPr>
        <w:pStyle w:val="Heading3"/>
      </w:pPr>
      <w:r>
        <w:t>16 – Ziele und Maßnahmen im Einklang mit dem Pariser Abkommen</w:t>
      </w:r>
    </w:p>
    <w:p>
      <w:pPr>
        <w:spacing w:before="0" w:after="80" w:line="276" w:lineRule="auto"/>
      </w:pPr>
      <w:r>
        <w:rPr>
          <w:rFonts w:ascii="Calibri" w:hAnsi="Calibri"/>
          <w:b w:val="0"/>
          <w:i w:val="0"/>
          <w:color w:val="1A1A1A"/>
          <w:sz w:val="21"/>
        </w:rPr>
        <w:t>Fröbel hat seine Treibhausgas-Reduktionsziele im Einklang mit den Zielen des Pariser Klimaabkommens festgelegt. Ziel ist es, die unternehmensweiten Treibhausgasemissionen bis 2030 um 50 % gegenüber dem Basisjahr 2019 zu senken und bis 2040 Netto-Null-Emissionen zu erreichen (durch 58 % tatsächliche Reduktion und Kompensation unvermeidbarer Restemissionen).</w:t>
      </w:r>
    </w:p>
    <w:p>
      <w:pPr>
        <w:spacing w:before="0" w:after="80" w:line="276" w:lineRule="auto"/>
      </w:pPr>
      <w:r>
        <w:rPr>
          <w:rFonts w:ascii="Calibri" w:hAnsi="Calibri"/>
          <w:b w:val="0"/>
          <w:i w:val="0"/>
          <w:color w:val="1A1A1A"/>
          <w:sz w:val="21"/>
        </w:rPr>
        <w:t>Die Reduktionsrate bis 2030 entspricht einer durchschnittlichen Emissionsminderung von rund 6,3 % pro Jahr und liegt damit über dem von der Science Based Targets initiative (SBTi) definierten 1,5 °C-Pfad für Dienstleistungsunternehmen (ca. 4,2 % p. a. in Scope 1 + 2). Damit ist der Fröbel-Reduktionspfad in seiner Ambition und zeitlichen Staffelung mit den Zielen des Übereinkommens von Paris und den EU-Klimazielen (Netto-Null bis 2050) konsistent.</w:t>
      </w:r>
    </w:p>
    <w:p>
      <w:pPr>
        <w:spacing w:before="0" w:after="80" w:line="276" w:lineRule="auto"/>
      </w:pPr>
      <w:r>
        <w:rPr>
          <w:rFonts w:ascii="Calibri" w:hAnsi="Calibri"/>
          <w:b w:val="0"/>
          <w:i w:val="0"/>
          <w:color w:val="1A1A1A"/>
          <w:sz w:val="21"/>
        </w:rPr>
        <w:t>Zur Ableitung der Zielwerte wurde das THG-Inventar der Jahre 2019, 2022, 2023 und 2024 verwendet. Die Schwerpunktsetzung auf die größten Emissionsquellen – Verpflegung, Gebäudeenergie und Mobilität – gewährleistet, dass die Reduktionen dort erzielt werden, wo die größten Klimawirkungen entstehen.</w:t>
      </w:r>
    </w:p>
    <w:p>
      <w:pPr>
        <w:spacing w:before="0" w:after="80" w:line="276" w:lineRule="auto"/>
      </w:pPr>
      <w:r>
        <w:rPr>
          <w:rFonts w:ascii="Calibri" w:hAnsi="Calibri"/>
          <w:b w:val="0"/>
          <w:i w:val="0"/>
          <w:color w:val="1A1A1A"/>
          <w:sz w:val="21"/>
        </w:rPr>
        <w:t>Fröbel verfolgt zur Erreichung seiner Klimaziele einen systematisch aufgebauten Transitionspfad, der alle relevanten Emissionsquellen entlang der eigenen Wertschöpfung abdeckt. Die Maßnahmen adressieren die drei Emissionsbereiche (Scopes 1–3) und kombinieren technische, organisatorische und verhaltensbezogene Hebel. Ziel ist eine Reduktion der Gesamtemissionen um 50 % bis 2030 und um 58 % bis 2040 gegenüber dem Basisjahr 2019. Alle Angaben beziehen sich auf Bruttoreduktionen (ohne Kompensation).</w:t>
      </w:r>
    </w:p>
    <w:p>
      <w:pPr>
        <w:spacing w:before="0" w:after="80" w:line="276" w:lineRule="auto"/>
      </w:pPr>
      <w:r>
        <w:rPr>
          <w:rFonts w:ascii="Calibri" w:hAnsi="Calibri"/>
          <w:b w:val="0"/>
          <w:i w:val="0"/>
          <w:color w:val="1A1A1A"/>
          <w:sz w:val="21"/>
        </w:rPr>
        <w:t>Scope 1 – Direkte Emissionen (Heizung &amp; Fuhrpark) - Heizung (Holzpellets, Heizöl, Erdgas): Durch energetische Sanierungen, Heizungsoptimierungen und die sukzessive Umstellung auf effizientere Systeme und erneuerbare Wärmetechnologien sollen die Emissionen aus der Wärmeerzeugung signifikant gesenkt werden. Gegenüber 2019 (1,515 t CO₂e) wird bis 2030 eine Reduktion auf 900 t CO₂e (−40,6 %) und bis 2040 auf 600 t CO₂e (−60,4 %) angestrebt. Dieser Hebel trägt rund 10 % zur gesamten Emissionsreduktion bei. - Fuhrpark (Verbrennerfahrzeuge): Die Elektrifizierung der Dienstfahrzeugflotte ist zentraler Bestandteil der Mobilitätsstrategie. Bis 2027 sollen 80 %, bis 2030 100 % der Fahrzeuge elektrisch betrieben werden. Damit sinken die Emissionen von derzeit 50,9 t CO₂e (2019) auf 0 t CO₂e (−100 %) bis 2030 und 2040. Beitrag zur Gesamtreduktion: ≈ 3 %.</w:t>
      </w:r>
    </w:p>
    <w:p>
      <w:pPr>
        <w:spacing w:before="0" w:after="80" w:line="276" w:lineRule="auto"/>
      </w:pPr>
      <w:r>
        <w:rPr>
          <w:rFonts w:ascii="Calibri" w:hAnsi="Calibri"/>
          <w:b w:val="0"/>
          <w:i w:val="0"/>
          <w:color w:val="1A1A1A"/>
          <w:sz w:val="21"/>
        </w:rPr>
        <w:t>Scope 2 – Indirekte Emissionen (Strom, Fernwärme) - Eingekaufte Wärme &amp; Kälte (Fernwärme): Durch die Umstellung auf klimafreundlichere Fernwärmemixe, Energieaudits und die Pilotierung erneuerbarer Wärmetechnologien werden deutliche Einsparungen erzielt. Die Emissionen sinken von 3,042 t CO₂e (2019) auf 700 t CO₂e (−77 %) bis 2030 und 530 t CO₂e (−82,6 %) bis 2040. Beitrag zur Gesamtreduktion: ≈ 7 %. - Eingekaufter Strom: Fröbel bezieht seit 2024 zu 100 % zertifizierten Ökostrom in allen Einrichtungen mit eigenem Stromvertrag. Zudem erfolgt ein fortlaufender Ausbau von Photovoltaikanlagen (derzeit 30 Standorte, Erweiterung bis 2030 geplant). Die Emissionen aus Stromnutzung sinken von 1,788 t CO₂e (2019) auf 100 t CO₂e (−94,4 %) bis 2030 und auf 0 t CO₂e (−100 %) bis 2040. Beitrag zur Gesamtreduktion: ≈ 15 %.</w:t>
      </w:r>
    </w:p>
    <w:p>
      <w:pPr>
        <w:spacing w:before="0" w:after="80" w:line="276" w:lineRule="auto"/>
      </w:pPr>
      <w:r>
        <w:rPr>
          <w:rFonts w:ascii="Calibri" w:hAnsi="Calibri"/>
          <w:b w:val="0"/>
          <w:i w:val="0"/>
          <w:color w:val="1A1A1A"/>
          <w:sz w:val="21"/>
        </w:rPr>
        <w:t>Scope 3 – Weitere indirekte Emissionen - Kantine / Catering &amp; Lebensmittel: Mit einem Anteil von rund 40 % der Gesamtemissionen ist dieser Bereich der größte Hebel. Durch den Fröbel-Leitfaden für Küchenteams (85,7 % umgesetzt), die Einführung der DGE-Standards, die vollständige Umstellung auf ovo-lacto-vegetarische Ernährung bis 2030 sowie den verstärkten Einsatz regionaler und biologischer Produkte sollen die Emissionen von 6,685 t CO₂e (2019) auf 3,725 t CO₂e (−44,3 %) bis 2030 und auf 4 t CO₂e (−40,2 %) bis 2040 sinken. Beitrag zur Gesamtreduktion: ≈ 30 %. - Pendeln (Mitarbeitende): Zur Reduktion der Pendel-Emissionen werden nachhaltige Mobilitätsalternativen gefördert – etwa das Deutschlandticket Job, Fahrradnutzung und digitale Arbeitsformate. Die Emissionen werden von 1,047 t CO₂e (2019) auf 1 t CO₂e (−4,5 %) bis 2030 und 600 t CO₂e (−42,7 %) bis 2040 reduziert. Beitrag: ≈ 8 %. - Drittfinanzierte Warenlogistik und Transport (Familienverkehr): Fröbel sensibilisiert Familien für klimafreundliche Anreiseoptionen und entwickelt lokale Mobilitätskonzepte. Emissionen sinken von 963 t CO₂e auf 700 t CO₂e (−27,3 %) bis 2030 und 500 t CO₂e (−48,1 %) bis 2040. Beitrag: ≈ 5 %. - Geschäftsreisen: Durch die neue Reisekostenrichtlinie werden Bahnreisen bevorzugt, Dienstreisen reduziert und digitale Alternativen ausgebaut. Emissionen sinken von 254 t CO₂e auf 100 t CO₂e (−60,7 %) bis 2030 und 70 t CO₂e (−72,5 %) bis 2040. Beitrag: ≈ 2 %. - Abfall &amp; Recycling: Maßnahmen zur Vermeidung von Lebensmittelabfällen, zur Trennung und zur Nutzung recyclingfähiger Materialien reduzieren die Emissionen langfristig auf einem stabilen Niveau von rund 200 t CO₂e (−4,4 %). Beitrag: ≈ 1 %. - Sonstige Kategorien (Elektronik, Büromaterial, Wasser u. a.): Durch bewussteren Einkauf, Effizienzmaßnahmen und Vermeidung kleinerer Emissionsquellen wird ein zusätzlicher Beitrag von rund 2 % erzielt.</w:t>
      </w:r>
    </w:p>
    <w:p>
      <w:pPr>
        <w:spacing w:before="0" w:after="80" w:line="276" w:lineRule="auto"/>
      </w:pPr>
      <w:r>
        <w:rPr>
          <w:rFonts w:ascii="Calibri" w:hAnsi="Calibri"/>
          <w:b w:val="0"/>
          <w:i w:val="0"/>
          <w:color w:val="1A1A1A"/>
          <w:sz w:val="21"/>
        </w:rPr>
        <w:t>Gesamteinschätzung In Summe decken die Maßnahmen alle wesentlichen Emissionsquellen ab. Die stärksten Hebel liegen bei Gebäudeenergie (Strom + Wärme) und Verpflegung, gefolgt von Mobilität. Zusammen ermöglichen sie eine Gesamtreduktion um ca. 50 % bis 2030 und ca. 58 % bis 2040 gegenüber 2019. Die Fortschritte werden jährlich im Rahmen der THG-Bilanzierung überprüft, validiert und im Nachhaltigkeitsbericht veröffentlicht.</w:t>
      </w:r>
    </w:p>
    <w:p>
      <w:pPr>
        <w:spacing w:before="0" w:after="80" w:line="276" w:lineRule="auto"/>
      </w:pPr>
      <w:r>
        <w:rPr>
          <w:rFonts w:ascii="Calibri" w:hAnsi="Calibri"/>
          <w:b w:val="0"/>
          <w:i w:val="0"/>
          <w:color w:val="1A1A1A"/>
          <w:sz w:val="21"/>
        </w:rPr>
        <w:t>Zur Umsetzung des Transitionsplans stellt Fröbel gezielt Investitionsmittel für Maßnahmen zur Emissionsreduktion und Klimaanpassung bereit. Die Finanzierung erfolgt im Rahmen der jährlichen Haushaltsplanung sowie über ein mehrjähriges Globalbudget, das ausschließlich für CapEx-Maßnahmen im Bereich Energieeffizienz, Gebäudesanierung und Klimaanpassung vorgesehen ist.</w:t>
      </w:r>
    </w:p>
    <w:p>
      <w:pPr>
        <w:spacing w:before="0" w:after="80" w:line="276" w:lineRule="auto"/>
      </w:pPr>
      <w:r>
        <w:rPr>
          <w:rFonts w:ascii="Calibri" w:hAnsi="Calibri"/>
          <w:b w:val="0"/>
          <w:i w:val="0"/>
          <w:color w:val="1A1A1A"/>
          <w:sz w:val="21"/>
        </w:rPr>
        <w:t>Für das Jahr 2024 ein Globalbudget in Höhe von 1 Mio. Euro beschlossen. Die Mittel dienen insbesondere: - der energetischen Sanierung von Bestandsgebäuden, - dem Ausbau erneuerbarer Energien (v. a. Photovoltaikanlagen), - der Modernisierung von Heizungsanlagen, - sowie der Umsetzung von Klimaanpassungsmaßnahmen an den Kita-Standorten.</w:t>
      </w:r>
    </w:p>
    <w:p>
      <w:pPr>
        <w:spacing w:before="0" w:after="80" w:line="276" w:lineRule="auto"/>
      </w:pPr>
      <w:r>
        <w:rPr>
          <w:rFonts w:ascii="Calibri" w:hAnsi="Calibri"/>
          <w:b w:val="0"/>
          <w:i w:val="0"/>
          <w:color w:val="1A1A1A"/>
          <w:sz w:val="21"/>
        </w:rPr>
        <w:t>Für die Folgejahre wird, abhängig von der finanziellen Leistungsfähigkeit der gGmbH, eine Fortführung des Globalbudgets mit vergleichbarem Volumen angestrebt.</w:t>
      </w:r>
    </w:p>
    <w:p>
      <w:pPr>
        <w:spacing w:before="0" w:after="80" w:line="276" w:lineRule="auto"/>
      </w:pPr>
      <w:r>
        <w:rPr>
          <w:rFonts w:ascii="Calibri" w:hAnsi="Calibri"/>
          <w:b w:val="0"/>
          <w:i w:val="0"/>
          <w:color w:val="1A1A1A"/>
          <w:sz w:val="21"/>
        </w:rPr>
        <w:t>Darüber hinaus werden Investitionen in Mobilität (Elektrifizierung des Fuhrparks), digitale Datenerfassungssysteme (CAFM, THG-Bilanzierung) sowie nachhaltige Verpflegungsinfrastruktur aus laufenden Betriebsmitteln (OpEx) finanziert. Diese operativen Aufwendungen werden als Teil der allgemeinen Sachkosten und Personalbudgets getragen.</w:t>
      </w:r>
    </w:p>
    <w:p>
      <w:pPr>
        <w:spacing w:before="0" w:after="80" w:line="276" w:lineRule="auto"/>
      </w:pPr>
      <w:r>
        <w:rPr>
          <w:rFonts w:ascii="Calibri" w:hAnsi="Calibri"/>
          <w:b w:val="0"/>
          <w:i w:val="0"/>
          <w:color w:val="1A1A1A"/>
          <w:sz w:val="21"/>
        </w:rPr>
        <w:t>Wo möglich, nutzt Fröbel öffentliche Fördermittel (z. B. KfW-, Länder- und kommunale Programme) zur Kofinanzierung der Klimaschutzmaßnahmen, insbesondere für Photovoltaik-Projekte und energetische Sanierungen.</w:t>
      </w:r>
    </w:p>
    <w:p>
      <w:pPr>
        <w:spacing w:before="0" w:after="80" w:line="276" w:lineRule="auto"/>
      </w:pPr>
      <w:r>
        <w:rPr>
          <w:rFonts w:ascii="Calibri" w:hAnsi="Calibri"/>
          <w:b w:val="0"/>
          <w:i w:val="0"/>
          <w:color w:val="1A1A1A"/>
          <w:sz w:val="21"/>
        </w:rPr>
        <w:t>Die Fortschritte bei der Mittelverwendung werden im Rahmen der jährlichen THG-Bilanzierung und Budgetberichterstattung nachverfolgt. Das Verhältnis von CapEx-Investitionen in klimarelevante Projekte zu den gesamten Investitionsausgaben wird in künftigen Nachhaltigkeitsberichten ausgewiesen, sobald eine vollständige Systematik zur taxonomiekonformen Erfassung vorliegt.</w:t>
      </w:r>
    </w:p>
    <w:p>
      <w:pPr>
        <w:spacing w:before="0" w:after="80" w:line="276" w:lineRule="auto"/>
      </w:pPr>
      <w:r>
        <w:rPr>
          <w:rFonts w:ascii="Calibri" w:hAnsi="Calibri"/>
          <w:b w:val="0"/>
          <w:i w:val="0"/>
          <w:color w:val="1A1A1A"/>
          <w:sz w:val="21"/>
        </w:rPr>
        <w:t>Fröbel betreibt keine energie- oder rohstoffintensiven Anlagen und ist daher nur in geringem Umfang von gebundenen Treibhausgasemissionen betroffen. Die wesentlichen potenziellen Emissionsbindungen ergeben sich aus:</w:t>
      </w:r>
    </w:p>
    <w:p>
      <w:pPr>
        <w:spacing w:before="0" w:after="80" w:line="276" w:lineRule="auto"/>
      </w:pPr>
      <w:r>
        <w:rPr>
          <w:rFonts w:ascii="Calibri" w:hAnsi="Calibri"/>
          <w:b w:val="0"/>
          <w:i w:val="0"/>
          <w:color w:val="1A1A1A"/>
          <w:sz w:val="21"/>
        </w:rPr>
        <w:t>Bestandsgebäuden mit konventionellen Heizsystemen (Gas, Öl, Fernwärme) – Ein Teil der Fröbel-Einrichtungen befindet sich in angemieteten oder denkmalgeschützten Gebäuden, in denen eine kurzfristige Umstellung auf erneuerbare Wärmequellen nicht möglich ist. – Diese Infrastruktur verursacht derzeit rund 1,5 t CO₂e (Scope 1), deren Reduktion nur im Rahmen von Eigentümerentscheidungen oder Sanierungszyklen realisierbar ist. – Hier besteht das Risiko, dass die Dekarbonisierungsgeschwindigkeit durch bauliche Rahmenbedingungen gebremst wird.</w:t>
      </w:r>
    </w:p>
    <w:p>
      <w:pPr>
        <w:spacing w:before="0" w:after="80" w:line="276" w:lineRule="auto"/>
      </w:pPr>
      <w:r>
        <w:rPr>
          <w:rFonts w:ascii="Calibri" w:hAnsi="Calibri"/>
          <w:b w:val="0"/>
          <w:i w:val="0"/>
          <w:color w:val="1A1A1A"/>
          <w:sz w:val="21"/>
        </w:rPr>
        <w:t>Verpflegungssystem und Lebensmittelversorgung – Ein Teil der Emissionen bleibt auch langfristig an die Bereitstellung von Mahlzeiten gebunden. – Diese liegen überwiegend im Scope 3-Bereich (Wareneinsatz Lebensmittel bei Einrichtungen mit Frischküche sowie externes Catering: ca. 6,7 t CO₂e im Jahr 2019). – Trotz umfangreicher Umstellungen auf ovo-lacto-vegetarische Ernährung, regional-saisonale Zutaten und DGE-Standards bleiben unvermeidbare Restemissionen bestehen. – Diese gelten als strukturell gebundene Emissionen, die voraussichtlich durch Kompensationsmaßnahmen ausgeglichen werden müssen.</w:t>
      </w:r>
    </w:p>
    <w:p>
      <w:pPr>
        <w:spacing w:before="0" w:after="80" w:line="276" w:lineRule="auto"/>
      </w:pPr>
      <w:r>
        <w:rPr>
          <w:rFonts w:ascii="Calibri" w:hAnsi="Calibri"/>
          <w:b w:val="0"/>
          <w:i w:val="0"/>
          <w:color w:val="1A1A1A"/>
          <w:sz w:val="21"/>
        </w:rPr>
        <w:t>Fröbel begegnet diesen Transitionsrisiken durch eine langfristige Sanierungs- und Anpassungsstrategie. Gebäude mit hohem Energieverbrauch werden priorisiert saniert, neue Standorte grundsätzlich nach nachhaltigen Baustandards errichtet. Im Bereich Ernährung werden Lieferketten und Speisepläne regelmäßig überprüft, um Emissionen weiter zu senken.</w:t>
      </w:r>
    </w:p>
    <w:p>
      <w:pPr>
        <w:spacing w:before="0" w:after="80" w:line="276" w:lineRule="auto"/>
      </w:pPr>
      <w:r>
        <w:rPr>
          <w:rFonts w:ascii="Calibri" w:hAnsi="Calibri"/>
          <w:b w:val="0"/>
          <w:i w:val="0"/>
          <w:color w:val="1A1A1A"/>
          <w:sz w:val="21"/>
        </w:rPr>
        <w:t>Die identifizierten gebundenen Emissionen gefährden nicht die Erreichung der Netto-Null-Ziele bis 2040, führen jedoch zu einem erhöhten Kompensationsbedarf nach vollständiger Umsetzung aller technischen und organisatorischen Maßnahmen. Fröbel plant, diesen Bedarf ab 2035 über zertifizierte nationale und internationale Klimaschutzprojekte auszugleichen.</w:t>
      </w:r>
    </w:p>
    <w:p>
      <w:pPr>
        <w:spacing w:before="0" w:after="80" w:line="276" w:lineRule="auto"/>
      </w:pPr>
      <w:r>
        <w:rPr>
          <w:rFonts w:ascii="Calibri" w:hAnsi="Calibri"/>
          <w:b w:val="0"/>
          <w:i w:val="0"/>
          <w:color w:val="1A1A1A"/>
          <w:sz w:val="21"/>
        </w:rPr>
        <w:t>Ist das Unternehmen vom Paris- abgestimmten EU-Referenzwert ausgeschlossen?: Yes Fröbel fällt nicht unter die EU-Referenzwerte („EU Paris-aligned Benchmarks“) gemäß Verordnung (EU) 2019/2089, da das Unternehmen keine Kapitalmarktprodukte (z. B. Finanzinstrumente, Fonds oder Anleihen) anbietet und somit nicht als Finanzmarktteilnehmer oder Emittent im Sinne der Benchmark-Verordnung gilt.</w:t>
      </w:r>
    </w:p>
    <w:p>
      <w:pPr>
        <w:spacing w:before="0" w:after="80" w:line="276" w:lineRule="auto"/>
      </w:pPr>
      <w:r>
        <w:rPr>
          <w:rFonts w:ascii="Calibri" w:hAnsi="Calibri"/>
          <w:b w:val="0"/>
          <w:i w:val="0"/>
          <w:color w:val="1A1A1A"/>
          <w:sz w:val="21"/>
        </w:rPr>
        <w:t>Der Transitionsplan von Fröbel ist integraler Bestandteil der Unternehmensstrategie 2030 sowie der dedizierten Nachhaltigkeitsstrategie. Er bildet den operativen Rahmen für die Umsetzung des strategischen Ziels, die Treibhausgasemissionen bis 2030 um 50 % (gegenüber 2019) zu reduzieren und bis 2040 Netto-Null-Emissionen zu erreichen.</w:t>
      </w:r>
    </w:p>
    <w:p>
      <w:pPr>
        <w:spacing w:before="0" w:after="80" w:line="276" w:lineRule="auto"/>
      </w:pPr>
      <w:r>
        <w:rPr>
          <w:rFonts w:ascii="Calibri" w:hAnsi="Calibri"/>
          <w:b w:val="0"/>
          <w:i w:val="0"/>
          <w:color w:val="1A1A1A"/>
          <w:sz w:val="21"/>
        </w:rPr>
        <w:t>Die Maßnahmen des Transitionsplans sind direkt mit den Handlungsfeldern der Geschäftsstrategie verknüpft – insbesondere: - Gebäude &amp; Energie: energetische Sanierungen, PV-Ausbau, Heizungsoptimierungen, Globalbudget 2024–2026, - Ernährung &amp; Verpflegung: nachhaltige und vegetarische Verpflegung nach DGE-Standard, - Mobilität: Elektrifizierung des Fuhrparks und Förderung nachhaltiger Mitarbeitermobilität.</w:t>
      </w:r>
    </w:p>
    <w:p>
      <w:pPr>
        <w:spacing w:before="0" w:after="80" w:line="276" w:lineRule="auto"/>
      </w:pPr>
      <w:r>
        <w:rPr>
          <w:rFonts w:ascii="Calibri" w:hAnsi="Calibri"/>
          <w:b w:val="0"/>
          <w:i w:val="0"/>
          <w:color w:val="1A1A1A"/>
          <w:sz w:val="21"/>
        </w:rPr>
        <w:t>Die Finanzierung der Maßnahmen erfolgt u.a. über das jährlich in der Finanzplanung verankerte Globalbudget (CapEx) für Energie- und Klimaschutzmaßnahmen sowie über projektbezogene Fördermittel. Darüber hinaus sind Nachhaltigkeitsziele in interne Steuerungsprozesse und Entscheidungsgrundlagen integriert – insbesondere in Bau- und Investitionsentscheidungen, die Beschaffung, die Küchenplanung sowie in die Personal- und Mobilitätsrichtlinien.</w:t>
      </w:r>
    </w:p>
    <w:p>
      <w:pPr>
        <w:spacing w:before="0" w:after="80" w:line="276" w:lineRule="auto"/>
      </w:pPr>
      <w:r>
        <w:rPr>
          <w:rFonts w:ascii="Calibri" w:hAnsi="Calibri"/>
          <w:b w:val="0"/>
          <w:i w:val="0"/>
          <w:color w:val="1A1A1A"/>
          <w:sz w:val="21"/>
        </w:rPr>
        <w:t>Damit ist der Transitionsplan fest in die mittelfristige Unternehmensplanung eingebunden und wird jährlich überprüft, fortgeschrieben und mit der Finanzplanung abgestimmt.</w:t>
      </w:r>
    </w:p>
    <w:p>
      <w:pPr>
        <w:spacing w:before="0" w:after="80" w:line="276" w:lineRule="auto"/>
      </w:pPr>
      <w:r>
        <w:rPr>
          <w:rFonts w:ascii="Calibri" w:hAnsi="Calibri"/>
          <w:b w:val="0"/>
          <w:i w:val="0"/>
          <w:color w:val="1A1A1A"/>
          <w:sz w:val="21"/>
        </w:rPr>
        <w:t>Wurde dieser von Verwaltungs-, Leitungs- und Aufsichtsorganen genehmigt?: Yes Die in Absatz 14 genannten Informationen, Transitionsplan zum Klimaschutz wurde vom Aufsichtsrat un dder Geschäftsführung der Fröbel Bildung und Erziehung gGmbH am 16.12.25 vorgestellt und genehmigt.</w:t>
      </w:r>
    </w:p>
    <w:p>
      <w:pPr>
        <w:spacing w:before="0" w:after="80" w:line="276" w:lineRule="auto"/>
      </w:pPr>
      <w:r>
        <w:rPr>
          <w:rFonts w:ascii="Calibri" w:hAnsi="Calibri"/>
          <w:b w:val="0"/>
          <w:i w:val="0"/>
          <w:color w:val="1A1A1A"/>
          <w:sz w:val="21"/>
        </w:rPr>
        <w:t>Fröbel hat seit der Erstellung der ersten Treibhausgasbilanz (Referenzjahr 2019) wesentliche Fortschritte bei der Umsetzung der im Transitionsplan definierten Maßnahmen erzielt. Zum Jahresende 2024 konnte bereits eine Emissionsreduktion von 19,6 % gegenüber dem Basisjahr 2019 erreicht werden.</w:t>
      </w:r>
    </w:p>
    <w:p>
      <w:pPr>
        <w:spacing w:before="0" w:after="80" w:line="276" w:lineRule="auto"/>
      </w:pPr>
      <w:r>
        <w:rPr>
          <w:rFonts w:ascii="Calibri" w:hAnsi="Calibri"/>
          <w:b w:val="0"/>
          <w:i w:val="0"/>
          <w:color w:val="1A1A1A"/>
          <w:sz w:val="21"/>
        </w:rPr>
        <w:t>Erzielte Fortschritte im Überblick: Energie &amp; Gebäude: - Vollständige Umstellung auf 100 % zertifizierten Ökostrom in allen Einrichtungen mit eigenem Stromvertrag (abgeschlossen). - Ausbau erneuerbarer Energien: 30 Einrichtungen verfügen über Photovoltaikanlagen, weitere Projekte in Planung. - Erste Energieberatungen und Pilotprojekte zur Heizungsoptimierung abgeschlossen. - Einführung eines datenbasierten Ressourcenmonitorings vorbereitet.</w:t>
      </w:r>
    </w:p>
    <w:p>
      <w:pPr>
        <w:spacing w:before="0" w:after="80" w:line="276" w:lineRule="auto"/>
      </w:pPr>
      <w:r>
        <w:rPr>
          <w:rFonts w:ascii="Calibri" w:hAnsi="Calibri"/>
          <w:b w:val="0"/>
          <w:i w:val="0"/>
          <w:color w:val="1A1A1A"/>
          <w:sz w:val="21"/>
        </w:rPr>
        <w:t>Ernährung: - Fröbel-Leitfaden für Küchenteams zu 85,7 % umgesetzt. - Vegetarische Ernährung im Bereich West vollständig umgesetzt, in anderen Regionen in Ausweitung. - DGE-Zertifizierungsprozess (nach Standards der Deutschen Gesellschaft für Ernährung) für Einrichtungen mit Frischküche startet 2025.</w:t>
      </w:r>
    </w:p>
    <w:p>
      <w:pPr>
        <w:spacing w:before="0" w:after="80" w:line="276" w:lineRule="auto"/>
      </w:pPr>
      <w:r>
        <w:rPr>
          <w:rFonts w:ascii="Calibri" w:hAnsi="Calibri"/>
          <w:b w:val="0"/>
          <w:i w:val="0"/>
          <w:color w:val="1A1A1A"/>
          <w:sz w:val="21"/>
        </w:rPr>
        <w:t>Mobilität: - Umsetzung eines nachhaltigen Mobilitätskonzepts abgeschlossen. - Elektrifizierung des Fuhrparks: 54,9 % Elektrofahrzeuge (Stand Ende 2024). - Einführung des Deutschlandtickets Job und Förderung alternativer Mobilitätsformen umgesetzt.</w:t>
      </w:r>
    </w:p>
    <w:p>
      <w:pPr>
        <w:spacing w:before="0" w:after="80" w:line="276" w:lineRule="auto"/>
      </w:pPr>
      <w:r>
        <w:rPr>
          <w:rFonts w:ascii="Calibri" w:hAnsi="Calibri"/>
          <w:b w:val="0"/>
          <w:i w:val="0"/>
          <w:color w:val="1A1A1A"/>
          <w:sz w:val="21"/>
        </w:rPr>
        <w:t>Monitoring &amp; Steuerung: - Treibhausgasbilanzen für 2019, 2022, 2023 und 2024 erstellt. - Erfassung von den meisten Gebäudedaten in einer FM Datenbank  - Integration von Nachhaltigkeitskennzahlen in das interne Kontrollsystem (IKS) begonnen. - Jährliche Überprüfung der Fortschritte durch den Stab Nachhaltigkeit etabliert.</w:t>
      </w:r>
    </w:p>
    <w:p>
      <w:pPr>
        <w:spacing w:before="0" w:after="80" w:line="276" w:lineRule="auto"/>
      </w:pPr>
      <w:r>
        <w:rPr>
          <w:rFonts w:ascii="Calibri" w:hAnsi="Calibri"/>
          <w:b w:val="0"/>
          <w:i w:val="0"/>
          <w:color w:val="1A1A1A"/>
          <w:sz w:val="21"/>
        </w:rPr>
        <w:t>Ausblick: Für 2025–2026 liegt der Fokus auf der Einführung eines Energiemanagementsystems, der Erweiterung des PV-Portfolios, der DGE-Zertifizierung aller Küchen sowie der kompletten Elektrifizierung des Fuhrparks bis 2030.</w:t>
      </w:r>
    </w:p>
    <w:p>
      <w:pPr>
        <w:spacing w:before="0" w:after="80" w:line="276" w:lineRule="auto"/>
      </w:pPr>
      <w:r>
        <w:rPr>
          <w:rFonts w:ascii="Calibri" w:hAnsi="Calibri"/>
          <w:b w:val="0"/>
          <w:i w:val="0"/>
          <w:color w:val="1A1A1A"/>
          <w:sz w:val="21"/>
        </w:rPr>
        <w:t>Damit befindet sich Fröbel auf Kurs, um das Zwischenziel von 50 % Emissionsreduktion bis 2030 zu erreichen und langfristig bis 2040 Netto-Null-Emissionen, inklusive Kompensationsleistungen, zu erzielen.</w:t>
      </w:r>
    </w:p>
    <w:p>
      <w:pPr>
        <w:pStyle w:val="Heading2"/>
      </w:pPr>
      <w:r>
        <w:t>E1-2 – Richtlinien zu Klimawandelminderung und -anpassung</w:t>
      </w:r>
    </w:p>
    <w:p>
      <w:pPr>
        <w:pStyle w:val="Heading3"/>
      </w:pPr>
      <w:r>
        <w:t>24 – Richtlinien für Klimawandel</w:t>
      </w:r>
    </w:p>
    <w:p>
      <w:pPr>
        <w:spacing w:before="0" w:after="80" w:line="276" w:lineRule="auto"/>
      </w:pPr>
      <w:r>
        <w:rPr>
          <w:rFonts w:ascii="Calibri" w:hAnsi="Calibri"/>
          <w:b w:val="0"/>
          <w:i w:val="0"/>
          <w:color w:val="1A1A1A"/>
          <w:sz w:val="21"/>
        </w:rPr>
        <w:t>Richtlinien für Klimawandel trifft zu.</w:t>
      </w:r>
    </w:p>
    <w:p>
      <w:pPr>
        <w:spacing w:before="0" w:after="80" w:line="276" w:lineRule="auto"/>
      </w:pPr>
      <w:r>
        <w:rPr>
          <w:rFonts w:ascii="Calibri" w:hAnsi="Calibri"/>
          <w:b w:val="0"/>
          <w:i w:val="0"/>
          <w:color w:val="1A1A1A"/>
          <w:sz w:val="21"/>
        </w:rPr>
        <w:t>Fröbel verfügt über eine Reihe von Richtlinien, die die Umsetzung der Klimaziele steuern und in verschiedenen Bereichen verbindliche Leitplanken für klimarelevante Entscheidungen setzen. Sie sind integraler Bestandteil der Nachhaltigkeitsstrategie und gelten für alle Einrichtungen.</w:t>
        <w:br/>
        <w:br/>
        <w:t>- Fröbel Unternehmensstrategie 2030: Übergeordnete Strategie der Fröbel Gruppe, definiert die übergeordneten Klimaziele (–50 % Emissionen bis 2030, Netto-Null bis 2040)</w:t>
        <w:br/>
        <w:t>- Fröbel Nachhaltigkeitsstrategie: erstmals im Rahmen des DNK-Standards veröffentlicht. Sie konkretisiert die übergeordneten Klimaziele aus der Unternehmensstrategie und benennt die wesentlichen Handlungsfelder, sowie Ziele und Maßnahmen zur Reduktion der Treibhausgasemissionen.</w:t>
        <w:br/>
        <w:t>- Fröbel Reisekostenrichtlinie: verpflichtet alle Mitarbeitenden, Dienstreisen nach Nachhaltigkeitskriterien durchzuführen (z. B. Vorrang für Bahnreisen, Reduktion von Flugreisen, Förderung digitaler Meetings).</w:t>
        <w:br/>
        <w:t>- Fröbel Beschaffungsrichtlinie: regelt den gesamten Beschaffungsprozess. Nachhaltigkeitsaspekte sind darin verankert, können jedoch zukünftig noch stärker berücksichtigt werden, um Klimaeffekte entlang der Lieferkette zu minimieren.</w:t>
        <w:br/>
        <w:t>- Fröbel Baustandard: definiert die Anforderungen an nachhaltiges Planen und Bauen für Neubauten und Sanierungen. Auch hier ist eine weitergehende Integration von Klimakriterien geplant.</w:t>
        <w:br/>
        <w:t>- Fröbel Mobilitätskonzept: bietet einen Rahmen für nachhaltige Mobilitätslösungen, die an regionale Gegebenheiten angepasst sind, und regelt insbesondere die Elektrifizierung des Fuhrparks sowie die Förderung nachhaltiger Alternativen.</w:t>
        <w:br/>
        <w:t>- Fröbel Leitfaden für Küchenteams: legt Mindeststandards für eine klimafreundliche und gesunde Ernährung fest. Durch den Einsatz regionaler und ökologischer Lebensmittel trägt er zur Reduktion von THG-Emissionen im Bereich Verpflegung bei.</w:t>
        <w:br/>
        <w:br/>
        <w:t>Die Verantwortung für die Richtlinien liegt beim die jeweiligen Einrichtungsleitungen, unterstützt durch den Stab Nachhaltigkeit.</w:t>
      </w:r>
    </w:p>
    <w:p>
      <w:pPr>
        <w:pStyle w:val="Heading3"/>
      </w:pPr>
      <w:r>
        <w:t>25 – Berücksichtigung von Klimaschutz, Anpassung an den Klimawandel, Energieeffizienz, erneuerbare Energien und sonstige Bereiche in den Unternehmensrichtlinien</w:t>
      </w:r>
    </w:p>
    <w:p>
      <w:pPr>
        <w:spacing w:before="0" w:after="80" w:line="276" w:lineRule="auto"/>
      </w:pPr>
      <w:r>
        <w:rPr>
          <w:rFonts w:ascii="Calibri" w:hAnsi="Calibri"/>
          <w:b w:val="0"/>
          <w:i w:val="0"/>
          <w:color w:val="1A1A1A"/>
          <w:sz w:val="21"/>
        </w:rPr>
        <w:t>Die folgende Tabelle zeigt die Angaben zu berücksichtigung von klimaschutz, anpassung an den klimawandel, energieeffizienz, erneuerbare energien und sonstige bereiche in den unternehmensrichtlinien.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Wird der Bereich Klimaschutz in Ihren Richtlinien berücksichtigt?</w:t>
            </w:r>
          </w:p>
        </w:tc>
        <w:tc>
          <w:tcPr>
            <w:tcW w:type="dxa" w:w="4533"/>
            <w:shd w:val="clear" w:color="auto" w:fill="EBF3EE"/>
          </w:tcPr>
          <w:p>
            <w:r>
              <w:rPr>
                <w:rFonts w:ascii="Calibri" w:hAnsi="Calibri"/>
                <w:b w:val="0"/>
                <w:i w:val="0"/>
                <w:color w:val="1A1A1A"/>
                <w:sz w:val="18"/>
              </w:rPr>
              <w:t>Ja</w:t>
            </w:r>
          </w:p>
        </w:tc>
      </w:tr>
      <w:tr>
        <w:tc>
          <w:tcPr>
            <w:tcW w:type="dxa" w:w="4533"/>
            <w:shd w:val="clear" w:color="auto" w:fill="FFFFFF"/>
          </w:tcPr>
          <w:p>
            <w:r>
              <w:rPr>
                <w:rFonts w:ascii="Calibri" w:hAnsi="Calibri"/>
                <w:b w:val="0"/>
                <w:i w:val="0"/>
                <w:color w:val="1A1A1A"/>
                <w:sz w:val="18"/>
              </w:rPr>
              <w:t>Wird der Bereich Anpassungen an den Klimaschutz in Ihren Richtlinien berücksichtigt?</w:t>
            </w:r>
          </w:p>
        </w:tc>
        <w:tc>
          <w:tcPr>
            <w:tcW w:type="dxa" w:w="4533"/>
            <w:shd w:val="clear" w:color="auto" w:fill="FFFFFF"/>
          </w:tcPr>
          <w:p>
            <w:r>
              <w:rPr>
                <w:rFonts w:ascii="Calibri" w:hAnsi="Calibri"/>
                <w:b w:val="0"/>
                <w:i w:val="0"/>
                <w:color w:val="1A1A1A"/>
                <w:sz w:val="18"/>
              </w:rPr>
              <w:t>Ja</w:t>
            </w:r>
          </w:p>
        </w:tc>
      </w:tr>
      <w:tr>
        <w:tc>
          <w:tcPr>
            <w:tcW w:type="dxa" w:w="4533"/>
            <w:shd w:val="clear" w:color="auto" w:fill="EBF3EE"/>
          </w:tcPr>
          <w:p>
            <w:r>
              <w:rPr>
                <w:rFonts w:ascii="Calibri" w:hAnsi="Calibri"/>
                <w:b w:val="0"/>
                <w:i w:val="0"/>
                <w:color w:val="1A1A1A"/>
                <w:sz w:val="18"/>
              </w:rPr>
              <w:t>Wird der Bereich Energieeffizienz in Ihren Richtlinien berücksichtigt?</w:t>
            </w:r>
          </w:p>
        </w:tc>
        <w:tc>
          <w:tcPr>
            <w:tcW w:type="dxa" w:w="4533"/>
            <w:shd w:val="clear" w:color="auto" w:fill="EBF3EE"/>
          </w:tcPr>
          <w:p>
            <w:r>
              <w:rPr>
                <w:rFonts w:ascii="Calibri" w:hAnsi="Calibri"/>
                <w:b w:val="0"/>
                <w:i w:val="0"/>
                <w:color w:val="1A1A1A"/>
                <w:sz w:val="18"/>
              </w:rPr>
              <w:t>Ja</w:t>
            </w:r>
          </w:p>
        </w:tc>
      </w:tr>
      <w:tr>
        <w:tc>
          <w:tcPr>
            <w:tcW w:type="dxa" w:w="4533"/>
            <w:shd w:val="clear" w:color="auto" w:fill="FFFFFF"/>
          </w:tcPr>
          <w:p>
            <w:r>
              <w:rPr>
                <w:rFonts w:ascii="Calibri" w:hAnsi="Calibri"/>
                <w:b w:val="0"/>
                <w:i w:val="0"/>
                <w:color w:val="1A1A1A"/>
                <w:sz w:val="18"/>
              </w:rPr>
              <w:t>Wird der Bereich Einsatz von erneuerbaren Energien in Ihren Richtlinien berücksichtigt?</w:t>
            </w:r>
          </w:p>
        </w:tc>
        <w:tc>
          <w:tcPr>
            <w:tcW w:type="dxa" w:w="4533"/>
            <w:shd w:val="clear" w:color="auto" w:fill="FFFFFF"/>
          </w:tcPr>
          <w:p>
            <w:r>
              <w:rPr>
                <w:rFonts w:ascii="Calibri" w:hAnsi="Calibri"/>
                <w:b w:val="0"/>
                <w:i w:val="0"/>
                <w:color w:val="1A1A1A"/>
                <w:sz w:val="18"/>
              </w:rPr>
              <w:t>Ja</w:t>
            </w:r>
          </w:p>
        </w:tc>
      </w:tr>
      <w:tr>
        <w:tc>
          <w:tcPr>
            <w:tcW w:type="dxa" w:w="4533"/>
            <w:shd w:val="clear" w:color="auto" w:fill="EBF3EE"/>
          </w:tcPr>
          <w:p>
            <w:r>
              <w:rPr>
                <w:rFonts w:ascii="Calibri" w:hAnsi="Calibri"/>
                <w:b w:val="0"/>
                <w:i w:val="0"/>
                <w:color w:val="1A1A1A"/>
                <w:sz w:val="18"/>
              </w:rPr>
              <w:t>Wird der Bereich Sonstige in Ihren Richtlinien berücksichtigt?</w:t>
            </w:r>
          </w:p>
        </w:tc>
        <w:tc>
          <w:tcPr>
            <w:tcW w:type="dxa" w:w="4533"/>
            <w:shd w:val="clear" w:color="auto" w:fill="EBF3EE"/>
          </w:tcPr>
          <w:p>
            <w:r>
              <w:rPr>
                <w:rFonts w:ascii="Calibri" w:hAnsi="Calibri"/>
                <w:b w:val="0"/>
                <w:i w:val="0"/>
                <w:color w:val="1A1A1A"/>
                <w:sz w:val="18"/>
              </w:rPr>
              <w:t>Ja</w:t>
            </w:r>
          </w:p>
        </w:tc>
      </w:tr>
    </w:tbl>
    <w:p/>
    <w:p>
      <w:pPr>
        <w:spacing w:before="0" w:after="80" w:line="276" w:lineRule="auto"/>
      </w:pPr>
      <w:r>
        <w:rPr>
          <w:rFonts w:ascii="Calibri" w:hAnsi="Calibri"/>
          <w:b w:val="0"/>
          <w:i w:val="0"/>
          <w:color w:val="1A1A1A"/>
          <w:sz w:val="21"/>
        </w:rPr>
        <w:t>Fröbel berücksichtigt die Anforderungen an Klimaschutz, Anpassung an den Klimawandel, Energieeffizienz und den Einsatz erneuerbarer Energien in verschiedenen Unternehmensrichtlinien:</w:t>
        <w:br/>
        <w:br/>
        <w:t>a) Klimaschutz:</w:t>
        <w:br/>
        <w:t>Die Unternehmensstrategie und Nachhaltigkeitsstrategie definieren die zentralen Klimaziele (–50 % bis 2030, Netto-Null bis 2040) und Maßnahmen zur Reduktion von Treibhausgasemissionen. Ergänzend tragen das Mobilitätskonzept und der Leitfaden für Küchenteams zur Minderung der Emissionen in den Bereichen Mobilität und Ernährung bei.</w:t>
        <w:br/>
        <w:br/>
        <w:t>b) Anpassung an den Klimawandel:</w:t>
        <w:br/>
        <w:t>Im Baustandard und in den Energie- und Gebäuderichtlinien sind Vorgaben enthalten, die Aspekte der Klimaanpassung berücksichtigen (z. B. energieeffiziente Bauweise, Hitzeschutzmaßnahmen, Nutzung nachhaltiger Materialien).</w:t>
        <w:br/>
        <w:br/>
        <w:t>c) Energieeffizienz:</w:t>
        <w:br/>
        <w:t>Im Baustandard sowie in den Vorgaben für Facility Management sind Kriterien für energieeffizientes Planen, Sanieren und Betreiben von Gebäuden verankert. Darüber hinaus ist der Aufbau eines systematischen Energiemanagements vorgesehen.</w:t>
        <w:br/>
        <w:br/>
        <w:t>d) Einsatz erneuerbarer Energien:</w:t>
        <w:br/>
        <w:t>Der Einsatz erneuerbarer Energien ist durch die Verpflichtung zum Bezug von zertifiziertem Ökostrom sowie durch den Ausbau von Photovoltaikanlagen auf Fröbel-Gebäuden geregelt.</w:t>
        <w:br/>
        <w:br/>
        <w:t>e) Sonstige:</w:t>
        <w:br/>
        <w:t>Weitere klimarelevante Aspekte sind in der Reisekostenrichtlinie (nachhaltige Mobilität bei Dienstreisen) und in der Beschaffungsrichtlinie (Nachhaltigkeitskriterien im Einkauf, Potenzial zur Stärkung von Klimaaspekten) berücksichtigt.</w:t>
      </w:r>
    </w:p>
    <w:p>
      <w:pPr>
        <w:pStyle w:val="Heading2"/>
      </w:pPr>
      <w:r>
        <w:t>E1-3 – Maßnahmen und Ressourcen in Bezug auf Klimawandelrichtlinien</w:t>
      </w:r>
    </w:p>
    <w:p>
      <w:pPr>
        <w:pStyle w:val="Heading3"/>
      </w:pPr>
      <w:r>
        <w:t>28 – Maßnahmen zum Klimawandel</w:t>
      </w:r>
    </w:p>
    <w:p>
      <w:pPr>
        <w:spacing w:before="0" w:after="80" w:line="276" w:lineRule="auto"/>
      </w:pPr>
      <w:r>
        <w:rPr>
          <w:rFonts w:ascii="Calibri" w:hAnsi="Calibri"/>
          <w:b w:val="0"/>
          <w:i w:val="0"/>
          <w:color w:val="1A1A1A"/>
          <w:sz w:val="21"/>
        </w:rPr>
        <w:t>Maßnahmen zum Klimawandel trifft zu.</w:t>
      </w:r>
    </w:p>
    <w:p>
      <w:pPr>
        <w:spacing w:before="0" w:after="80" w:line="276" w:lineRule="auto"/>
      </w:pPr>
      <w:r>
        <w:rPr>
          <w:rFonts w:ascii="Calibri" w:hAnsi="Calibri"/>
          <w:b w:val="0"/>
          <w:i w:val="0"/>
          <w:color w:val="1A1A1A"/>
          <w:sz w:val="21"/>
        </w:rPr>
        <w:t>Alle Maßnahmen und Ziele sind in der Nachhaltigkeitsstrategie aufgelistet</w:t>
      </w:r>
    </w:p>
    <w:p>
      <w:pPr>
        <w:pStyle w:val="Heading2"/>
      </w:pPr>
      <w:r>
        <w:t>E1-4 – Ziele im Zusammenhang mit Klimawandelminderung und -anpassung</w:t>
      </w:r>
    </w:p>
    <w:p>
      <w:pPr>
        <w:pStyle w:val="Heading3"/>
      </w:pPr>
      <w:r>
        <w:t>34 – THG-Emissionsreduktionsziele und Basisdaten</w:t>
      </w:r>
    </w:p>
    <w:p>
      <w:pPr>
        <w:spacing w:before="0" w:after="80" w:line="276" w:lineRule="auto"/>
      </w:pPr>
      <w:r>
        <w:rPr>
          <w:rFonts w:ascii="Calibri" w:hAnsi="Calibri"/>
          <w:b w:val="0"/>
          <w:i w:val="0"/>
          <w:color w:val="1A1A1A"/>
          <w:sz w:val="21"/>
        </w:rPr>
        <w:t>Die folgende Tabelle zeigt die Angaben zu thg-emissionsreduktionsziele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50 %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62 %</w:t>
            </w:r>
          </w:p>
        </w:tc>
        <w:tc>
          <w:tcPr>
            <w:tcW w:type="dxa" w:w="2266"/>
            <w:shd w:val="clear" w:color="auto" w:fill="FFFFFF"/>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folgende Tabelle zeigt die Angaben zu thg-emissionsreduktionsziele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43 %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75 %</w:t>
            </w:r>
          </w:p>
        </w:tc>
        <w:tc>
          <w:tcPr>
            <w:tcW w:type="dxa" w:w="2266"/>
            <w:shd w:val="clear" w:color="auto" w:fill="FFFFFF"/>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folgende Tabelle zeigt die Angaben zu thg-emissionsreduktionsziele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0 %</w:t>
            </w:r>
          </w:p>
        </w:tc>
        <w:tc>
          <w:tcPr>
            <w:tcW w:type="dxa" w:w="2266"/>
            <w:shd w:val="clear" w:color="auto" w:fill="EBF3EE"/>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folgende Tabelle zeigt die Angaben zu thg-emissionsreduktionsziele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83 %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93 %</w:t>
            </w:r>
          </w:p>
        </w:tc>
        <w:tc>
          <w:tcPr>
            <w:tcW w:type="dxa" w:w="2266"/>
            <w:shd w:val="clear" w:color="auto" w:fill="FFFFFF"/>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folgende Tabelle zeigt die Angaben zu thg-emissionsreduktionsziele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36 %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46 %</w:t>
            </w:r>
          </w:p>
        </w:tc>
        <w:tc>
          <w:tcPr>
            <w:tcW w:type="dxa" w:w="2266"/>
            <w:shd w:val="clear" w:color="auto" w:fill="FFFFFF"/>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Emissionsreduktionsziele von Fröbel (–50 % bis 2030 gegenüber 2019, -62% bis 2040) sind direkt aus den Ergebnissen der unternehmensweiten Treibhausgasbilanzierung abgeleitet. Grundlage ist das Treibhausgasinventar nach dem Greenhouse Gas Protocol, das die Emissionen in den Scopes 1, 2 und 3 vollständig abbildet.</w:t>
      </w:r>
    </w:p>
    <w:p>
      <w:pPr>
        <w:spacing w:before="0" w:after="80" w:line="276" w:lineRule="auto"/>
      </w:pPr>
      <w:r>
        <w:rPr>
          <w:rFonts w:ascii="Calibri" w:hAnsi="Calibri"/>
          <w:b w:val="0"/>
          <w:i w:val="0"/>
          <w:color w:val="1A1A1A"/>
          <w:sz w:val="21"/>
        </w:rPr>
        <w:t>Die Kohärenz zwischen Zielsystem und Inventar wird durch folgende Mechanismen sichergestellt: - Einheitliche Systemgrenzen: Die Zieldefinition orientiert sich an denselben organisatorischen und operativen Systemgrenzen wie die THG-Bilanz (Konsolidierung nach operativer Kontrolle über alle Einrichtungen der Fröbel Bildung und Erziehung gGmbH). - Methodische Konsistenz: Alle Berechnungen erfolgen nach einheitlicher Methodik (GHG Protocol, Planted-Tool). Änderungen der Bilanzmethodik werden dokumentiert und mit den Vorjahreswerten abgeglichen. - Bruttozieldefinition: Die Ziele beziehen sich ausschließlich auf reale Emissionsminderungen innerhalb der eigenen Wertschöpfungskette; Kompensationen, CO₂-Zertifikate oder vermiedene Emissionen werden nicht eingerechnet. - Verknüpfung mit Maßnahmenplanung: Die im Transitionsplan festgelegten Handlungsfelder (Gebäude, Energie, Ernährung, Mobilität) sind quantitativ mit den Hauptemissionsquellen im Inventar verknüpft, sodass Fortschritte messbar und nachvollziehbar sind. - Kontinuierliches Monitoring: Die THG-Bilanzen werden jährlich aktualisiert, um die Zielerreichung zu überprüfen und Abweichungen frühzeitig zu identifizieren. - Damit wird sichergestellt, dass die Reduktionsziele inhaltlich, methodisch und systemisch konsistent mit dem Treibhausgasinventar sind und ausschließlich reale Minderungen im operativen Geschäft abbilden.</w:t>
      </w:r>
    </w:p>
    <w:p>
      <w:pPr>
        <w:spacing w:before="0" w:after="80" w:line="276" w:lineRule="auto"/>
      </w:pPr>
      <w:r>
        <w:rPr>
          <w:rFonts w:ascii="Calibri" w:hAnsi="Calibri"/>
          <w:b w:val="0"/>
          <w:i w:val="0"/>
          <w:color w:val="1A1A1A"/>
          <w:sz w:val="21"/>
        </w:rPr>
        <w:t>THG-Emissionsreduktionsziele und Basisdaten trifft zu.</w:t>
      </w:r>
    </w:p>
    <w:p>
      <w:pPr>
        <w:spacing w:before="0" w:after="80" w:line="276" w:lineRule="auto"/>
      </w:pPr>
      <w:r>
        <w:rPr>
          <w:rFonts w:ascii="Calibri" w:hAnsi="Calibri"/>
          <w:b w:val="0"/>
          <w:i w:val="0"/>
          <w:color w:val="1A1A1A"/>
          <w:sz w:val="21"/>
        </w:rPr>
        <w:t>Zur Erreichung der Klimaziele setzt Fröbel ein integriertes Bündel von Dekarbonisierungshebeln in den Bereichen Gebäude- und Energieeffizienz, Ernährung, Mobilität sowie Daten- und Prozessmanagement ein. Alle Maßnahmen adressieren unmittelbar die größten Emissionsquellen (Scope 1–3) und sind mit konkreten Zielpfaden im Transitionsplan hinterlegt.</w:t>
      </w:r>
    </w:p>
    <w:p>
      <w:pPr>
        <w:spacing w:before="0" w:after="80" w:line="276" w:lineRule="auto"/>
      </w:pPr>
      <w:r>
        <w:rPr>
          <w:rFonts w:ascii="Calibri" w:hAnsi="Calibri"/>
          <w:b w:val="0"/>
          <w:i w:val="0"/>
          <w:color w:val="1A1A1A"/>
          <w:sz w:val="21"/>
        </w:rPr>
        <w:t>1. Energie &amp; Gebäude (Scope 1 + 2) - Energieeffizienz und Sanierungen: Durchführung von Energieaudits und Umsetzung von Effizienzmaßnahmen (z. B. Dämmung, Fenster- und Anlagentausch) über das Globalbudget 2024–2025 (CapEx ≈ 3 Mio. €). - Heizungsumstellungen: Ersatz fossiler Heizsysteme durch z. b. Wärmepumpen oder Hybridlösungen. - Erneuerbare Energien: Ausbau von Photovoltaikanlagen auf Gebäuden im Eigentum / Erbbaurecht (aktuell 30 Einrichtungen; sukzessiver Ausbau bis 2030). - Strombezug: Vollständige Umstellung auf zertifizierten Ökostrom (bereits abgeschlossen). - Energiemanagement: Aufbau eines datenbasierten Ressourcen-Monitorings und Einführung eines Energiemanagementsystems (geplant bis 2026).</w:t>
      </w:r>
    </w:p>
    <w:p>
      <w:pPr>
        <w:spacing w:before="0" w:after="80" w:line="276" w:lineRule="auto"/>
      </w:pPr>
      <w:r>
        <w:rPr>
          <w:rFonts w:ascii="Calibri" w:hAnsi="Calibri"/>
          <w:b w:val="0"/>
          <w:i w:val="0"/>
          <w:color w:val="1A1A1A"/>
          <w:sz w:val="21"/>
        </w:rPr>
        <w:t>2. Ernährung &amp; Beschaffung (Scope 3) - Nachhaltige Verpflegung: Umsetzung des Fröbel-Leitfadens für Küchenteams (85,7 % umgesetzt). - Vegetarische Ernährung: Stufenweise Umstellung auf ovo-lacto-vegetarische Speisepläne (West abgeschlossen, übrige Regionen bis 2030). - DGE-Zertifizierung: Einführung verbindlicher DGE-Standards für alle Küchen (Start 2025). - Regionale &amp; saisonale Beschaffung: Bevorzugung ökologisch zertifizierter, regionaler Produkte und Reduktion tierischer Lebensmittel zur Senkung der ernährungsbedingten Scope-3-Emissionen.</w:t>
      </w:r>
    </w:p>
    <w:p>
      <w:pPr>
        <w:spacing w:before="0" w:after="80" w:line="276" w:lineRule="auto"/>
      </w:pPr>
      <w:r>
        <w:rPr>
          <w:rFonts w:ascii="Calibri" w:hAnsi="Calibri"/>
          <w:b w:val="0"/>
          <w:i w:val="0"/>
          <w:color w:val="1A1A1A"/>
          <w:sz w:val="21"/>
        </w:rPr>
        <w:t>3. Mobilität (Scope 1 + 3) - Elektrifizierung des Fuhrparks: 80 % E-Fahrzeuge bis 2027, 100 % bis 2030. - Nachhaltige Mitarbeitermobilität: Einführung des Deutschlandtickets Job, Ausbau von JobRad-Angeboten und Anreizen für ÖPNV-Nutzung. - Reiserichtlinie: Verpflichtung zu nachhaltigen Reiseoptionen (Bahn &gt; Flug, digitale Meetings bevorzugt).</w:t>
      </w:r>
    </w:p>
    <w:p>
      <w:pPr>
        <w:spacing w:before="0" w:after="80" w:line="276" w:lineRule="auto"/>
      </w:pPr>
      <w:r>
        <w:rPr>
          <w:rFonts w:ascii="Calibri" w:hAnsi="Calibri"/>
          <w:b w:val="0"/>
          <w:i w:val="0"/>
          <w:color w:val="1A1A1A"/>
          <w:sz w:val="21"/>
        </w:rPr>
        <w:t>4. Monitoring &amp; Steuerung - Jährliche THG-Bilanzierung für alle relevanten Scopes 1–3 (2019, 2022–2024 abgeschlossen, künftig jährlich). - Automatisierte Datenerfassung in den Bereichen Energie, Fuhrpark und Beschaffung. - Integration ins IKS und laufende Evaluierung der Fortschritte gegenüber den Reduktionszielen.</w:t>
      </w:r>
    </w:p>
    <w:p>
      <w:pPr>
        <w:spacing w:before="0" w:after="80" w:line="276" w:lineRule="auto"/>
      </w:pPr>
      <w:r>
        <w:rPr>
          <w:rFonts w:ascii="Calibri" w:hAnsi="Calibri"/>
          <w:b w:val="0"/>
          <w:i w:val="0"/>
          <w:color w:val="1A1A1A"/>
          <w:sz w:val="21"/>
        </w:rPr>
        <w:t>Die Maßnahmen decken die zentralen Dekarbonisierungshebel – Energieeffizienz, Substitution fossiler Energien, Umstellung auf erneuerbare Ressourcen, Verhaltensänderungen und Digitalisierung – vollständig ab und bilden zusammen den Kern des Fröbel-Transitionsplans.</w:t>
      </w:r>
    </w:p>
    <w:p>
      <w:pPr>
        <w:pStyle w:val="Heading3"/>
      </w:pPr>
      <w:r>
        <w:t>AR 25 – Festlegung und Anpassung von Bezugswerten und Basisjahren für THG-Emissionsreduktionsziele</w:t>
      </w:r>
    </w:p>
    <w:p>
      <w:pPr>
        <w:spacing w:before="0" w:after="80" w:line="276" w:lineRule="auto"/>
      </w:pPr>
      <w:r>
        <w:rPr>
          <w:rFonts w:ascii="Calibri" w:hAnsi="Calibri"/>
          <w:b w:val="0"/>
          <w:i w:val="0"/>
          <w:color w:val="1A1A1A"/>
          <w:sz w:val="21"/>
        </w:rPr>
        <w:t>Das Basisjahr für die Treibhausgasbilanzierung und die Reduktionsziele von Fröbel ist das Jahr 2019. Dieses Jahr wurde gewählt, weil es das letzte vollständige und reguläre Geschäftsjahr vor Beginn der COVID-19-Pandemie war und daher eine repräsentative Ausgangsbasis für den Normalbetrieb der Einrichtungen bietet.</w:t>
      </w:r>
    </w:p>
    <w:p>
      <w:pPr>
        <w:spacing w:before="0" w:after="80" w:line="276" w:lineRule="auto"/>
      </w:pPr>
      <w:r>
        <w:rPr>
          <w:rFonts w:ascii="Calibri" w:hAnsi="Calibri"/>
          <w:b w:val="0"/>
          <w:i w:val="0"/>
          <w:color w:val="1A1A1A"/>
          <w:sz w:val="21"/>
        </w:rPr>
        <w:t>Die Daten des Jahres 2019 basieren auf einer vollständigen, nachträglich verifizierten THG-Bilanz, die auf realen Verbrauchsdaten für Energie, Mobilität und Beschaffung beruht. Zur Sicherstellung der Vergleichbarkeit werden alle nachfolgenden Bilanzen (2022, 2023, 2024 ff.) nach derselben methodischen Grundlage (GHG Protocol) und mit identischen Systemgrenzen erstellt.</w:t>
      </w:r>
    </w:p>
    <w:p>
      <w:pPr>
        <w:spacing w:before="0" w:after="80" w:line="276" w:lineRule="auto"/>
      </w:pPr>
      <w:r>
        <w:rPr>
          <w:rFonts w:ascii="Calibri" w:hAnsi="Calibri"/>
          <w:b w:val="0"/>
          <w:i w:val="0"/>
          <w:color w:val="1A1A1A"/>
          <w:sz w:val="21"/>
        </w:rPr>
        <w:t>Externe Sondereffekte (z. B. Witterungsschwankungen, pandemiebedingte Nutzungsausfälle) werden bei Bedarf durch Normalisierung der Verbrauchsdaten oder ergänzende Interpretation im Bericht berücksichtigt.</w:t>
      </w:r>
    </w:p>
    <w:p>
      <w:pPr>
        <w:spacing w:before="0" w:after="80" w:line="276" w:lineRule="auto"/>
      </w:pPr>
      <w:r>
        <w:rPr>
          <w:rFonts w:ascii="Calibri" w:hAnsi="Calibri"/>
          <w:b w:val="0"/>
          <w:i w:val="0"/>
          <w:color w:val="1A1A1A"/>
          <w:sz w:val="21"/>
        </w:rPr>
        <w:t>Das Basisjahr 2019 bleibt bei Fröbel weiterhin der verbindliche Bezugswert für alle Treibhausgas-Reduktionsziele. Es sind derzeit keine Änderungen des Basisjahres oder der Zielgrenzen geplant.</w:t>
      </w:r>
    </w:p>
    <w:p>
      <w:pPr>
        <w:spacing w:before="0" w:after="80" w:line="276" w:lineRule="auto"/>
      </w:pPr>
      <w:r>
        <w:rPr>
          <w:rFonts w:ascii="Calibri" w:hAnsi="Calibri"/>
          <w:b w:val="0"/>
          <w:i w:val="0"/>
          <w:color w:val="1A1A1A"/>
          <w:sz w:val="21"/>
        </w:rPr>
        <w:t>Sollten in Zukunft wesentliche strukturelle Änderungen eintreten – etwa durch Erweiterungen des Konsolidierungskreises, Neueröffnungen in größerem Umfang, Änderungen in der Datenbasis oder eine methodische Umstellung der THG-Bilanzierung – würde das Basisjahr gemäß den Vorgaben der ESRS E1 überprüft und gegebenenfalls angepasst.</w:t>
      </w:r>
    </w:p>
    <w:p>
      <w:pPr>
        <w:spacing w:before="0" w:after="80" w:line="276" w:lineRule="auto"/>
      </w:pPr>
      <w:r>
        <w:rPr>
          <w:rFonts w:ascii="Calibri" w:hAnsi="Calibri"/>
          <w:b w:val="0"/>
          <w:i w:val="0"/>
          <w:color w:val="1A1A1A"/>
          <w:sz w:val="21"/>
        </w:rPr>
        <w:t>In einem solchen Fall würde Fröbel: - den neuen Bezugswert und Zielzeitraum transparent dokumentieren, - die Auswirkungen auf die bisherige Zielerreichung nachvollziehbar darstellen und - die Vergleichbarkeit durch Rückrechnung der historischen Emissionen sicherstellen.</w:t>
      </w:r>
    </w:p>
    <w:p>
      <w:pPr>
        <w:spacing w:before="0" w:after="80" w:line="276" w:lineRule="auto"/>
      </w:pPr>
      <w:r>
        <w:rPr>
          <w:rFonts w:ascii="Calibri" w:hAnsi="Calibri"/>
          <w:b w:val="0"/>
          <w:i w:val="0"/>
          <w:color w:val="1A1A1A"/>
          <w:sz w:val="21"/>
        </w:rPr>
        <w:t>Bei der Festlegung neuer Ziele wird – entsprechend der Empfehlung der ESRS – ein aktuelles Basisjahr gewählt, das nicht länger als drei Jahre vor Beginn des neuen Zielzeitraums liegt um so methodisch konsistent und nachvollziehbar zu bleiben.</w:t>
      </w:r>
    </w:p>
    <w:p>
      <w:pPr>
        <w:pStyle w:val="Heading2"/>
      </w:pPr>
      <w:r>
        <w:t>E1-5 – Energieverbrauch und -mix</w:t>
      </w:r>
    </w:p>
    <w:p>
      <w:pPr>
        <w:pStyle w:val="Heading3"/>
      </w:pPr>
      <w:r>
        <w:t>37 – Gesamtenergieverbrauch</w:t>
      </w:r>
    </w:p>
    <w:p>
      <w:pPr>
        <w:spacing w:before="0" w:after="80" w:line="276" w:lineRule="auto"/>
      </w:pPr>
      <w:r>
        <w:rPr>
          <w:rFonts w:ascii="Calibri" w:hAnsi="Calibri"/>
          <w:b w:val="0"/>
          <w:i w:val="0"/>
          <w:color w:val="1A1A1A"/>
          <w:sz w:val="21"/>
        </w:rPr>
        <w:t>Der berichtete Wert für gesamtenergieverbrauch beträgt 21.635,9 MWh.</w:t>
      </w:r>
    </w:p>
    <w:p>
      <w:pPr>
        <w:spacing w:before="0" w:after="80" w:line="276" w:lineRule="auto"/>
      </w:pPr>
      <w:r>
        <w:rPr>
          <w:rFonts w:ascii="Calibri" w:hAnsi="Calibri"/>
          <w:b w:val="0"/>
          <w:i w:val="0"/>
          <w:color w:val="1A1A1A"/>
          <w:sz w:val="21"/>
        </w:rPr>
        <w:t>Die folgende Tabelle zeigt die Angaben zu gesamtenergieverbrauch.</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fossilen Quellen (berechnet als Summe aus E1-5-38 a-e)</w:t>
            </w:r>
          </w:p>
        </w:tc>
        <w:tc>
          <w:tcPr>
            <w:tcW w:type="dxa" w:w="4533"/>
            <w:shd w:val="clear" w:color="auto" w:fill="EBF3EE"/>
          </w:tcPr>
          <w:p>
            <w:r>
              <w:rPr>
                <w:rFonts w:ascii="Calibri" w:hAnsi="Calibri"/>
                <w:b w:val="0"/>
                <w:i w:val="0"/>
                <w:color w:val="1A1A1A"/>
                <w:sz w:val="18"/>
              </w:rPr>
              <w:t>15.984,7 MWh</w:t>
            </w:r>
          </w:p>
        </w:tc>
      </w:tr>
      <w:tr>
        <w:tc>
          <w:tcPr>
            <w:tcW w:type="dxa" w:w="4533"/>
            <w:shd w:val="clear" w:color="auto" w:fill="FFFFFF"/>
          </w:tcPr>
          <w:p>
            <w:r>
              <w:rPr>
                <w:rFonts w:ascii="Calibri" w:hAnsi="Calibri"/>
                <w:b w:val="0"/>
                <w:i w:val="0"/>
                <w:color w:val="1A1A1A"/>
                <w:sz w:val="18"/>
              </w:rPr>
              <w:t>Anteil der fossilen Energieträger am Gesamtenergieverbrauch</w:t>
            </w:r>
          </w:p>
        </w:tc>
        <w:tc>
          <w:tcPr>
            <w:tcW w:type="dxa" w:w="4533"/>
            <w:shd w:val="clear" w:color="auto" w:fill="FFFFFF"/>
          </w:tcPr>
          <w:p>
            <w:r>
              <w:rPr>
                <w:rFonts w:ascii="Calibri" w:hAnsi="Calibri"/>
                <w:b w:val="0"/>
                <w:i w:val="0"/>
                <w:color w:val="1A1A1A"/>
                <w:sz w:val="18"/>
              </w:rPr>
              <w:t>74,2 %</w:t>
            </w:r>
          </w:p>
        </w:tc>
      </w:tr>
    </w:tbl>
    <w:p/>
    <w:p>
      <w:pPr>
        <w:spacing w:before="0" w:after="80" w:line="276" w:lineRule="auto"/>
      </w:pPr>
      <w:r>
        <w:rPr>
          <w:rFonts w:ascii="Calibri" w:hAnsi="Calibri"/>
          <w:b w:val="0"/>
          <w:i w:val="0"/>
          <w:color w:val="1A1A1A"/>
          <w:sz w:val="21"/>
        </w:rPr>
        <w:t>Die folgende Tabelle zeigt die Angaben zu gesamtenergieverbrauch.</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nuklearen Quellen</w:t>
            </w:r>
          </w:p>
        </w:tc>
        <w:tc>
          <w:tcPr>
            <w:tcW w:type="dxa" w:w="4533"/>
            <w:shd w:val="clear" w:color="auto" w:fill="EBF3EE"/>
          </w:tcPr>
          <w:p>
            <w:r>
              <w:rPr>
                <w:rFonts w:ascii="Calibri" w:hAnsi="Calibri"/>
                <w:b w:val="0"/>
                <w:i w:val="0"/>
                <w:color w:val="1A1A1A"/>
                <w:sz w:val="18"/>
              </w:rPr>
              <w:t>0 MWh</w:t>
            </w:r>
          </w:p>
        </w:tc>
      </w:tr>
      <w:tr>
        <w:tc>
          <w:tcPr>
            <w:tcW w:type="dxa" w:w="4533"/>
            <w:shd w:val="clear" w:color="auto" w:fill="FFFFFF"/>
          </w:tcPr>
          <w:p>
            <w:r>
              <w:rPr>
                <w:rFonts w:ascii="Calibri" w:hAnsi="Calibri"/>
                <w:b w:val="0"/>
                <w:i w:val="0"/>
                <w:color w:val="1A1A1A"/>
                <w:sz w:val="18"/>
              </w:rPr>
              <w:t>Anteil des Verbrauchs aus nuklearen Quellen am Gesamtenergieverbrauch</w:t>
            </w:r>
          </w:p>
        </w:tc>
        <w:tc>
          <w:tcPr>
            <w:tcW w:type="dxa" w:w="4533"/>
            <w:shd w:val="clear" w:color="auto" w:fill="FFFFFF"/>
          </w:tcPr>
          <w:p>
            <w:r>
              <w:rPr>
                <w:rFonts w:ascii="Calibri" w:hAnsi="Calibri"/>
                <w:b w:val="0"/>
                <w:i w:val="0"/>
                <w:color w:val="1A1A1A"/>
                <w:sz w:val="18"/>
              </w:rPr>
              <w:t>0 %</w:t>
            </w:r>
          </w:p>
        </w:tc>
      </w:tr>
    </w:tbl>
    <w:p/>
    <w:p>
      <w:pPr>
        <w:spacing w:before="0" w:after="80" w:line="276" w:lineRule="auto"/>
      </w:pPr>
      <w:r>
        <w:rPr>
          <w:rFonts w:ascii="Calibri" w:hAnsi="Calibri"/>
          <w:b w:val="0"/>
          <w:i w:val="0"/>
          <w:color w:val="1A1A1A"/>
          <w:sz w:val="21"/>
        </w:rPr>
        <w:t>Die folgende Tabelle zeigt die Angaben zu gesamtenergieverbrauch.</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erneuerbaren Quellen (berechnet als Summe aus 37 ci, 37ci und 37ciii)</w:t>
            </w:r>
          </w:p>
        </w:tc>
        <w:tc>
          <w:tcPr>
            <w:tcW w:type="dxa" w:w="4533"/>
            <w:shd w:val="clear" w:color="auto" w:fill="EBF3EE"/>
          </w:tcPr>
          <w:p>
            <w:r>
              <w:rPr>
                <w:rFonts w:ascii="Calibri" w:hAnsi="Calibri"/>
                <w:b w:val="0"/>
                <w:i w:val="0"/>
                <w:color w:val="1A1A1A"/>
                <w:sz w:val="18"/>
              </w:rPr>
              <w:t>5.651,2 MWh</w:t>
            </w:r>
          </w:p>
        </w:tc>
      </w:tr>
      <w:tr>
        <w:tc>
          <w:tcPr>
            <w:tcW w:type="dxa" w:w="4533"/>
            <w:shd w:val="clear" w:color="auto" w:fill="FFFFFF"/>
          </w:tcPr>
          <w:p>
            <w:r>
              <w:rPr>
                <w:rFonts w:ascii="Calibri" w:hAnsi="Calibri"/>
                <w:b w:val="0"/>
                <w:i w:val="0"/>
                <w:color w:val="1A1A1A"/>
                <w:sz w:val="18"/>
              </w:rPr>
              <w:t>Anteil der erneuerbaren Energiequellen am Gesamtenergieverbrauch</w:t>
            </w:r>
          </w:p>
        </w:tc>
        <w:tc>
          <w:tcPr>
            <w:tcW w:type="dxa" w:w="4533"/>
            <w:shd w:val="clear" w:color="auto" w:fill="FFFFFF"/>
          </w:tcPr>
          <w:p>
            <w:r>
              <w:rPr>
                <w:rFonts w:ascii="Calibri" w:hAnsi="Calibri"/>
                <w:b w:val="0"/>
                <w:i w:val="0"/>
                <w:color w:val="1A1A1A"/>
                <w:sz w:val="18"/>
              </w:rPr>
              <w:t>25,8 %</w:t>
            </w:r>
          </w:p>
        </w:tc>
      </w:tr>
    </w:tbl>
    <w:p/>
    <w:p>
      <w:pPr>
        <w:spacing w:before="0" w:after="80" w:line="276" w:lineRule="auto"/>
      </w:pPr>
      <w:r>
        <w:rPr>
          <w:rFonts w:ascii="Calibri" w:hAnsi="Calibri"/>
          <w:b w:val="0"/>
          <w:i w:val="0"/>
          <w:color w:val="1A1A1A"/>
          <w:sz w:val="21"/>
        </w:rPr>
        <w:t>Gesamtenergieverbrauch beläuft sich im Berichtszeitraum auf 26,3 MWh.</w:t>
      </w:r>
    </w:p>
    <w:p>
      <w:pPr>
        <w:spacing w:before="0" w:after="80" w:line="276" w:lineRule="auto"/>
      </w:pPr>
      <w:r>
        <w:rPr>
          <w:rFonts w:ascii="Calibri" w:hAnsi="Calibri"/>
          <w:b w:val="0"/>
          <w:i w:val="0"/>
          <w:color w:val="1A1A1A"/>
          <w:sz w:val="21"/>
        </w:rPr>
        <w:t>Im Berichtsjahr beträgt gesamtenergieverbrauch 5.534,1 MWh.</w:t>
      </w:r>
    </w:p>
    <w:p>
      <w:pPr>
        <w:spacing w:before="0" w:after="80" w:line="276" w:lineRule="auto"/>
      </w:pPr>
      <w:r>
        <w:rPr>
          <w:rFonts w:ascii="Calibri" w:hAnsi="Calibri"/>
          <w:b w:val="0"/>
          <w:i w:val="0"/>
          <w:color w:val="1A1A1A"/>
          <w:sz w:val="21"/>
        </w:rPr>
        <w:t>Für gesamtenergieverbrauch werden im Berichtsjahr 90,8 MWh ausgewiesen.</w:t>
      </w:r>
    </w:p>
    <w:p>
      <w:pPr>
        <w:spacing w:before="0" w:after="80" w:line="276" w:lineRule="auto"/>
      </w:pPr>
      <w:r>
        <w:rPr>
          <w:rFonts w:ascii="Calibri" w:hAnsi="Calibri"/>
          <w:b w:val="0"/>
          <w:i w:val="0"/>
          <w:color w:val="1A1A1A"/>
          <w:sz w:val="21"/>
        </w:rPr>
        <w:t>Für die Berechnung der Energieverbräuche wendet Fröbel ein abgestuftes Vorgehen zur Sicherstellung hoher Datenqualität an. Die Datenerhebung erfolgt in folgender Priorität:</w:t>
        <w:br/>
        <w:t>1. Rechnungsbasierte Verbrauchsdaten</w:t>
        <w:br/>
        <w:t>(z. B. Energierechnungen und dokumentierte Zählerstände der Versorger)</w:t>
        <w:br/>
        <w:t>2. Eigene Zählerablesungen</w:t>
        <w:br/>
        <w:t>(wenn Fröbel selbst keinen direkten Liefervertrag besitzt, aber Zugriff auf die Messpunkte hat)</w:t>
        <w:br/>
        <w:t>3. Modellierte Verbrauchsdaten</w:t>
        <w:br/>
        <w:t>(auf Basis spezifischer Verbrauchskennwerte vergleichbarer Energiesysteme, sofern keine Zähler- oder Rechnungsdaten verfügbar sind)</w:t>
        <w:b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pPr>
        <w:pStyle w:val="Heading2"/>
      </w:pPr>
      <w:r>
        <w:t>E1-6 – Brutto Scopes 1, 2, 3 und Gesamtemissionen von Treibhausgasen</w:t>
      </w:r>
    </w:p>
    <w:p>
      <w:pPr>
        <w:pStyle w:val="Heading3"/>
      </w:pPr>
      <w:r>
        <w:t>44 – Angabe der Treibhausgasemissionen</w:t>
      </w:r>
    </w:p>
    <w:p>
      <w:pPr>
        <w:spacing w:before="0" w:after="80" w:line="276" w:lineRule="auto"/>
      </w:pPr>
      <w:r>
        <w:rPr>
          <w:rFonts w:ascii="Calibri" w:hAnsi="Calibri"/>
          <w:b w:val="0"/>
          <w:i w:val="0"/>
          <w:color w:val="1A1A1A"/>
          <w:sz w:val="21"/>
        </w:rPr>
        <w:t>Die folgende Tabelle zeigt die Angaben zu angabe der treibhausgasemissionen.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Scope-1-THG-Bruttoemissionen</w:t>
            </w:r>
          </w:p>
        </w:tc>
        <w:tc>
          <w:tcPr>
            <w:tcW w:type="dxa" w:w="4533"/>
            <w:shd w:val="clear" w:color="auto" w:fill="EBF3EE"/>
          </w:tcPr>
          <w:p>
            <w:r>
              <w:rPr>
                <w:rFonts w:ascii="Calibri" w:hAnsi="Calibri"/>
                <w:b w:val="0"/>
                <w:i w:val="0"/>
                <w:color w:val="1A1A1A"/>
                <w:sz w:val="18"/>
              </w:rPr>
              <w:t>1.339 tCO₂e</w:t>
            </w:r>
          </w:p>
        </w:tc>
      </w:tr>
      <w:tr>
        <w:tc>
          <w:tcPr>
            <w:tcW w:type="dxa" w:w="4533"/>
            <w:shd w:val="clear" w:color="auto" w:fill="FFFFFF"/>
          </w:tcPr>
          <w:p>
            <w:r>
              <w:rPr>
                <w:rFonts w:ascii="Calibri" w:hAnsi="Calibri"/>
                <w:b w:val="0"/>
                <w:i w:val="0"/>
                <w:color w:val="1A1A1A"/>
                <w:sz w:val="18"/>
              </w:rPr>
              <w:t>Scope-2-THG-Bruttoemissionen</w:t>
            </w:r>
          </w:p>
        </w:tc>
        <w:tc>
          <w:tcPr>
            <w:tcW w:type="dxa" w:w="4533"/>
            <w:shd w:val="clear" w:color="auto" w:fill="FFFFFF"/>
          </w:tcPr>
          <w:p>
            <w:r>
              <w:rPr>
                <w:rFonts w:ascii="Calibri" w:hAnsi="Calibri"/>
                <w:b w:val="0"/>
                <w:i w:val="0"/>
                <w:color w:val="1A1A1A"/>
                <w:sz w:val="18"/>
              </w:rPr>
              <w:t>2.456 tCO₂e</w:t>
            </w:r>
          </w:p>
        </w:tc>
      </w:tr>
      <w:tr>
        <w:tc>
          <w:tcPr>
            <w:tcW w:type="dxa" w:w="4533"/>
            <w:shd w:val="clear" w:color="auto" w:fill="EBF3EE"/>
          </w:tcPr>
          <w:p>
            <w:r>
              <w:rPr>
                <w:rFonts w:ascii="Calibri" w:hAnsi="Calibri"/>
                <w:b w:val="0"/>
                <w:i w:val="0"/>
                <w:color w:val="1A1A1A"/>
                <w:sz w:val="18"/>
              </w:rPr>
              <w:t>Scope-3-THG-Bruttoemissionen</w:t>
            </w:r>
          </w:p>
        </w:tc>
        <w:tc>
          <w:tcPr>
            <w:tcW w:type="dxa" w:w="4533"/>
            <w:shd w:val="clear" w:color="auto" w:fill="EBF3EE"/>
          </w:tcPr>
          <w:p>
            <w:r>
              <w:rPr>
                <w:rFonts w:ascii="Calibri" w:hAnsi="Calibri"/>
                <w:b w:val="0"/>
                <w:i w:val="0"/>
                <w:color w:val="1A1A1A"/>
                <w:sz w:val="18"/>
              </w:rPr>
              <w:t>9.767 tCO₂e</w:t>
            </w:r>
          </w:p>
        </w:tc>
      </w:tr>
      <w:tr>
        <w:tc>
          <w:tcPr>
            <w:tcW w:type="dxa" w:w="4533"/>
            <w:shd w:val="clear" w:color="auto" w:fill="FFFFFF"/>
          </w:tcPr>
          <w:p>
            <w:r>
              <w:rPr>
                <w:rFonts w:ascii="Calibri" w:hAnsi="Calibri"/>
                <w:b w:val="0"/>
                <w:i w:val="0"/>
                <w:color w:val="1A1A1A"/>
                <w:sz w:val="18"/>
              </w:rPr>
              <w:t>THG-Gesamtemissionen</w:t>
            </w:r>
          </w:p>
        </w:tc>
        <w:tc>
          <w:tcPr>
            <w:tcW w:type="dxa" w:w="4533"/>
            <w:shd w:val="clear" w:color="auto" w:fill="FFFFFF"/>
          </w:tcPr>
          <w:p>
            <w:r>
              <w:rPr>
                <w:rFonts w:ascii="Calibri" w:hAnsi="Calibri"/>
                <w:b w:val="0"/>
                <w:i w:val="0"/>
                <w:color w:val="1A1A1A"/>
                <w:sz w:val="18"/>
              </w:rPr>
              <w:t>16.942 tCO₂e</w:t>
            </w:r>
          </w:p>
        </w:tc>
      </w:tr>
    </w:tbl>
    <w:p/>
    <w:p>
      <w:pPr>
        <w:spacing w:before="0" w:after="80" w:line="276" w:lineRule="auto"/>
      </w:pPr>
      <w:r>
        <w:rPr>
          <w:rFonts w:ascii="Calibri" w:hAnsi="Calibri"/>
          <w:b w:val="0"/>
          <w:i w:val="0"/>
          <w:color w:val="1A1A1A"/>
          <w:sz w:val="21"/>
        </w:rPr>
        <w:t>Die Berechnung der Treibhausgasemissionen erfolgt mit der TÜV geprüften Klimabilaz Software von Planted.</w:t>
      </w:r>
    </w:p>
    <w:p>
      <w:pPr>
        <w:pStyle w:val="Heading3"/>
      </w:pPr>
      <w:r>
        <w:t>50 – Aufschlüsselung der Scope-1- und Scope-2-Emissionen</w:t>
      </w:r>
    </w:p>
    <w:p>
      <w:pPr>
        <w:spacing w:before="0" w:after="80" w:line="276" w:lineRule="auto"/>
      </w:pPr>
      <w:r>
        <w:rPr>
          <w:rFonts w:ascii="Calibri" w:hAnsi="Calibri"/>
          <w:b w:val="0"/>
          <w:i w:val="0"/>
          <w:color w:val="1A1A1A"/>
          <w:sz w:val="21"/>
        </w:rPr>
        <w:t>Die folgende Tabelle zeigt die Angaben zu aufschlüsselung der scope-1- und scope-2-emissionen.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3022"/>
        <w:gridCol w:w="3022"/>
        <w:gridCol w:w="3022"/>
      </w:tblGrid>
      <w:tr>
        <w:tc>
          <w:tcPr>
            <w:tcW w:type="dxa" w:w="3022"/>
            <w:shd w:val="clear" w:color="auto" w:fill="1C462D"/>
          </w:tcPr>
          <w:p>
            <w:r>
              <w:rPr>
                <w:rFonts w:ascii="Calibri" w:hAnsi="Calibri"/>
                <w:b/>
                <w:i w:val="0"/>
                <w:color w:val="FFFFFF"/>
                <w:sz w:val="18"/>
              </w:rPr>
              <w:t>Gruppe</w:t>
            </w:r>
          </w:p>
        </w:tc>
        <w:tc>
          <w:tcPr>
            <w:tcW w:type="dxa" w:w="3022"/>
            <w:shd w:val="clear" w:color="auto" w:fill="1C462D"/>
          </w:tcPr>
          <w:p>
            <w:r>
              <w:rPr>
                <w:rFonts w:ascii="Calibri" w:hAnsi="Calibri"/>
                <w:b/>
                <w:i w:val="0"/>
                <w:color w:val="FFFFFF"/>
                <w:sz w:val="18"/>
              </w:rPr>
              <w:t>Unternehmen</w:t>
            </w:r>
          </w:p>
        </w:tc>
        <w:tc>
          <w:tcPr>
            <w:tcW w:type="dxa" w:w="3022"/>
            <w:shd w:val="clear" w:color="auto" w:fill="1C462D"/>
          </w:tcPr>
          <w:p>
            <w:r>
              <w:rPr>
                <w:rFonts w:ascii="Calibri" w:hAnsi="Calibri"/>
                <w:b/>
                <w:i w:val="0"/>
                <w:color w:val="FFFFFF"/>
                <w:sz w:val="18"/>
              </w:rPr>
              <w:t>Treibhausgasemissionen</w:t>
            </w:r>
          </w:p>
        </w:tc>
      </w:tr>
      <w:tr>
        <w:tc>
          <w:tcPr>
            <w:tcW w:type="dxa" w:w="3022"/>
            <w:shd w:val="clear" w:color="auto" w:fill="EBF3EE"/>
          </w:tcPr>
          <w:p>
            <w:r>
              <w:rPr>
                <w:rFonts w:ascii="Calibri" w:hAnsi="Calibri"/>
                <w:b w:val="0"/>
                <w:i w:val="0"/>
                <w:color w:val="1A1A1A"/>
                <w:sz w:val="18"/>
              </w:rPr>
              <w:t>Konsolidierte Gruppe (Fröbel e. V., Fröbel Bildung und Erziehung gGmbH, Fröbel Kinder in Bewegung gGmbH und Fröbel Akademie gGmbH)</w:t>
            </w:r>
          </w:p>
        </w:tc>
        <w:tc>
          <w:tcPr>
            <w:tcW w:type="dxa" w:w="3022"/>
            <w:shd w:val="clear" w:color="auto" w:fill="EBF3EE"/>
          </w:tcPr>
          <w:p>
            <w:r>
              <w:rPr>
                <w:rFonts w:ascii="Calibri" w:hAnsi="Calibri"/>
                <w:b w:val="0"/>
                <w:i w:val="0"/>
                <w:color w:val="1A1A1A"/>
                <w:sz w:val="18"/>
              </w:rPr>
              <w:t>Fröbel e.V., Fröbel Bildung und Erziehung gGmbH, Fröbel Kinder in Bewegung gGmbH und Fröbel Akademie gGmbH</w:t>
            </w:r>
          </w:p>
        </w:tc>
        <w:tc>
          <w:tcPr>
            <w:tcW w:type="dxa" w:w="3022"/>
            <w:shd w:val="clear" w:color="auto" w:fill="EBF3EE"/>
          </w:tcPr>
          <w:p>
            <w:r>
              <w:rPr>
                <w:rFonts w:ascii="Calibri" w:hAnsi="Calibri"/>
                <w:b w:val="0"/>
                <w:i w:val="0"/>
                <w:color w:val="1A1A1A"/>
                <w:sz w:val="18"/>
              </w:rPr>
              <w:t>3.798,8 tCO₂e</w:t>
            </w:r>
          </w:p>
        </w:tc>
      </w:tr>
    </w:tbl>
    <w:p/>
    <w:p>
      <w:pPr>
        <w:spacing w:before="0" w:after="80" w:line="276" w:lineRule="auto"/>
      </w:pPr>
      <w:r>
        <w:rPr>
          <w:rFonts w:ascii="Calibri" w:hAnsi="Calibri"/>
          <w:b w:val="0"/>
          <w:i w:val="0"/>
          <w:color w:val="1A1A1A"/>
          <w:sz w:val="21"/>
        </w:rPr>
        <w:t>Die Scope-1- und Scope-2-Emissionen beziehen sich ausschließlich auf die für den CSRD-Bericht voll konsolidierten Gesellschaften (Fröbel Bildung und Erziehung gGmbH, Fröbel Kinder in Bewegung gGmbH und Fröbel Akademie gGmbH). Andere Gesellschaften der Fröbel-Gruppe, wie z. B. Fröbel International gGmbH, Comobilia und Katholino, gehören nicht zum Berichtskreis und üben keinen Einfluss auf die Emissionen des berichtenden Unternehmens aus. Entsprechend entfallen Angaben nach E1-50b.</w:t>
      </w:r>
    </w:p>
    <w:p>
      <w:pPr>
        <w:pStyle w:val="Heading3"/>
      </w:pPr>
      <w:r>
        <w:t>AR 41 – Aufschlüsselung der Treibhausgasemissionen gemäß ESRS 1</w:t>
      </w:r>
    </w:p>
    <w:p>
      <w:pPr>
        <w:spacing w:before="0" w:after="80" w:line="276" w:lineRule="auto"/>
      </w:pPr>
      <w:r>
        <w:rPr>
          <w:rFonts w:ascii="Calibri" w:hAnsi="Calibri"/>
          <w:b w:val="0"/>
          <w:i w:val="0"/>
          <w:color w:val="1A1A1A"/>
          <w:sz w:val="21"/>
        </w:rPr>
        <w:t>Die folgende Tabelle zeigt die Angaben zu aufschlüsselung der treibhausgasemissionen gemäß esrs 1.</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9066"/>
      </w:tblGrid>
      <w:tr>
        <w:tc>
          <w:tcPr>
            <w:tcW w:type="dxa" w:w="9066"/>
            <w:shd w:val="clear" w:color="auto" w:fill="1C462D"/>
          </w:tcPr>
          <w:p>
            <w:r>
              <w:rPr>
                <w:rFonts w:ascii="Calibri" w:hAnsi="Calibri"/>
                <w:b/>
                <w:i w:val="0"/>
                <w:color w:val="FFFFFF"/>
                <w:sz w:val="18"/>
              </w:rPr>
              <w:t>Wert</w:t>
            </w:r>
          </w:p>
        </w:tc>
      </w:tr>
      <w:tr>
        <w:tc>
          <w:tcPr>
            <w:tcW w:type="dxa" w:w="9066"/>
            <w:shd w:val="clear" w:color="auto" w:fill="EBF3EE"/>
          </w:tcPr>
          <w:p>
            <w:r>
              <w:rPr>
                <w:rFonts w:ascii="Calibri" w:hAnsi="Calibri"/>
                <w:b w:val="0"/>
                <w:i w:val="0"/>
                <w:color w:val="1A1A1A"/>
                <w:sz w:val="18"/>
              </w:rPr>
              <w:t>Region Baden-Württemberg</w:t>
            </w:r>
          </w:p>
        </w:tc>
      </w:tr>
      <w:tr>
        <w:tc>
          <w:tcPr>
            <w:tcW w:type="dxa" w:w="9066"/>
            <w:shd w:val="clear" w:color="auto" w:fill="FFFFFF"/>
          </w:tcPr>
          <w:p>
            <w:r>
              <w:rPr>
                <w:rFonts w:ascii="Calibri" w:hAnsi="Calibri"/>
                <w:b w:val="0"/>
                <w:i w:val="0"/>
                <w:color w:val="1A1A1A"/>
                <w:sz w:val="18"/>
              </w:rPr>
              <w:t>Region Bayern</w:t>
            </w:r>
          </w:p>
        </w:tc>
      </w:tr>
      <w:tr>
        <w:tc>
          <w:tcPr>
            <w:tcW w:type="dxa" w:w="9066"/>
            <w:shd w:val="clear" w:color="auto" w:fill="EBF3EE"/>
          </w:tcPr>
          <w:p>
            <w:r>
              <w:rPr>
                <w:rFonts w:ascii="Calibri" w:hAnsi="Calibri"/>
                <w:b w:val="0"/>
                <w:i w:val="0"/>
                <w:color w:val="1A1A1A"/>
                <w:sz w:val="18"/>
              </w:rPr>
              <w:t>Region Berlin FhKb (Friedrichshain-Kreuzberg)</w:t>
            </w:r>
          </w:p>
        </w:tc>
      </w:tr>
      <w:tr>
        <w:tc>
          <w:tcPr>
            <w:tcW w:type="dxa" w:w="9066"/>
            <w:shd w:val="clear" w:color="auto" w:fill="FFFFFF"/>
          </w:tcPr>
          <w:p>
            <w:r>
              <w:rPr>
                <w:rFonts w:ascii="Calibri" w:hAnsi="Calibri"/>
                <w:b w:val="0"/>
                <w:i w:val="0"/>
                <w:color w:val="1A1A1A"/>
                <w:sz w:val="18"/>
              </w:rPr>
              <w:t>Region Berlin MiR(Mitte-Reinickendorf)</w:t>
            </w:r>
          </w:p>
        </w:tc>
      </w:tr>
      <w:tr>
        <w:tc>
          <w:tcPr>
            <w:tcW w:type="dxa" w:w="9066"/>
            <w:shd w:val="clear" w:color="auto" w:fill="EBF3EE"/>
          </w:tcPr>
          <w:p>
            <w:r>
              <w:rPr>
                <w:rFonts w:ascii="Calibri" w:hAnsi="Calibri"/>
                <w:b w:val="0"/>
                <w:i w:val="0"/>
                <w:color w:val="1A1A1A"/>
                <w:sz w:val="18"/>
              </w:rPr>
              <w:t>Region Berlin TKLP(Treptow-Köüenick-Lichtenberg)</w:t>
            </w:r>
          </w:p>
        </w:tc>
      </w:tr>
      <w:tr>
        <w:tc>
          <w:tcPr>
            <w:tcW w:type="dxa" w:w="9066"/>
            <w:shd w:val="clear" w:color="auto" w:fill="FFFFFF"/>
          </w:tcPr>
          <w:p>
            <w:r>
              <w:rPr>
                <w:rFonts w:ascii="Calibri" w:hAnsi="Calibri"/>
                <w:b w:val="0"/>
                <w:i w:val="0"/>
                <w:color w:val="1A1A1A"/>
                <w:sz w:val="18"/>
              </w:rPr>
              <w:t>Region Bonn-Erft</w:t>
            </w:r>
          </w:p>
        </w:tc>
      </w:tr>
      <w:tr>
        <w:tc>
          <w:tcPr>
            <w:tcW w:type="dxa" w:w="9066"/>
            <w:shd w:val="clear" w:color="auto" w:fill="EBF3EE"/>
          </w:tcPr>
          <w:p>
            <w:r>
              <w:rPr>
                <w:rFonts w:ascii="Calibri" w:hAnsi="Calibri"/>
                <w:b w:val="0"/>
                <w:i w:val="0"/>
                <w:color w:val="1A1A1A"/>
                <w:sz w:val="18"/>
              </w:rPr>
              <w:t>Region Bremen</w:t>
            </w:r>
          </w:p>
        </w:tc>
      </w:tr>
      <w:tr>
        <w:tc>
          <w:tcPr>
            <w:tcW w:type="dxa" w:w="9066"/>
            <w:shd w:val="clear" w:color="auto" w:fill="FFFFFF"/>
          </w:tcPr>
          <w:p>
            <w:r>
              <w:rPr>
                <w:rFonts w:ascii="Calibri" w:hAnsi="Calibri"/>
                <w:b w:val="0"/>
                <w:i w:val="0"/>
                <w:color w:val="1A1A1A"/>
                <w:sz w:val="18"/>
              </w:rPr>
              <w:t>Region Hamburg Schleswig-Holstein</w:t>
            </w:r>
          </w:p>
        </w:tc>
      </w:tr>
      <w:tr>
        <w:tc>
          <w:tcPr>
            <w:tcW w:type="dxa" w:w="9066"/>
            <w:shd w:val="clear" w:color="auto" w:fill="EBF3EE"/>
          </w:tcPr>
          <w:p>
            <w:r>
              <w:rPr>
                <w:rFonts w:ascii="Calibri" w:hAnsi="Calibri"/>
                <w:b w:val="0"/>
                <w:i w:val="0"/>
                <w:color w:val="1A1A1A"/>
                <w:sz w:val="18"/>
              </w:rPr>
              <w:t>Region Köln I</w:t>
            </w:r>
          </w:p>
        </w:tc>
      </w:tr>
      <w:tr>
        <w:tc>
          <w:tcPr>
            <w:tcW w:type="dxa" w:w="9066"/>
            <w:shd w:val="clear" w:color="auto" w:fill="FFFFFF"/>
          </w:tcPr>
          <w:p>
            <w:r>
              <w:rPr>
                <w:rFonts w:ascii="Calibri" w:hAnsi="Calibri"/>
                <w:b w:val="0"/>
                <w:i w:val="0"/>
                <w:color w:val="1A1A1A"/>
                <w:sz w:val="18"/>
              </w:rPr>
              <w:t>Region Köln II</w:t>
            </w:r>
          </w:p>
        </w:tc>
      </w:tr>
      <w:tr>
        <w:tc>
          <w:tcPr>
            <w:tcW w:type="dxa" w:w="9066"/>
            <w:shd w:val="clear" w:color="auto" w:fill="EBF3EE"/>
          </w:tcPr>
          <w:p>
            <w:r>
              <w:rPr>
                <w:rFonts w:ascii="Calibri" w:hAnsi="Calibri"/>
                <w:b w:val="0"/>
                <w:i w:val="0"/>
                <w:color w:val="1A1A1A"/>
                <w:sz w:val="18"/>
              </w:rPr>
              <w:t>Region Köln-Berg</w:t>
            </w:r>
          </w:p>
        </w:tc>
      </w:tr>
      <w:tr>
        <w:tc>
          <w:tcPr>
            <w:tcW w:type="dxa" w:w="9066"/>
            <w:shd w:val="clear" w:color="auto" w:fill="FFFFFF"/>
          </w:tcPr>
          <w:p>
            <w:r>
              <w:rPr>
                <w:rFonts w:ascii="Calibri" w:hAnsi="Calibri"/>
                <w:b w:val="0"/>
                <w:i w:val="0"/>
                <w:color w:val="1A1A1A"/>
                <w:sz w:val="18"/>
              </w:rPr>
              <w:t>Region Köln-Rhein</w:t>
            </w:r>
          </w:p>
        </w:tc>
      </w:tr>
      <w:tr>
        <w:tc>
          <w:tcPr>
            <w:tcW w:type="dxa" w:w="9066"/>
            <w:shd w:val="clear" w:color="auto" w:fill="EBF3EE"/>
          </w:tcPr>
          <w:p>
            <w:r>
              <w:rPr>
                <w:rFonts w:ascii="Calibri" w:hAnsi="Calibri"/>
                <w:b w:val="0"/>
                <w:i w:val="0"/>
                <w:color w:val="1A1A1A"/>
                <w:sz w:val="18"/>
              </w:rPr>
              <w:t>Region Lausitz</w:t>
            </w:r>
          </w:p>
        </w:tc>
      </w:tr>
      <w:tr>
        <w:tc>
          <w:tcPr>
            <w:tcW w:type="dxa" w:w="9066"/>
            <w:shd w:val="clear" w:color="auto" w:fill="FFFFFF"/>
          </w:tcPr>
          <w:p>
            <w:r>
              <w:rPr>
                <w:rFonts w:ascii="Calibri" w:hAnsi="Calibri"/>
                <w:b w:val="0"/>
                <w:i w:val="0"/>
                <w:color w:val="1A1A1A"/>
                <w:sz w:val="18"/>
              </w:rPr>
              <w:t>Region Münster-Osnabrück</w:t>
            </w:r>
          </w:p>
        </w:tc>
      </w:tr>
      <w:tr>
        <w:tc>
          <w:tcPr>
            <w:tcW w:type="dxa" w:w="9066"/>
            <w:shd w:val="clear" w:color="auto" w:fill="EBF3EE"/>
          </w:tcPr>
          <w:p>
            <w:r>
              <w:rPr>
                <w:rFonts w:ascii="Calibri" w:hAnsi="Calibri"/>
                <w:b w:val="0"/>
                <w:i w:val="0"/>
                <w:color w:val="1A1A1A"/>
                <w:sz w:val="18"/>
              </w:rPr>
              <w:t>Region Niedersachsen Mitte/Ost</w:t>
            </w:r>
          </w:p>
        </w:tc>
      </w:tr>
      <w:tr>
        <w:tc>
          <w:tcPr>
            <w:tcW w:type="dxa" w:w="9066"/>
            <w:shd w:val="clear" w:color="auto" w:fill="FFFFFF"/>
          </w:tcPr>
          <w:p>
            <w:r>
              <w:rPr>
                <w:rFonts w:ascii="Calibri" w:hAnsi="Calibri"/>
                <w:b w:val="0"/>
                <w:i w:val="0"/>
                <w:color w:val="1A1A1A"/>
                <w:sz w:val="18"/>
              </w:rPr>
              <w:t>Region Ostbrandenburg</w:t>
            </w:r>
          </w:p>
        </w:tc>
      </w:tr>
      <w:tr>
        <w:tc>
          <w:tcPr>
            <w:tcW w:type="dxa" w:w="9066"/>
            <w:shd w:val="clear" w:color="auto" w:fill="EBF3EE"/>
          </w:tcPr>
          <w:p>
            <w:r>
              <w:rPr>
                <w:rFonts w:ascii="Calibri" w:hAnsi="Calibri"/>
                <w:b w:val="0"/>
                <w:i w:val="0"/>
                <w:color w:val="1A1A1A"/>
                <w:sz w:val="18"/>
              </w:rPr>
              <w:t>Region Rhein-Main-Neckar</w:t>
            </w:r>
          </w:p>
        </w:tc>
      </w:tr>
      <w:tr>
        <w:tc>
          <w:tcPr>
            <w:tcW w:type="dxa" w:w="9066"/>
            <w:shd w:val="clear" w:color="auto" w:fill="FFFFFF"/>
          </w:tcPr>
          <w:p>
            <w:r>
              <w:rPr>
                <w:rFonts w:ascii="Calibri" w:hAnsi="Calibri"/>
                <w:b w:val="0"/>
                <w:i w:val="0"/>
                <w:color w:val="1A1A1A"/>
                <w:sz w:val="18"/>
              </w:rPr>
              <w:t>Region Rhein-Ruhr</w:t>
            </w:r>
          </w:p>
        </w:tc>
      </w:tr>
      <w:tr>
        <w:tc>
          <w:tcPr>
            <w:tcW w:type="dxa" w:w="9066"/>
            <w:shd w:val="clear" w:color="auto" w:fill="EBF3EE"/>
          </w:tcPr>
          <w:p>
            <w:r>
              <w:rPr>
                <w:rFonts w:ascii="Calibri" w:hAnsi="Calibri"/>
                <w:b w:val="0"/>
                <w:i w:val="0"/>
                <w:color w:val="1A1A1A"/>
                <w:sz w:val="18"/>
              </w:rPr>
              <w:t>Region Sachsen I, Sachsen-Anhalt</w:t>
            </w:r>
          </w:p>
        </w:tc>
      </w:tr>
      <w:tr>
        <w:tc>
          <w:tcPr>
            <w:tcW w:type="dxa" w:w="9066"/>
            <w:shd w:val="clear" w:color="auto" w:fill="FFFFFF"/>
          </w:tcPr>
          <w:p>
            <w:r>
              <w:rPr>
                <w:rFonts w:ascii="Calibri" w:hAnsi="Calibri"/>
                <w:b w:val="0"/>
                <w:i w:val="0"/>
                <w:color w:val="1A1A1A"/>
                <w:sz w:val="18"/>
              </w:rPr>
              <w:t>Region Sachsen II</w:t>
            </w:r>
          </w:p>
        </w:tc>
      </w:tr>
      <w:tr>
        <w:tc>
          <w:tcPr>
            <w:tcW w:type="dxa" w:w="9066"/>
            <w:shd w:val="clear" w:color="auto" w:fill="EBF3EE"/>
          </w:tcPr>
          <w:p>
            <w:r>
              <w:rPr>
                <w:rFonts w:ascii="Calibri" w:hAnsi="Calibri"/>
                <w:b w:val="0"/>
                <w:i w:val="0"/>
                <w:color w:val="1A1A1A"/>
                <w:sz w:val="18"/>
              </w:rPr>
              <w:t>Region Westbrandenburg</w:t>
            </w:r>
          </w:p>
        </w:tc>
      </w:tr>
      <w:tr>
        <w:tc>
          <w:tcPr>
            <w:tcW w:type="dxa" w:w="9066"/>
            <w:shd w:val="clear" w:color="auto" w:fill="FFFFFF"/>
          </w:tcPr>
          <w:p>
            <w:r>
              <w:rPr>
                <w:rFonts w:ascii="Calibri" w:hAnsi="Calibri"/>
                <w:b w:val="0"/>
                <w:i w:val="0"/>
                <w:color w:val="1A1A1A"/>
                <w:sz w:val="18"/>
              </w:rPr>
              <w:t>Zentrale Verwaltungen Berlin und Köln</w:t>
            </w:r>
          </w:p>
        </w:tc>
      </w:tr>
    </w:tbl>
    <w:p/>
    <w:p>
      <w:pPr>
        <w:spacing w:before="0" w:after="80" w:line="276" w:lineRule="auto"/>
      </w:pPr>
      <w:r>
        <w:rPr>
          <w:rFonts w:ascii="Calibri" w:hAnsi="Calibri"/>
          <w:b w:val="0"/>
          <w:i w:val="0"/>
          <w:color w:val="1A1A1A"/>
          <w:sz w:val="21"/>
        </w:rPr>
        <w:t>Fröbel gliedert seine Treibhausgasemissionen gemäß ESRS E1 nach den Kategorien Scope 1, Scope 2 (marktbezogen) sowie Scope 3 und weist innerhalb von Scope 3 die wesentlichen Unterkategorien gemäß GHG-Protocol aus.</w:t>
        <w:br/>
        <w:br/>
        <w:t>Zusätzlich werden in diesem Datenpunkt die Emissionen nach der Organisationsstruktur in Regionen ausgewiesen. Da diese allerdings eine unterschiedliche Anzahl von Einrichtungen haben, sind die Werte der Regionen nur bedingt vergleichbar. Wir bilanzieren auf Einrichtungs- bzw. Objektebene und ermitteln für die Vergleichbarkeit auch spezifische Emissionswerte pro Betreuungsplatz, Mitarbeitenden und Nettogrundfläche.</w:t>
      </w:r>
    </w:p>
    <w:p>
      <w:pPr>
        <w:pStyle w:val="Heading3"/>
      </w:pPr>
      <w:r>
        <w:t>AR 46 – Zusammenstellung von Scope-3-THG-Bruttoemissionen</w:t>
      </w:r>
    </w:p>
    <w:p>
      <w:pPr>
        <w:spacing w:before="0" w:after="80" w:line="276" w:lineRule="auto"/>
      </w:pPr>
      <w:r>
        <w:rPr>
          <w:rFonts w:ascii="Calibri" w:hAnsi="Calibri"/>
          <w:b w:val="0"/>
          <w:i w:val="0"/>
          <w:color w:val="1A1A1A"/>
          <w:sz w:val="21"/>
        </w:rPr>
        <w:t>Fröbel ermittelt signifikante Scope-3-Kategorien gemäß GHG-Protocol Corporate Value Chain (Scope 3) Standard, 2011, unter Berücksichtigung von Emissionshöhe (Größenordnung), Wesentlichkeit, Stakeholder-Relevanz, finanziellen Auswirkungen und Transitionsrisiken/-chancen. Die Berechnung erfolgt aktivitätsbasiert auf Basis von Primärdaten (z. B. Verbräuche, Einkaufs- und Reisedaten) sowie modellgestützt dort, wo Primärdaten nicht vollständig vorliegen. Emissionsfaktoren werden aus den in der Bilanzierungssoftware der Nachhaltigkeitsagentur hinterlegten Standard-Faktorensätzen entnommen. Der Konsolidierungsansatz ist operative Kontrolle.</w:t>
      </w:r>
    </w:p>
    <w:p>
      <w:pPr>
        <w:spacing w:before="0" w:after="80" w:line="276" w:lineRule="auto"/>
      </w:pPr>
      <w:r>
        <w:rPr>
          <w:rFonts w:ascii="Calibri" w:hAnsi="Calibri"/>
          <w:b w:val="0"/>
          <w:i w:val="0"/>
          <w:color w:val="1A1A1A"/>
          <w:sz w:val="21"/>
        </w:rPr>
        <w:t>Für zusammenstellung von Scope-3-THG-Bruttoemissionen werden im Berichtsjahr 17 ausgewiesen.</w:t>
      </w:r>
    </w:p>
    <w:p>
      <w:pPr>
        <w:spacing w:before="0" w:after="80" w:line="276" w:lineRule="auto"/>
      </w:pPr>
      <w:r>
        <w:rPr>
          <w:rFonts w:ascii="Calibri" w:hAnsi="Calibri"/>
          <w:b w:val="0"/>
          <w:i w:val="0"/>
          <w:color w:val="1A1A1A"/>
          <w:sz w:val="21"/>
        </w:rPr>
        <w:t>Die folgende Tabelle zeigt die Angaben zu zusammenstellung von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Name der Kategorie</w:t>
            </w:r>
          </w:p>
        </w:tc>
        <w:tc>
          <w:tcPr>
            <w:tcW w:type="dxa" w:w="4533"/>
            <w:shd w:val="clear" w:color="auto" w:fill="1C462D"/>
          </w:tcPr>
          <w:p>
            <w:r>
              <w:rPr>
                <w:rFonts w:ascii="Calibri" w:hAnsi="Calibri"/>
                <w:b/>
                <w:i w:val="0"/>
                <w:color w:val="FFFFFF"/>
                <w:sz w:val="18"/>
              </w:rPr>
              <w:t>Wurde die Kategorie ausgeschlossen?</w:t>
            </w:r>
          </w:p>
        </w:tc>
      </w:tr>
      <w:tr>
        <w:tc>
          <w:tcPr>
            <w:tcW w:type="dxa" w:w="4533"/>
            <w:shd w:val="clear" w:color="auto" w:fill="EBF3EE"/>
          </w:tcPr>
          <w:p>
            <w:r>
              <w:rPr>
                <w:rFonts w:ascii="Calibri" w:hAnsi="Calibri"/>
                <w:b w:val="0"/>
                <w:i w:val="0"/>
                <w:color w:val="1A1A1A"/>
                <w:sz w:val="18"/>
              </w:rPr>
              <w:t>Scope-3 Kategorie Nr. 1 (GHG): Gekaufte Waren und Dienstleistungen (Lebensmittel Frischküchen)</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 (GHG): Gekaufte Waren und Dienstleistungen (Externes Catering)</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3 (GHG): Brennstoff- &amp; energiebezogene Emissionen (upstream)</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4 (GHG): Eingekaufter Transport &amp; Logistik (Lieferungen Catering)</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5 (GHG): Abfall</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6 (GHG): Geschäftsreisen</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7 (GHG): Pendelverkehr Mitarbeitende</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9 (GHG): Vor- und Nachgelagerter Transport (An- und Abreiseverkehr der Familien)</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Homeoffice</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15 (GHG): Sonstige Elektronik/Toner</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Hotelübernachtungen</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15 (GHG): Sonstige Druckerzeugnisse</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Frischwasser</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2 (GHG): Kapitalgüter</w:t>
            </w:r>
          </w:p>
        </w:tc>
        <w:tc>
          <w:tcPr>
            <w:tcW w:type="dxa" w:w="4533"/>
            <w:shd w:val="clear" w:color="auto" w:fill="FFFFFF"/>
          </w:tcPr>
          <w:p>
            <w:r>
              <w:rPr>
                <w:rFonts w:ascii="Calibri" w:hAnsi="Calibri"/>
                <w:b w:val="0"/>
                <w:i w:val="0"/>
                <w:color w:val="1A1A1A"/>
                <w:sz w:val="18"/>
              </w:rPr>
              <w:t>Yes</w:t>
              <w:br/>
              <w:t>nicht zutreffend für unser Geschäftsmodell</w:t>
            </w:r>
          </w:p>
        </w:tc>
      </w:tr>
      <w:tr>
        <w:tc>
          <w:tcPr>
            <w:tcW w:type="dxa" w:w="4533"/>
            <w:shd w:val="clear" w:color="auto" w:fill="EBF3EE"/>
          </w:tcPr>
          <w:p>
            <w:r>
              <w:rPr>
                <w:rFonts w:ascii="Calibri" w:hAnsi="Calibri"/>
                <w:b w:val="0"/>
                <w:i w:val="0"/>
                <w:color w:val="1A1A1A"/>
                <w:sz w:val="18"/>
              </w:rPr>
              <w:t>Scope-3 Kategorie Nr. 8 (GHG): Upstream-Leasing</w:t>
            </w:r>
          </w:p>
        </w:tc>
        <w:tc>
          <w:tcPr>
            <w:tcW w:type="dxa" w:w="4533"/>
            <w:shd w:val="clear" w:color="auto" w:fill="EBF3EE"/>
          </w:tcPr>
          <w:p>
            <w:r>
              <w:rPr>
                <w:rFonts w:ascii="Calibri" w:hAnsi="Calibri"/>
                <w:b w:val="0"/>
                <w:i w:val="0"/>
                <w:color w:val="1A1A1A"/>
                <w:sz w:val="18"/>
              </w:rPr>
              <w:t>Yes</w:t>
              <w:br/>
              <w:t>keine relevanten Leasing-/Franchise-Strukturen</w:t>
            </w:r>
          </w:p>
        </w:tc>
      </w:tr>
      <w:tr>
        <w:tc>
          <w:tcPr>
            <w:tcW w:type="dxa" w:w="4533"/>
            <w:shd w:val="clear" w:color="auto" w:fill="FFFFFF"/>
          </w:tcPr>
          <w:p>
            <w:r>
              <w:rPr>
                <w:rFonts w:ascii="Calibri" w:hAnsi="Calibri"/>
                <w:b w:val="0"/>
                <w:i w:val="0"/>
                <w:color w:val="1A1A1A"/>
                <w:sz w:val="18"/>
              </w:rPr>
              <w:t>Scope-3 Kategorie Nr. 10 (GHG): Verarbeitung verkaufter Produkte</w:t>
            </w:r>
          </w:p>
        </w:tc>
        <w:tc>
          <w:tcPr>
            <w:tcW w:type="dxa" w:w="4533"/>
            <w:shd w:val="clear" w:color="auto" w:fill="FFFFFF"/>
          </w:tcPr>
          <w:p>
            <w:r>
              <w:rPr>
                <w:rFonts w:ascii="Calibri" w:hAnsi="Calibri"/>
                <w:b w:val="0"/>
                <w:i w:val="0"/>
                <w:color w:val="1A1A1A"/>
                <w:sz w:val="18"/>
              </w:rPr>
              <w:t>Yes</w:t>
              <w:br/>
              <w:t>keine verkauften Produkte</w:t>
            </w:r>
          </w:p>
        </w:tc>
      </w:tr>
      <w:tr>
        <w:tc>
          <w:tcPr>
            <w:tcW w:type="dxa" w:w="4533"/>
            <w:shd w:val="clear" w:color="auto" w:fill="EBF3EE"/>
          </w:tcPr>
          <w:p>
            <w:r>
              <w:rPr>
                <w:rFonts w:ascii="Calibri" w:hAnsi="Calibri"/>
                <w:b w:val="0"/>
                <w:i w:val="0"/>
                <w:color w:val="1A1A1A"/>
                <w:sz w:val="18"/>
              </w:rPr>
              <w:t>Scope-3 Kategorie Nr. 11 (GHG): Verarbeitung verkaufter Produkte</w:t>
            </w:r>
          </w:p>
        </w:tc>
        <w:tc>
          <w:tcPr>
            <w:tcW w:type="dxa" w:w="4533"/>
            <w:shd w:val="clear" w:color="auto" w:fill="EBF3EE"/>
          </w:tcPr>
          <w:p>
            <w:r>
              <w:rPr>
                <w:rFonts w:ascii="Calibri" w:hAnsi="Calibri"/>
                <w:b w:val="0"/>
                <w:i w:val="0"/>
                <w:color w:val="1A1A1A"/>
                <w:sz w:val="18"/>
              </w:rPr>
              <w:t>Yes</w:t>
              <w:br/>
              <w:t>keine verkauften Produkte</w:t>
            </w:r>
          </w:p>
        </w:tc>
      </w:tr>
      <w:tr>
        <w:tc>
          <w:tcPr>
            <w:tcW w:type="dxa" w:w="4533"/>
            <w:shd w:val="clear" w:color="auto" w:fill="FFFFFF"/>
          </w:tcPr>
          <w:p>
            <w:r>
              <w:rPr>
                <w:rFonts w:ascii="Calibri" w:hAnsi="Calibri"/>
                <w:b w:val="0"/>
                <w:i w:val="0"/>
                <w:color w:val="1A1A1A"/>
                <w:sz w:val="18"/>
              </w:rPr>
              <w:t>Scope-3 Kategorie Nr. 12 (GHG): End-of-Life verkaufter Produkte</w:t>
            </w:r>
          </w:p>
        </w:tc>
        <w:tc>
          <w:tcPr>
            <w:tcW w:type="dxa" w:w="4533"/>
            <w:shd w:val="clear" w:color="auto" w:fill="FFFFFF"/>
          </w:tcPr>
          <w:p>
            <w:r>
              <w:rPr>
                <w:rFonts w:ascii="Calibri" w:hAnsi="Calibri"/>
                <w:b w:val="0"/>
                <w:i w:val="0"/>
                <w:color w:val="1A1A1A"/>
                <w:sz w:val="18"/>
              </w:rPr>
              <w:t>Yes</w:t>
              <w:br/>
              <w:t>keine verkauften Produkte</w:t>
            </w:r>
          </w:p>
        </w:tc>
      </w:tr>
      <w:tr>
        <w:tc>
          <w:tcPr>
            <w:tcW w:type="dxa" w:w="4533"/>
            <w:shd w:val="clear" w:color="auto" w:fill="EBF3EE"/>
          </w:tcPr>
          <w:p>
            <w:r>
              <w:rPr>
                <w:rFonts w:ascii="Calibri" w:hAnsi="Calibri"/>
                <w:b w:val="0"/>
                <w:i w:val="0"/>
                <w:color w:val="1A1A1A"/>
                <w:sz w:val="18"/>
              </w:rPr>
              <w:t>Scope-3 Kategorie Nr. 13 (GHG): Downstream Leasing</w:t>
            </w:r>
          </w:p>
        </w:tc>
        <w:tc>
          <w:tcPr>
            <w:tcW w:type="dxa" w:w="4533"/>
            <w:shd w:val="clear" w:color="auto" w:fill="EBF3EE"/>
          </w:tcPr>
          <w:p>
            <w:r>
              <w:rPr>
                <w:rFonts w:ascii="Calibri" w:hAnsi="Calibri"/>
                <w:b w:val="0"/>
                <w:i w:val="0"/>
                <w:color w:val="1A1A1A"/>
                <w:sz w:val="18"/>
              </w:rPr>
              <w:t>Yes</w:t>
              <w:br/>
              <w:t>keine relevanten Leasing-/Franchise-Strukturen</w:t>
            </w:r>
          </w:p>
        </w:tc>
      </w:tr>
      <w:tr>
        <w:tc>
          <w:tcPr>
            <w:tcW w:type="dxa" w:w="4533"/>
            <w:shd w:val="clear" w:color="auto" w:fill="FFFFFF"/>
          </w:tcPr>
          <w:p>
            <w:r>
              <w:rPr>
                <w:rFonts w:ascii="Calibri" w:hAnsi="Calibri"/>
                <w:b w:val="0"/>
                <w:i w:val="0"/>
                <w:color w:val="1A1A1A"/>
                <w:sz w:val="18"/>
              </w:rPr>
              <w:t>Scope-3 Kategorie Nr. 14 (GHG): Franchise</w:t>
            </w:r>
          </w:p>
        </w:tc>
        <w:tc>
          <w:tcPr>
            <w:tcW w:type="dxa" w:w="4533"/>
            <w:shd w:val="clear" w:color="auto" w:fill="FFFFFF"/>
          </w:tcPr>
          <w:p>
            <w:r>
              <w:rPr>
                <w:rFonts w:ascii="Calibri" w:hAnsi="Calibri"/>
                <w:b w:val="0"/>
                <w:i w:val="0"/>
                <w:color w:val="1A1A1A"/>
                <w:sz w:val="18"/>
              </w:rPr>
              <w:t>Yes</w:t>
              <w:br/>
              <w:t>keine relevanten Leasing-/Franchise-Strukturen</w:t>
            </w:r>
          </w:p>
        </w:tc>
      </w:tr>
    </w:tbl>
    <w:p/>
    <w:p>
      <w:pPr>
        <w:spacing w:before="0" w:after="80" w:line="276" w:lineRule="auto"/>
      </w:pPr>
      <w:r>
        <w:rPr>
          <w:rFonts w:ascii="Calibri" w:hAnsi="Calibri"/>
          <w:b w:val="0"/>
          <w:i w:val="0"/>
          <w:color w:val="1A1A1A"/>
          <w:sz w:val="21"/>
        </w:rPr>
        <w:t xml:space="preserve">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Die folgende Tabelle zeigt die Angaben zu zusammenstellung von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Name der Kategorie</w:t>
            </w:r>
          </w:p>
        </w:tc>
        <w:tc>
          <w:tcPr>
            <w:tcW w:type="dxa" w:w="2266"/>
            <w:shd w:val="clear" w:color="auto" w:fill="1C462D"/>
          </w:tcPr>
          <w:p>
            <w:r>
              <w:rPr>
                <w:rFonts w:ascii="Calibri" w:hAnsi="Calibri"/>
                <w:b/>
                <w:i w:val="0"/>
                <w:color w:val="FFFFFF"/>
                <w:sz w:val="18"/>
              </w:rPr>
              <w:t>Berücksichtigte Berichterstattungsgrenzen</w:t>
            </w:r>
          </w:p>
        </w:tc>
        <w:tc>
          <w:tcPr>
            <w:tcW w:type="dxa" w:w="2266"/>
            <w:shd w:val="clear" w:color="auto" w:fill="1C462D"/>
          </w:tcPr>
          <w:p>
            <w:r>
              <w:rPr>
                <w:rFonts w:ascii="Calibri" w:hAnsi="Calibri"/>
                <w:b/>
                <w:i w:val="0"/>
                <w:color w:val="FFFFFF"/>
                <w:sz w:val="18"/>
              </w:rPr>
              <w:t>Berechnungsmethoden für die Schätzung der Treibhausgasemissionen</w:t>
            </w:r>
          </w:p>
        </w:tc>
        <w:tc>
          <w:tcPr>
            <w:tcW w:type="dxa" w:w="2266"/>
            <w:shd w:val="clear" w:color="auto" w:fill="1C462D"/>
          </w:tcPr>
          <w:p>
            <w:r>
              <w:rPr>
                <w:rFonts w:ascii="Calibri" w:hAnsi="Calibri"/>
                <w:b/>
                <w:i w:val="0"/>
                <w:color w:val="FFFFFF"/>
                <w:sz w:val="18"/>
              </w:rPr>
              <w:t>Wurden Berechnungswerkzeuge eingesetzt? Wenn ja, welche?</w:t>
            </w:r>
          </w:p>
        </w:tc>
      </w:tr>
      <w:tr>
        <w:tc>
          <w:tcPr>
            <w:tcW w:type="dxa" w:w="2266"/>
            <w:shd w:val="clear" w:color="auto" w:fill="EBF3EE"/>
          </w:tcPr>
          <w:p>
            <w:r>
              <w:rPr>
                <w:rFonts w:ascii="Calibri" w:hAnsi="Calibri"/>
                <w:b w:val="0"/>
                <w:i w:val="0"/>
                <w:color w:val="1A1A1A"/>
                <w:sz w:val="18"/>
              </w:rPr>
              <w:t>Gekaufte Waren und Dienstleistungen (Lebensmittel Frischküchen) (Scope-3 Kategorie Nr. 1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Aktivitätsbasiert. Bildung von 6 Clustern nach Anzahl Betreuungsplätze, Ernährungsform und Nachhaltigkeitsstatus. Exakte Messung Wareneinsatz von 22 von 155 Frischküchen (Je Cluster 3-5 Einrichtungen). Clusterspezifische Skalierung auf alle Einrichtungen mit Frischküche über die Summe jeweils anwesender Kinder Gesamtjahr 2024 der Einrichtung.</w:t>
            </w:r>
          </w:p>
        </w:tc>
        <w:tc>
          <w:tcPr>
            <w:tcW w:type="dxa" w:w="2266"/>
            <w:shd w:val="clear" w:color="auto" w:fill="EBF3EE"/>
          </w:tcPr>
          <w:p>
            <w:r>
              <w:rPr>
                <w:rFonts w:ascii="Calibri" w:hAnsi="Calibri"/>
                <w:b w:val="0"/>
                <w:i w:val="0"/>
                <w:color w:val="1A1A1A"/>
                <w:sz w:val="18"/>
              </w:rPr>
              <w:t>Bilanzierungstool der Agentur Planted, hinterlegte Standard-Faktoren für einzelne Lebensmittel(gruppen)</w:t>
            </w:r>
          </w:p>
        </w:tc>
      </w:tr>
      <w:tr>
        <w:tc>
          <w:tcPr>
            <w:tcW w:type="dxa" w:w="2266"/>
            <w:shd w:val="clear" w:color="auto" w:fill="FFFFFF"/>
          </w:tcPr>
          <w:p>
            <w:r>
              <w:rPr>
                <w:rFonts w:ascii="Calibri" w:hAnsi="Calibri"/>
                <w:b w:val="0"/>
                <w:i w:val="0"/>
                <w:color w:val="1A1A1A"/>
                <w:sz w:val="18"/>
              </w:rPr>
              <w:t>Gekaufte Waren und Dienstleistungen (Externes Catering) (Scope-3 Kategorie Nr. 1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Aktivitätsbasiert. Definition von standardisierten Kinderportionen. Unterscheidung nach vegetarisch oder mit Fleisch/Fisch. Skalierung auf alle Einrichtungen mit externen Catering über die Summe jeweils anwesender Kinder Gesamtjahr 2024 der Einrichtung.</w:t>
            </w:r>
          </w:p>
        </w:tc>
        <w:tc>
          <w:tcPr>
            <w:tcW w:type="dxa" w:w="2266"/>
            <w:shd w:val="clear" w:color="auto" w:fill="FFFFFF"/>
          </w:tcPr>
          <w:p>
            <w:r>
              <w:rPr>
                <w:rFonts w:ascii="Calibri" w:hAnsi="Calibri"/>
                <w:b w:val="0"/>
                <w:i w:val="0"/>
                <w:color w:val="1A1A1A"/>
                <w:sz w:val="18"/>
              </w:rPr>
              <w:t>Bilanzierungstool der Agentur Planted, hinterlegte Standard-Faktoren für einzelne Lebensmittel(gruppen)</w:t>
            </w:r>
          </w:p>
        </w:tc>
      </w:tr>
      <w:tr>
        <w:tc>
          <w:tcPr>
            <w:tcW w:type="dxa" w:w="2266"/>
            <w:shd w:val="clear" w:color="auto" w:fill="EBF3EE"/>
          </w:tcPr>
          <w:p>
            <w:r>
              <w:rPr>
                <w:rFonts w:ascii="Calibri" w:hAnsi="Calibri"/>
                <w:b w:val="0"/>
                <w:i w:val="0"/>
                <w:color w:val="1A1A1A"/>
                <w:sz w:val="18"/>
              </w:rPr>
              <w:t>Brennstoff- &amp; energiebezogene Emissionen (upstream) (Scope-3 Kategorie Nr. 3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aktivitätsbasiert; Verbrauchsdaten Wärme/Strom (teilw. Zähler/Rechnungen, teilw. modelliert) × Upstream-Faktoren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Eingekaufter Transport &amp; Logistik (Lieferungen Catering) (Scope-3 Kategorie Nr. 4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Modelliert über die Entfernungen von Produktionsküchen zu Einrichtungen. Annahme Transport mit Dieselfahrzeugen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Abfall (Scope-3 Kategorie Nr. 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modelliert über BSR-Kita-Rechner (durchschnittliches Abfallaufkommen nach Betreuungsplätzen)</w:t>
            </w:r>
          </w:p>
        </w:tc>
        <w:tc>
          <w:tcPr>
            <w:tcW w:type="dxa" w:w="2266"/>
            <w:shd w:val="clear" w:color="auto" w:fill="EBF3EE"/>
          </w:tcPr>
          <w:p>
            <w:r>
              <w:rPr>
                <w:rFonts w:ascii="Calibri" w:hAnsi="Calibri"/>
                <w:b w:val="0"/>
                <w:i w:val="0"/>
                <w:color w:val="1A1A1A"/>
                <w:sz w:val="18"/>
              </w:rPr>
              <w:t>Kitaverbrauchsrechner der BSR Berlin, Bilanzierungstool der Agentur Planted, hinterlegte Standard-Faktoren</w:t>
            </w:r>
          </w:p>
        </w:tc>
      </w:tr>
      <w:tr>
        <w:tc>
          <w:tcPr>
            <w:tcW w:type="dxa" w:w="2266"/>
            <w:shd w:val="clear" w:color="auto" w:fill="FFFFFF"/>
          </w:tcPr>
          <w:p>
            <w:r>
              <w:rPr>
                <w:rFonts w:ascii="Calibri" w:hAnsi="Calibri"/>
                <w:b w:val="0"/>
                <w:i w:val="0"/>
                <w:color w:val="1A1A1A"/>
                <w:sz w:val="18"/>
              </w:rPr>
              <w:t>Geschäftsreisen (Scope-3 Kategorie Nr. 6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aktivitätsbasiert; Beleg-/Abrechnungsdaten (Personenkilometer Bahn/Flug, Kfz-km) × Faktoren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Pendelverkehr Mitarbeitende (Scope-3 Kategorie Nr. 7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Unternehmensumfrage 2023 (Distanz, Modal Split) mit ~20 % Rücklauf, Hochrechnung auf Belegschaft unter Berücksichtigung regionaler Verteilungen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Vor- und Nachgelagerter Transport (An- und Abreiseverkehr der Familien) (Scope-3 Kategorie Nr. 9 nach GHG)</w:t>
            </w:r>
          </w:p>
        </w:tc>
        <w:tc>
          <w:tcPr>
            <w:tcW w:type="dxa" w:w="2266"/>
            <w:shd w:val="clear" w:color="auto" w:fill="FFFFFF"/>
          </w:tcPr>
          <w:p>
            <w:r>
              <w:rPr>
                <w:rFonts w:ascii="Calibri" w:hAnsi="Calibri"/>
                <w:b w:val="0"/>
                <w:i w:val="0"/>
                <w:color w:val="1A1A1A"/>
                <w:sz w:val="18"/>
              </w:rPr>
              <w:t>Wertschöpfungskette downstream</w:t>
            </w:r>
          </w:p>
        </w:tc>
        <w:tc>
          <w:tcPr>
            <w:tcW w:type="dxa" w:w="2266"/>
            <w:shd w:val="clear" w:color="auto" w:fill="FFFFFF"/>
          </w:tcPr>
          <w:p>
            <w:r>
              <w:rPr>
                <w:rFonts w:ascii="Calibri" w:hAnsi="Calibri"/>
                <w:b w:val="0"/>
                <w:i w:val="0"/>
                <w:color w:val="1A1A1A"/>
                <w:sz w:val="18"/>
              </w:rPr>
              <w:t>Modal Split (Statista), Distanzen (Thünen Working Paper 117) nach Bundesland/urban-ländlich</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Homeoffice (Scope-3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Mobilitätsumfrage + Durchschnittswerte Heimenergie (Strom/Wärme)</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Sonstige Elektronik/Toner (Scope-3 Kategorie Nr. 15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Einkaufsbelege × Emissionsfaktoren (Beschaffung)</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Hotelübernachtungen (Scope-3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Belege/Übernachtungen × länderspezifische Hotel-Faktoren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Sonstige Druckerzeugnisse (Scope-3 Kategorie Nr. 15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Bestellmengen &amp; Papiergewichte × Faktoren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Frischwasser(Scope-3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128,144 m³ gesamt (davon 58,275 m³ primär via Zähler/Rechnungen), Rest modelliert; m³ × 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bl>
    <w:p/>
    <w:p>
      <w:pPr>
        <w:spacing w:before="0" w:after="80" w:line="276" w:lineRule="auto"/>
      </w:pPr>
      <w:r>
        <w:rPr>
          <w:rFonts w:ascii="Calibri" w:hAnsi="Calibri"/>
          <w:b w:val="0"/>
          <w:i w:val="0"/>
          <w:color w:val="1A1A1A"/>
          <w:sz w:val="21"/>
        </w:rPr>
        <w:t>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w:t>
        <w:br/>
        <w:br/>
        <w:t>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w:t>
        <w:br/>
        <w:t>Primärdatenquote (gewichtet nach Emissionsanteilen, 2024): ca. 17 %, Modell-/Sekundärdaten: ca. 83 %.</w:t>
        <w:br/>
        <w:t>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pPr>
        <w:pStyle w:val="Heading3"/>
      </w:pPr>
      <w:r>
        <w:t>48 – Scope-1-THG-Bruttoemissionen</w:t>
      </w:r>
    </w:p>
    <w:p>
      <w:pPr>
        <w:spacing w:before="0" w:after="80" w:line="276" w:lineRule="auto"/>
      </w:pPr>
      <w:r>
        <w:rPr>
          <w:rFonts w:ascii="Calibri" w:hAnsi="Calibri"/>
          <w:b w:val="0"/>
          <w:i w:val="0"/>
          <w:color w:val="1A1A1A"/>
          <w:sz w:val="21"/>
        </w:rPr>
        <w:t>Angabe der scope-1-thg-bruttoemissionen beläuft sich im Berichtsjahr auf 1.331,3; davon entfallen 9,8 auf angabe der scope-1-thg-bruttoemissionen aus emissionshandelssystemen.</w:t>
      </w:r>
    </w:p>
    <w:p>
      <w:pPr>
        <w:pStyle w:val="Heading3"/>
      </w:pPr>
      <w:r>
        <w:t>49 – Scope-2-THG-Bruttoemissionen</w:t>
      </w:r>
    </w:p>
    <w:p>
      <w:pPr>
        <w:spacing w:before="0" w:after="80" w:line="276" w:lineRule="auto"/>
      </w:pPr>
      <w:r>
        <w:rPr>
          <w:rFonts w:ascii="Calibri" w:hAnsi="Calibri"/>
          <w:b w:val="0"/>
          <w:i w:val="0"/>
          <w:color w:val="1A1A1A"/>
          <w:sz w:val="21"/>
        </w:rPr>
        <w:t>Was sind ihre standortbezogenen scope-2-thg-bruttoemissionen in tonnen co2-äquivalent beläuft sich im Berichtsjahr auf 4.060,783; davon entfallen 15.299,899 auf was sind ihre thg-gesamtemissionen in tonnen co2-äquivalent, 2.923,249 auf was sind ihre marktbezogenen scope-2-thg-bruttoemissionen in tonnen co2-äquivalent sowie 13.973,177 auf was sind ihre marktbezogenen thg-gesamtemissionen in tonnen co2-äquivalent.</w:t>
      </w:r>
    </w:p>
    <w:p>
      <w:pPr>
        <w:spacing w:before="0" w:after="80" w:line="276" w:lineRule="auto"/>
      </w:pPr>
      <w:r>
        <w:rPr>
          <w:rFonts w:ascii="Calibri" w:hAnsi="Calibri"/>
          <w:b w:val="0"/>
          <w:i w:val="0"/>
          <w:color w:val="1A1A1A"/>
          <w:sz w:val="21"/>
        </w:rPr>
        <w:t>49a und 52a: Dateneingabe von Planted</w:t>
      </w:r>
    </w:p>
    <w:p>
      <w:pPr>
        <w:pStyle w:val="Heading3"/>
      </w:pPr>
      <w:r>
        <w:t>51 – Angabe der Scope-3-THG-Bruttoemissionen</w:t>
      </w:r>
    </w:p>
    <w:p>
      <w:pPr>
        <w:spacing w:before="0" w:after="80" w:line="276" w:lineRule="auto"/>
      </w:pPr>
      <w:r>
        <w:rPr>
          <w:rFonts w:ascii="Calibri" w:hAnsi="Calibri"/>
          <w:b w:val="0"/>
          <w:i w:val="0"/>
          <w:color w:val="1A1A1A"/>
          <w:sz w:val="21"/>
        </w:rPr>
        <w:t>Die folgende Tabelle zeigt die Angaben zu angabe der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Kategorie</w:t>
            </w:r>
          </w:p>
        </w:tc>
        <w:tc>
          <w:tcPr>
            <w:tcW w:type="dxa" w:w="4533"/>
            <w:shd w:val="clear" w:color="auto" w:fill="1C462D"/>
          </w:tcPr>
          <w:p>
            <w:r>
              <w:rPr>
                <w:rFonts w:ascii="Calibri" w:hAnsi="Calibri"/>
                <w:b/>
                <w:i w:val="0"/>
                <w:color w:val="FFFFFF"/>
                <w:sz w:val="18"/>
              </w:rPr>
              <w:t>Emission</w:t>
            </w:r>
          </w:p>
        </w:tc>
      </w:tr>
      <w:tr>
        <w:tc>
          <w:tcPr>
            <w:tcW w:type="dxa" w:w="4533"/>
            <w:shd w:val="clear" w:color="auto" w:fill="EBF3EE"/>
          </w:tcPr>
          <w:p>
            <w:r>
              <w:rPr>
                <w:rFonts w:ascii="Calibri" w:hAnsi="Calibri"/>
                <w:b w:val="0"/>
                <w:i w:val="0"/>
                <w:color w:val="1A1A1A"/>
                <w:sz w:val="18"/>
              </w:rPr>
              <w:t>Lebensmittel und Agrarrohstoffe (Verpflegung Frischküchen)</w:t>
            </w:r>
          </w:p>
        </w:tc>
        <w:tc>
          <w:tcPr>
            <w:tcW w:type="dxa" w:w="4533"/>
            <w:shd w:val="clear" w:color="auto" w:fill="EBF3EE"/>
          </w:tcPr>
          <w:p>
            <w:r>
              <w:rPr>
                <w:rFonts w:ascii="Calibri" w:hAnsi="Calibri"/>
                <w:b w:val="0"/>
                <w:i w:val="0"/>
                <w:color w:val="1A1A1A"/>
                <w:sz w:val="18"/>
              </w:rPr>
              <w:t>2.567 tCO₂e</w:t>
            </w:r>
          </w:p>
        </w:tc>
      </w:tr>
      <w:tr>
        <w:tc>
          <w:tcPr>
            <w:tcW w:type="dxa" w:w="4533"/>
            <w:shd w:val="clear" w:color="auto" w:fill="FFFFFF"/>
          </w:tcPr>
          <w:p>
            <w:r>
              <w:rPr>
                <w:rFonts w:ascii="Calibri" w:hAnsi="Calibri"/>
                <w:b w:val="0"/>
                <w:i w:val="0"/>
                <w:color w:val="1A1A1A"/>
                <w:sz w:val="18"/>
              </w:rPr>
              <w:t>Externes Catering</w:t>
            </w:r>
          </w:p>
        </w:tc>
        <w:tc>
          <w:tcPr>
            <w:tcW w:type="dxa" w:w="4533"/>
            <w:shd w:val="clear" w:color="auto" w:fill="FFFFFF"/>
          </w:tcPr>
          <w:p>
            <w:r>
              <w:rPr>
                <w:rFonts w:ascii="Calibri" w:hAnsi="Calibri"/>
                <w:b w:val="0"/>
                <w:i w:val="0"/>
                <w:color w:val="1A1A1A"/>
                <w:sz w:val="18"/>
              </w:rPr>
              <w:t>2.394,8 tCO₂e</w:t>
            </w:r>
          </w:p>
        </w:tc>
      </w:tr>
      <w:tr>
        <w:tc>
          <w:tcPr>
            <w:tcW w:type="dxa" w:w="4533"/>
            <w:shd w:val="clear" w:color="auto" w:fill="EBF3EE"/>
          </w:tcPr>
          <w:p>
            <w:r>
              <w:rPr>
                <w:rFonts w:ascii="Calibri" w:hAnsi="Calibri"/>
                <w:b w:val="0"/>
                <w:i w:val="0"/>
                <w:color w:val="1A1A1A"/>
                <w:sz w:val="18"/>
              </w:rPr>
              <w:t>Brennstoff- und energiebezogene Emissionen (upstream)</w:t>
            </w:r>
          </w:p>
        </w:tc>
        <w:tc>
          <w:tcPr>
            <w:tcW w:type="dxa" w:w="4533"/>
            <w:shd w:val="clear" w:color="auto" w:fill="EBF3EE"/>
          </w:tcPr>
          <w:p>
            <w:r>
              <w:rPr>
                <w:rFonts w:ascii="Calibri" w:hAnsi="Calibri"/>
                <w:b w:val="0"/>
                <w:i w:val="0"/>
                <w:color w:val="1A1A1A"/>
                <w:sz w:val="18"/>
              </w:rPr>
              <w:t>1.120,9 tCO₂e</w:t>
            </w:r>
          </w:p>
        </w:tc>
      </w:tr>
      <w:tr>
        <w:tc>
          <w:tcPr>
            <w:tcW w:type="dxa" w:w="4533"/>
            <w:shd w:val="clear" w:color="auto" w:fill="FFFFFF"/>
          </w:tcPr>
          <w:p>
            <w:r>
              <w:rPr>
                <w:rFonts w:ascii="Calibri" w:hAnsi="Calibri"/>
                <w:b w:val="0"/>
                <w:i w:val="0"/>
                <w:color w:val="1A1A1A"/>
                <w:sz w:val="18"/>
              </w:rPr>
              <w:t>Pendelverkahr Mitarbeitende</w:t>
            </w:r>
          </w:p>
        </w:tc>
        <w:tc>
          <w:tcPr>
            <w:tcW w:type="dxa" w:w="4533"/>
            <w:shd w:val="clear" w:color="auto" w:fill="FFFFFF"/>
          </w:tcPr>
          <w:p>
            <w:r>
              <w:rPr>
                <w:rFonts w:ascii="Calibri" w:hAnsi="Calibri"/>
                <w:b w:val="0"/>
                <w:i w:val="0"/>
                <w:color w:val="1A1A1A"/>
                <w:sz w:val="18"/>
              </w:rPr>
              <w:t>1.691,5 tCO₂e</w:t>
            </w:r>
          </w:p>
        </w:tc>
      </w:tr>
      <w:tr>
        <w:tc>
          <w:tcPr>
            <w:tcW w:type="dxa" w:w="4533"/>
            <w:shd w:val="clear" w:color="auto" w:fill="EBF3EE"/>
          </w:tcPr>
          <w:p>
            <w:r>
              <w:rPr>
                <w:rFonts w:ascii="Calibri" w:hAnsi="Calibri"/>
                <w:b w:val="0"/>
                <w:i w:val="0"/>
                <w:color w:val="1A1A1A"/>
                <w:sz w:val="18"/>
              </w:rPr>
              <w:t>An- und Abreiseverkehr Familien</w:t>
            </w:r>
          </w:p>
        </w:tc>
        <w:tc>
          <w:tcPr>
            <w:tcW w:type="dxa" w:w="4533"/>
            <w:shd w:val="clear" w:color="auto" w:fill="EBF3EE"/>
          </w:tcPr>
          <w:p>
            <w:r>
              <w:rPr>
                <w:rFonts w:ascii="Calibri" w:hAnsi="Calibri"/>
                <w:b w:val="0"/>
                <w:i w:val="0"/>
                <w:color w:val="1A1A1A"/>
                <w:sz w:val="18"/>
              </w:rPr>
              <w:t>1.141,3 tCO₂e</w:t>
            </w:r>
          </w:p>
        </w:tc>
      </w:tr>
      <w:tr>
        <w:tc>
          <w:tcPr>
            <w:tcW w:type="dxa" w:w="4533"/>
            <w:shd w:val="clear" w:color="auto" w:fill="FFFFFF"/>
          </w:tcPr>
          <w:p>
            <w:r>
              <w:rPr>
                <w:rFonts w:ascii="Calibri" w:hAnsi="Calibri"/>
                <w:b w:val="0"/>
                <w:i w:val="0"/>
                <w:color w:val="1A1A1A"/>
                <w:sz w:val="18"/>
              </w:rPr>
              <w:t>Geschäftsreisen (Flug, Bahn, Auto)</w:t>
            </w:r>
          </w:p>
        </w:tc>
        <w:tc>
          <w:tcPr>
            <w:tcW w:type="dxa" w:w="4533"/>
            <w:shd w:val="clear" w:color="auto" w:fill="FFFFFF"/>
          </w:tcPr>
          <w:p>
            <w:r>
              <w:rPr>
                <w:rFonts w:ascii="Calibri" w:hAnsi="Calibri"/>
                <w:b w:val="0"/>
                <w:i w:val="0"/>
                <w:color w:val="1A1A1A"/>
                <w:sz w:val="18"/>
              </w:rPr>
              <w:t>116,9 tCO₂e</w:t>
            </w:r>
          </w:p>
        </w:tc>
      </w:tr>
      <w:tr>
        <w:tc>
          <w:tcPr>
            <w:tcW w:type="dxa" w:w="4533"/>
            <w:shd w:val="clear" w:color="auto" w:fill="EBF3EE"/>
          </w:tcPr>
          <w:p>
            <w:r>
              <w:rPr>
                <w:rFonts w:ascii="Calibri" w:hAnsi="Calibri"/>
                <w:b w:val="0"/>
                <w:i w:val="0"/>
                <w:color w:val="1A1A1A"/>
                <w:sz w:val="18"/>
              </w:rPr>
              <w:t>Abfall und Recycling</w:t>
            </w:r>
          </w:p>
        </w:tc>
        <w:tc>
          <w:tcPr>
            <w:tcW w:type="dxa" w:w="4533"/>
            <w:shd w:val="clear" w:color="auto" w:fill="EBF3EE"/>
          </w:tcPr>
          <w:p>
            <w:r>
              <w:rPr>
                <w:rFonts w:ascii="Calibri" w:hAnsi="Calibri"/>
                <w:b w:val="0"/>
                <w:i w:val="0"/>
                <w:color w:val="1A1A1A"/>
                <w:sz w:val="18"/>
              </w:rPr>
              <w:t>277,7 tCO₂e</w:t>
            </w:r>
          </w:p>
        </w:tc>
      </w:tr>
      <w:tr>
        <w:tc>
          <w:tcPr>
            <w:tcW w:type="dxa" w:w="4533"/>
            <w:shd w:val="clear" w:color="auto" w:fill="FFFFFF"/>
          </w:tcPr>
          <w:p>
            <w:r>
              <w:rPr>
                <w:rFonts w:ascii="Calibri" w:hAnsi="Calibri"/>
                <w:b w:val="0"/>
                <w:i w:val="0"/>
                <w:color w:val="1A1A1A"/>
                <w:sz w:val="18"/>
              </w:rPr>
              <w:t>Homeoffice (Wärme und Strom)</w:t>
            </w:r>
          </w:p>
        </w:tc>
        <w:tc>
          <w:tcPr>
            <w:tcW w:type="dxa" w:w="4533"/>
            <w:shd w:val="clear" w:color="auto" w:fill="FFFFFF"/>
          </w:tcPr>
          <w:p>
            <w:r>
              <w:rPr>
                <w:rFonts w:ascii="Calibri" w:hAnsi="Calibri"/>
                <w:b w:val="0"/>
                <w:i w:val="0"/>
                <w:color w:val="1A1A1A"/>
                <w:sz w:val="18"/>
              </w:rPr>
              <w:t>218,7 tCO₂e</w:t>
            </w:r>
          </w:p>
        </w:tc>
      </w:tr>
      <w:tr>
        <w:tc>
          <w:tcPr>
            <w:tcW w:type="dxa" w:w="4533"/>
            <w:shd w:val="clear" w:color="auto" w:fill="EBF3EE"/>
          </w:tcPr>
          <w:p>
            <w:r>
              <w:rPr>
                <w:rFonts w:ascii="Calibri" w:hAnsi="Calibri"/>
                <w:b w:val="0"/>
                <w:i w:val="0"/>
                <w:color w:val="1A1A1A"/>
                <w:sz w:val="18"/>
              </w:rPr>
              <w:t>Beschaffung IT Geräte (Laptop, Smartphones, Tablets, Bildschirme, Toner)</w:t>
            </w:r>
          </w:p>
        </w:tc>
        <w:tc>
          <w:tcPr>
            <w:tcW w:type="dxa" w:w="4533"/>
            <w:shd w:val="clear" w:color="auto" w:fill="EBF3EE"/>
          </w:tcPr>
          <w:p>
            <w:r>
              <w:rPr>
                <w:rFonts w:ascii="Calibri" w:hAnsi="Calibri"/>
                <w:b w:val="0"/>
                <w:i w:val="0"/>
                <w:color w:val="1A1A1A"/>
                <w:sz w:val="18"/>
              </w:rPr>
              <w:t>96,6 tCO₂e</w:t>
            </w:r>
          </w:p>
        </w:tc>
      </w:tr>
      <w:tr>
        <w:tc>
          <w:tcPr>
            <w:tcW w:type="dxa" w:w="4533"/>
            <w:shd w:val="clear" w:color="auto" w:fill="FFFFFF"/>
          </w:tcPr>
          <w:p>
            <w:r>
              <w:rPr>
                <w:rFonts w:ascii="Calibri" w:hAnsi="Calibri"/>
                <w:b w:val="0"/>
                <w:i w:val="0"/>
                <w:color w:val="1A1A1A"/>
                <w:sz w:val="18"/>
              </w:rPr>
              <w:t>Druckerzeugnisse</w:t>
            </w:r>
          </w:p>
        </w:tc>
        <w:tc>
          <w:tcPr>
            <w:tcW w:type="dxa" w:w="4533"/>
            <w:shd w:val="clear" w:color="auto" w:fill="FFFFFF"/>
          </w:tcPr>
          <w:p>
            <w:r>
              <w:rPr>
                <w:rFonts w:ascii="Calibri" w:hAnsi="Calibri"/>
                <w:b w:val="0"/>
                <w:i w:val="0"/>
                <w:color w:val="1A1A1A"/>
                <w:sz w:val="18"/>
              </w:rPr>
              <w:t>43,3 tCO₂e</w:t>
            </w:r>
          </w:p>
        </w:tc>
      </w:tr>
      <w:tr>
        <w:tc>
          <w:tcPr>
            <w:tcW w:type="dxa" w:w="4533"/>
            <w:shd w:val="clear" w:color="auto" w:fill="EBF3EE"/>
          </w:tcPr>
          <w:p>
            <w:r>
              <w:rPr>
                <w:rFonts w:ascii="Calibri" w:hAnsi="Calibri"/>
                <w:b w:val="0"/>
                <w:i w:val="0"/>
                <w:color w:val="1A1A1A"/>
                <w:sz w:val="18"/>
              </w:rPr>
              <w:t>Hotelübernachtungen</w:t>
            </w:r>
          </w:p>
        </w:tc>
        <w:tc>
          <w:tcPr>
            <w:tcW w:type="dxa" w:w="4533"/>
            <w:shd w:val="clear" w:color="auto" w:fill="EBF3EE"/>
          </w:tcPr>
          <w:p>
            <w:r>
              <w:rPr>
                <w:rFonts w:ascii="Calibri" w:hAnsi="Calibri"/>
                <w:b w:val="0"/>
                <w:i w:val="0"/>
                <w:color w:val="1A1A1A"/>
                <w:sz w:val="18"/>
              </w:rPr>
              <w:t>35 tCO₂e</w:t>
            </w:r>
          </w:p>
        </w:tc>
      </w:tr>
      <w:tr>
        <w:tc>
          <w:tcPr>
            <w:tcW w:type="dxa" w:w="4533"/>
            <w:shd w:val="clear" w:color="auto" w:fill="FFFFFF"/>
          </w:tcPr>
          <w:p>
            <w:r>
              <w:rPr>
                <w:rFonts w:ascii="Calibri" w:hAnsi="Calibri"/>
                <w:b w:val="0"/>
                <w:i w:val="0"/>
                <w:color w:val="1A1A1A"/>
                <w:sz w:val="18"/>
              </w:rPr>
              <w:t>Frischwasser</w:t>
            </w:r>
          </w:p>
        </w:tc>
        <w:tc>
          <w:tcPr>
            <w:tcW w:type="dxa" w:w="4533"/>
            <w:shd w:val="clear" w:color="auto" w:fill="FFFFFF"/>
          </w:tcPr>
          <w:p>
            <w:r>
              <w:rPr>
                <w:rFonts w:ascii="Calibri" w:hAnsi="Calibri"/>
                <w:b w:val="0"/>
                <w:i w:val="0"/>
                <w:color w:val="1A1A1A"/>
                <w:sz w:val="18"/>
              </w:rPr>
              <w:t>22,6 tCO₂e</w:t>
            </w:r>
          </w:p>
        </w:tc>
      </w:tr>
    </w:tbl>
    <w:p/>
    <w:p>
      <w:pPr>
        <w:spacing w:before="0" w:after="80" w:line="276" w:lineRule="auto"/>
      </w:pPr>
      <w:r>
        <w:rPr>
          <w:rFonts w:ascii="Calibri" w:hAnsi="Calibri"/>
          <w:b w:val="0"/>
          <w:i w:val="0"/>
          <w:color w:val="1A1A1A"/>
          <w:sz w:val="21"/>
        </w:rPr>
        <w:t>Fröbel weist die Scope-3-Emissionen gemäß GHG-Protocol in wesentliche Kategorien aus. Für das Unternehmen ergeben sich signifikante Emissionsanteile insbesondere aus den Kategorien „Eingekaufte Waren und Dienstleistungen“ (Lebensmittel), „brennstoff- und energiebezogene Emissionen“, „Pendeln“, „Transport &amp; Logistik“, „Geschäftsreisen“ und „Abfall“. Darüber hinaus wurden weitere relevante Unterkategorien wie Homeoffice, Elektronik, Papier, Hotelübernachtungen und Frischwasser separat erfasst. Die Gesamtemissionen der wesentlichen Scope-3-Kategorien betragen im Berichtsjahr 2024 9,789,9 t CO₂e.</w:t>
      </w:r>
    </w:p>
    <w:p>
      <w:pPr>
        <w:pStyle w:val="Heading3"/>
      </w:pPr>
      <w:r>
        <w:t>44+52 – THG-Gesamtemissionen</w:t>
      </w:r>
    </w:p>
    <w:p>
      <w:pPr>
        <w:spacing w:before="0" w:after="80" w:line="276" w:lineRule="auto"/>
      </w:pPr>
      <w:r>
        <w:rPr>
          <w:rFonts w:ascii="Calibri" w:hAnsi="Calibri"/>
          <w:b w:val="0"/>
          <w:i w:val="0"/>
          <w:color w:val="1A1A1A"/>
          <w:sz w:val="21"/>
        </w:rPr>
        <w:t>Was sind ihre standortbezogenen thg-gesamtemissionen in tonnen co2-äquivalent beläuft sich im Berichtsjahr auf 15.299,899 tCO₂e; davon entfallen 13.973,177 tCO₂e auf was sind ihre marktbezogenen thg-gesamtemissionen in tonnen co2-äquivalent.</w:t>
      </w:r>
    </w:p>
    <w:p>
      <w:pPr>
        <w:spacing w:before="0" w:after="80" w:line="276" w:lineRule="auto"/>
      </w:pPr>
      <w:r>
        <w:rPr>
          <w:rFonts w:ascii="Calibri" w:hAnsi="Calibri"/>
          <w:b w:val="0"/>
          <w:i w:val="0"/>
          <w:color w:val="1A1A1A"/>
          <w:sz w:val="21"/>
        </w:rPr>
        <w:t>52a: Dateneintragung von Planted</w:t>
      </w:r>
    </w:p>
    <w:p>
      <w:pPr>
        <w:pStyle w:val="Heading3"/>
      </w:pPr>
      <w:r>
        <w:t>47 – Änderungen der Definition der Wertschöpfungskette zur Emissionsvergleichbarkeit</w:t>
      </w:r>
    </w:p>
    <w:p>
      <w:pPr>
        <w:spacing w:before="0" w:after="80" w:line="276" w:lineRule="auto"/>
      </w:pPr>
      <w:r>
        <w:rPr>
          <w:rFonts w:ascii="Calibri" w:hAnsi="Calibri"/>
          <w:b w:val="0"/>
          <w:i w:val="0"/>
          <w:color w:val="1A1A1A"/>
          <w:sz w:val="21"/>
        </w:rPr>
        <w:t>Die Definition der vor- und nachgelagerten Wertschöpfungskette wurde im Berichtsjahr nicht geändert. Die Systemgrenzen entsprechen den Vorjahren, wodurch die Vergleichbarkeit der Treibhausgasemissionen über die Zeit gewährleistet bleibt. Verbesserungen in der Datentiefe und -qualität hatten keinen Einfluss auf die Systemgrenzen oder die Definition der Wertschöpfungskette.</w:t>
      </w:r>
    </w:p>
    <w:p>
      <w:pPr>
        <w:pStyle w:val="Heading3"/>
      </w:pPr>
      <w:r>
        <w:t>AR 39 – Verfahren zur Berichterstattung über Treibhausgasemissionen</w:t>
      </w:r>
    </w:p>
    <w:p>
      <w:pPr>
        <w:spacing w:before="0" w:after="80" w:line="276" w:lineRule="auto"/>
      </w:pPr>
      <w:r>
        <w:rPr>
          <w:rFonts w:ascii="Calibri" w:hAnsi="Calibri"/>
          <w:b w:val="0"/>
          <w:i w:val="0"/>
          <w:color w:val="1A1A1A"/>
          <w:sz w:val="21"/>
        </w:rPr>
        <w:t>Fröbel ermittelt seine Treibhausgasemissionen gemäß den Grundsätzen des Greenhouse Gas Protocol Corporate Standard (GHG-Protocol, 2004). Die Bilanzierung erfolgt nach dem Operational-Control-Ansatz, d. h. es werden alle Emissionen aus Aktivitäten erfasst, die Fröbel operativ steuern und beeinflussen kann. Die Systemgrenzen umfassen die Emissionskategorien Scope 1, Scope 2 und Scope 3 entsprechend den Vorgaben des GHG-Protocols.</w:t>
      </w:r>
    </w:p>
    <w:p>
      <w:pPr>
        <w:spacing w:before="0" w:after="80" w:line="276" w:lineRule="auto"/>
      </w:pPr>
      <w:r>
        <w:rPr>
          <w:rFonts w:ascii="Calibri" w:hAnsi="Calibri"/>
          <w:b w:val="0"/>
          <w:i w:val="0"/>
          <w:color w:val="1A1A1A"/>
          <w:sz w:val="21"/>
        </w:rPr>
        <w:t>Methodisches Vorgehen Die Erfassung und Berechnung der Emissionen erfolgt mit Unterstützung des Bilanzierungstools der Planted Climate Protection GmbH (www.planted.green), das die Anforderungen des GHG-Protocols methodisch abbildet. Die Aktivitätsdaten werden nach folgender Priorität erhoben: 1. verbrauchsbasiert (Rechnungen, Zählerstände) 2. gemessene Werte (eigene Zählerablesungen, wenn Fröbel nicht Vertragspartner ist) 3. modellierte Verbrauchswerte, sofern Messdaten nicht verfügbar sind</w:t>
      </w:r>
    </w:p>
    <w:p>
      <w:pPr>
        <w:spacing w:before="0" w:after="80" w:line="276" w:lineRule="auto"/>
      </w:pPr>
      <w:r>
        <w:rPr>
          <w:rFonts w:ascii="Calibri" w:hAnsi="Calibri"/>
          <w:b w:val="0"/>
          <w:i w:val="0"/>
          <w:color w:val="1A1A1A"/>
          <w:sz w:val="21"/>
        </w:rPr>
        <w:t>Zur Emissionsberechnung werden wissenschaftlich anerkannte Emissionsfaktoren herangezogen (z. B. Umweltbundesamt, DEFRA, IEA, GEMIS). Bei Fernwärme wird mangels objektscharfer Faktorendaten der deutsche Durchschnittswert mit einem Anteil von ca. 20 % erneuerbarer Energien verwendet.</w:t>
      </w:r>
    </w:p>
    <w:p>
      <w:pPr>
        <w:spacing w:before="0" w:after="80" w:line="276" w:lineRule="auto"/>
      </w:pPr>
      <w:r>
        <w:rPr>
          <w:rFonts w:ascii="Calibri" w:hAnsi="Calibri"/>
          <w:b w:val="0"/>
          <w:i w:val="0"/>
          <w:color w:val="1A1A1A"/>
          <w:sz w:val="21"/>
        </w:rPr>
        <w:t>Berücksichtigte Gase und GWP-Werte Folgende Treibhausgase werden bilanziert und als CO₂-Äquivalente ausgewiesen: CO₂, CH₄, N₂O, HFKW, FKW, PFC, SF₆ und NF₃. Für die Umrechnung in CO₂-Äquivalente werden die aktuellen, international anerkannten GWP-Faktoren des IPCC (100-Jahres-Zeithorizont) verwendet.</w:t>
      </w:r>
    </w:p>
    <w:p>
      <w:pPr>
        <w:spacing w:before="0" w:after="80" w:line="276" w:lineRule="auto"/>
      </w:pPr>
      <w:r>
        <w:rPr>
          <w:rFonts w:ascii="Calibri" w:hAnsi="Calibri"/>
          <w:b w:val="0"/>
          <w:i w:val="0"/>
          <w:color w:val="1A1A1A"/>
          <w:sz w:val="21"/>
        </w:rPr>
        <w:t>Für Scope-2-Emissionen werden die marktbezogenen Emissionen ausgewiesen. Standortbezogene Emissionsfaktoren lagen zum Zeitpunkt der Berichterstattung noch nicht vollständig vor. Für Fernwärme werden mangels lieferanten- oder netzspezifischer Faktoren nationale Durchschnittswerte verwendet.</w:t>
      </w:r>
    </w:p>
    <w:p>
      <w:pPr>
        <w:spacing w:before="0" w:after="80" w:line="276" w:lineRule="auto"/>
      </w:pPr>
      <w:r>
        <w:rPr>
          <w:rFonts w:ascii="Calibri" w:hAnsi="Calibri"/>
          <w:b w:val="0"/>
          <w:i w:val="0"/>
          <w:color w:val="1A1A1A"/>
          <w:sz w:val="21"/>
        </w:rPr>
        <w:t>Qualitätssicherung Die Bilanzierung wird jährlich aktualisiert. Die angewendeten Methoden, Annahmen und Emissionsfaktoren werden dokumentiert und im internen Kontrollsystem (IKS) überprüft, um Transparenz, Konsistenz und Vergleichbarkeit sicherzustellen.</w:t>
      </w:r>
    </w:p>
    <w:p>
      <w:pPr>
        <w:spacing w:before="0" w:after="80" w:line="276" w:lineRule="auto"/>
      </w:pPr>
      <w:r>
        <w:rPr>
          <w:rFonts w:ascii="Calibri" w:hAnsi="Calibri"/>
          <w:b w:val="0"/>
          <w:i w:val="0"/>
          <w:color w:val="1A1A1A"/>
          <w:sz w:val="21"/>
        </w:rPr>
        <w:t>Überprüfung Planted noch ausstehend</w:t>
      </w:r>
    </w:p>
    <w:p>
      <w:pPr>
        <w:pStyle w:val="Heading3"/>
      </w:pPr>
      <w:r>
        <w:t>AR 43 – Informationen zu biogenen Scope-1-THG-Bruttoemissionen</w:t>
      </w:r>
    </w:p>
    <w:p>
      <w:pPr>
        <w:spacing w:before="0" w:after="80" w:line="276" w:lineRule="auto"/>
      </w:pPr>
      <w:r>
        <w:rPr>
          <w:rFonts w:ascii="Calibri" w:hAnsi="Calibri"/>
          <w:b w:val="0"/>
          <w:i w:val="0"/>
          <w:color w:val="1A1A1A"/>
          <w:sz w:val="21"/>
        </w:rPr>
        <w:t xml:space="preserve">Fröbel nutzt in zwei Einrichtungen Biomasse (Holzpellets) zur Wärmeerzeugung. Die daraus entstehenden biogenen CO₂-Emissionen werden gemäß ESRS separat von den Scope-1-THG-Bruttoemissionen ausgewiesen, während nicht-CO₂-Emissionen (insbesondere CH₄ und N₂O) aus der Verbrennung von Biomasse weiterhin in den Scope-1-Emissionen enthalten sind. Die biogenen CO₂-Emissionen sind im Vergleich zu den fossilen Scope-1-Emissionen sehr gering und haben keinen wesentlichen Einfluss auf die Gesamthöhe der Treibhausgasemissionen von Fröbel. </w:t>
      </w:r>
      <w:r>
        <w:rPr>
          <w:rFonts w:ascii="Calibri" w:hAnsi="Calibri"/>
          <w:b w:val="0"/>
          <w:i/>
          <w:color w:val="707070"/>
          <w:sz w:val="17"/>
        </w:rPr>
        <w:t>[[REVIEW: explanation-driven]]</w:t>
      </w:r>
    </w:p>
    <w:p>
      <w:pPr>
        <w:pStyle w:val="Heading3"/>
      </w:pPr>
      <w:r>
        <w:t>AR 45 – Informationen zu Scope-2-THG-Bruttoemissionen und Energieinstrumenten</w:t>
      </w:r>
    </w:p>
    <w:p>
      <w:pPr>
        <w:spacing w:before="0" w:after="80" w:line="276" w:lineRule="auto"/>
      </w:pPr>
      <w:r>
        <w:rPr>
          <w:rFonts w:ascii="Calibri" w:hAnsi="Calibri"/>
          <w:b w:val="0"/>
          <w:i w:val="0"/>
          <w:color w:val="1A1A1A"/>
          <w:sz w:val="21"/>
        </w:rPr>
        <w:t>Im Berichtsjahr beträgt informationen zu Scope-2-THG-Bruttoemissionen und Energieinstrumenten 21,9.</w:t>
      </w:r>
    </w:p>
    <w:p>
      <w:pPr>
        <w:spacing w:before="0" w:after="80" w:line="276" w:lineRule="auto"/>
      </w:pPr>
      <w:r>
        <w:rPr>
          <w:rFonts w:ascii="Calibri" w:hAnsi="Calibri"/>
          <w:b w:val="0"/>
          <w:i w:val="0"/>
          <w:color w:val="1A1A1A"/>
          <w:sz w:val="21"/>
        </w:rPr>
        <w:t>Im Berichtsjahr beträgt informationen zu Scope-2-THG-Bruttoemissionen und Energieinstrumenten 100.</w:t>
      </w:r>
    </w:p>
    <w:p>
      <w:pPr>
        <w:spacing w:before="0" w:after="80" w:line="276" w:lineRule="auto"/>
      </w:pPr>
      <w:r>
        <w:rPr>
          <w:rFonts w:ascii="Calibri" w:hAnsi="Calibri"/>
          <w:b w:val="0"/>
          <w:i w:val="0"/>
          <w:color w:val="1A1A1A"/>
          <w:sz w:val="21"/>
        </w:rPr>
        <w:t>Im Berichtsjahr beträgt informationen zu Scope-2-THG-Bruttoemissionen und Energieinstrumenten 21,9.</w:t>
      </w:r>
    </w:p>
    <w:p>
      <w:pPr>
        <w:spacing w:before="0" w:after="80" w:line="276" w:lineRule="auto"/>
      </w:pPr>
      <w:r>
        <w:rPr>
          <w:rFonts w:ascii="Calibri" w:hAnsi="Calibri"/>
          <w:b w:val="0"/>
          <w:i w:val="0"/>
          <w:color w:val="1A1A1A"/>
          <w:sz w:val="21"/>
        </w:rPr>
        <w:t xml:space="preserve">Methodik &amp; Anteile (AR 45d/e): Fröbel berechnet Scope-2-Emissionen gemäß GHG-Protocol Scope-2-Guidance (2015) sowohl market-based als auch location-based.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Fröbel nutzt gebündelte vertragliche Instrumente in Form von Herkunftsnachweisen (HKN) für Ökostrom. Keine ungebündelten Attribute und keine PPAs. Für Fernwärme werden keine Energieattribute eingesetzt; Bilanzierung location-based</w:t>
      </w:r>
    </w:p>
    <w:p>
      <w:pPr>
        <w:spacing w:before="0" w:after="80" w:line="276" w:lineRule="auto"/>
      </w:pPr>
      <w:r>
        <w:rPr>
          <w:rFonts w:ascii="Calibri" w:hAnsi="Calibri"/>
          <w:b w:val="0"/>
          <w:i w:val="0"/>
          <w:color w:val="1A1A1A"/>
          <w:sz w:val="21"/>
        </w:rPr>
        <w:t xml:space="preserve">Methodik &amp; Anteile (AR 45d/e): Fröbel berechnet Scope-2-Emissionen gemäß GHG-Protocol Scope-2-Guidance (2015) sowohl market-based als auch location-based.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Methodik &amp; Anteile (AR 45d/e): Fröbel berechnet Scope-2-Emissionen gemäß GHG-Protocol Scope-2-Guidance (2015) sowohl market-based als auch location-based. </w:t>
        <w:br/>
        <w:br/>
        <w:t>Der Anteil vertraglicher Instrumente (Ökostrom mit Herkunftsnachweisen, HKN) am gesamten Scope-2-Energieverbrauch ergibt sich aus Strom + eingekaufter Wärme:</w:t>
        <w:br/>
        <w:t>– Strom gesamt (2024): 4,938,549 MWh</w:t>
        <w:br/>
        <w:t>– Fernwärme gesamt (2024): 10,398,55 MWh</w:t>
        <w:br/>
        <w:t>– Scope-2-Energie gesamt: 15,337,099 MWh</w:t>
        <w:br/>
        <w:t>– Ökostrom (HKN, FRÖBEL als Vertragspartner): 3,353,153 MWh</w:t>
        <w:br/>
        <w:t>--&gt; Rechnung: 3,353,153 / 15,337,099 = 0,2188 → 21,9%.</w:t>
        <w:br/>
        <w:br/>
        <w:t>Ungebündelte Attribute werden nicht genutzt (0%). Fernwärme wird location-based mit Durchschnittsfaktoren bilanziert (derzeit 0,17965 kg CO₂/kWh). Biogenes CO₂ fällt in Scope 2 nicht an; CH₄/N₂O sind über die verwendeten CO₂e-Faktoren abgedeckt.</w:t>
      </w:r>
    </w:p>
    <w:p>
      <w:pPr>
        <w:pStyle w:val="Heading2"/>
      </w:pPr>
      <w:r>
        <w:t>E1-7 – Entnahme von Treibhausgasen und Projekte zur Verringerung von Treibhausgasen, finanziert über CO2-Zertifikate</w:t>
      </w:r>
    </w:p>
    <w:p>
      <w:pPr>
        <w:pStyle w:val="Heading3"/>
      </w:pPr>
      <w:r>
        <w:t>56 – Angaben zu Treibhausgasentnahme und -speicherung</w:t>
      </w:r>
    </w:p>
    <w:p>
      <w:pPr>
        <w:spacing w:before="0" w:after="80" w:line="276" w:lineRule="auto"/>
      </w:pPr>
      <w:r>
        <w:rPr>
          <w:rFonts w:ascii="Calibri" w:hAnsi="Calibri"/>
          <w:b w:val="0"/>
          <w:i w:val="0"/>
          <w:color w:val="1A1A1A"/>
          <w:sz w:val="21"/>
        </w:rPr>
        <w:t>Fröbel betreibt keine eigenen Projekte zur CO₂-Entnahme oder CO₂-Speicherung (z. B. Aufforstungsprojekte, CCS/BECCS-Anlagen oder Boden-/Biomasse-Senken) innerhalb der eigenen Wertschöpfungskette. Daher liegt der Wert bei 0 t CO₂e.</w:t>
      </w:r>
    </w:p>
    <w:p>
      <w:pPr>
        <w:spacing w:before="0" w:after="80" w:line="276" w:lineRule="auto"/>
      </w:pPr>
      <w:r>
        <w:rPr>
          <w:rFonts w:ascii="Calibri" w:hAnsi="Calibri"/>
          <w:b w:val="0"/>
          <w:i w:val="0"/>
          <w:color w:val="1A1A1A"/>
          <w:sz w:val="21"/>
        </w:rPr>
        <w:t>Fröbel hat im Berichtsjahr keine Klimaschutzprojekte außerhalb der Wertschöpfungskette finanziert und keine CO₂-Zertifikate zur Kompensation von Emissionen eingesetzt. Der Wert beträgt daher 0 t CO₂e.</w:t>
      </w:r>
    </w:p>
    <w:p>
      <w:pPr>
        <w:spacing w:before="0" w:after="80" w:line="276" w:lineRule="auto"/>
      </w:pPr>
      <w:r>
        <w:rPr>
          <w:rFonts w:ascii="Calibri" w:hAnsi="Calibri"/>
          <w:b w:val="0"/>
          <w:i w:val="0"/>
          <w:color w:val="1A1A1A"/>
          <w:sz w:val="21"/>
        </w:rPr>
        <w:t>Fröbel verfolgt eine Reduktions- vor Kompensationsstrategie. Es bestehen weder CO₂-Entnahme- oder Speicherprojekte innerhalb der Wertschöpfungskette noch wurden externe Kompensationsprojekte genutzt. Der Fokus liegt auf der tatsächlichen Emissionsminderung entlang der eigenen Betriebsprozesse (Energie, Mobilität, Verpflegung). Perspektivisch wird die Nutzung hochwertiger, verifizierter Kompensationsmaßnahmen für unvermeidbare Restemissionen in der Langfriststrategie (Netto-Null bis 2040) eine Rolle spielen.</w:t>
      </w:r>
    </w:p>
    <w:p>
      <w:pPr>
        <w:pStyle w:val="Heading3"/>
      </w:pPr>
      <w:r>
        <w:t>AR 57 – Offenlegung von Aktivitäten zum Abbau und zur Speicherung von Treibhausgasen</w:t>
      </w:r>
    </w:p>
    <w:p>
      <w:pPr>
        <w:spacing w:before="0" w:after="80" w:line="276" w:lineRule="auto"/>
      </w:pPr>
      <w:r>
        <w:rPr>
          <w:rFonts w:ascii="Calibri" w:hAnsi="Calibri"/>
          <w:b w:val="0"/>
          <w:i w:val="0"/>
          <w:color w:val="1A1A1A"/>
          <w:sz w:val="21"/>
        </w:rPr>
        <w:t>Hat Ihr Unternehmen Aktivitäten zum Abbau und zur Speicherung von Treibhausgasen?: No</w:t>
      </w:r>
    </w:p>
    <w:p>
      <w:pPr>
        <w:spacing w:before="0" w:after="80" w:line="276" w:lineRule="auto"/>
      </w:pPr>
      <w:r>
        <w:rPr>
          <w:rFonts w:ascii="Calibri" w:hAnsi="Calibri"/>
          <w:b w:val="0"/>
          <w:i w:val="0"/>
          <w:color w:val="1A1A1A"/>
          <w:sz w:val="21"/>
        </w:rPr>
        <w:t>Fröbel führt derzeit keine Aktivitäten zum Abbau oder zur Speicherung von Treibhausgasen durch.</w:t>
      </w:r>
    </w:p>
    <w:p>
      <w:pPr>
        <w:spacing w:before="0" w:after="80" w:line="276" w:lineRule="auto"/>
      </w:pPr>
      <w:r>
        <w:rPr>
          <w:rFonts w:ascii="Calibri" w:hAnsi="Calibri"/>
          <w:b w:val="0"/>
          <w:i w:val="0"/>
          <w:color w:val="1A1A1A"/>
          <w:sz w:val="21"/>
        </w:rPr>
        <w:t>Da Fröbel derzeit keine Aktivitäten zur CO₂-Entnahme oder -Speicherung betreibt, entfallen die Detailanforderungen gemäß AR 57a–b.</w:t>
      </w:r>
    </w:p>
    <w:p>
      <w:pPr>
        <w:pStyle w:val="Heading3"/>
      </w:pPr>
      <w:r>
        <w:t>58 – Angaben zur Entnahme und Speicherung von Treibhausgasen</w:t>
      </w:r>
    </w:p>
    <w:p>
      <w:pPr>
        <w:spacing w:before="0" w:after="80" w:line="276" w:lineRule="auto"/>
      </w:pPr>
      <w:r>
        <w:rPr>
          <w:rFonts w:ascii="Calibri" w:hAnsi="Calibri"/>
          <w:b w:val="0"/>
          <w:i w:val="0"/>
          <w:color w:val="1A1A1A"/>
          <w:sz w:val="21"/>
        </w:rPr>
        <w:t>Die folgende Tabelle zeigt die Angaben zu angaben zur entnahme und speicherung von treibhausgasen.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Gesamtmenge der Treibhausgase</w:t>
            </w:r>
          </w:p>
        </w:tc>
        <w:tc>
          <w:tcPr>
            <w:tcW w:type="dxa" w:w="2266"/>
            <w:shd w:val="clear" w:color="auto" w:fill="1C462D"/>
          </w:tcPr>
          <w:p>
            <w:r>
              <w:rPr>
                <w:rFonts w:ascii="Calibri" w:hAnsi="Calibri"/>
                <w:b/>
                <w:i w:val="0"/>
                <w:color w:val="FFFFFF"/>
                <w:sz w:val="18"/>
              </w:rPr>
              <w:t>Tätigkeit</w:t>
            </w:r>
          </w:p>
        </w:tc>
        <w:tc>
          <w:tcPr>
            <w:tcW w:type="dxa" w:w="2266"/>
            <w:shd w:val="clear" w:color="auto" w:fill="1C462D"/>
          </w:tcPr>
          <w:p>
            <w:r>
              <w:rPr>
                <w:rFonts w:ascii="Calibri" w:hAnsi="Calibri"/>
                <w:b/>
                <w:i w:val="0"/>
                <w:color w:val="FFFFFF"/>
                <w:sz w:val="18"/>
              </w:rPr>
              <w:t>Wertschöpfungskette</w:t>
            </w:r>
          </w:p>
        </w:tc>
        <w:tc>
          <w:tcPr>
            <w:tcW w:type="dxa" w:w="2266"/>
            <w:shd w:val="clear" w:color="auto" w:fill="1C462D"/>
          </w:tcPr>
          <w:p>
            <w:r>
              <w:rPr>
                <w:rFonts w:ascii="Calibri" w:hAnsi="Calibri"/>
                <w:b/>
                <w:i w:val="0"/>
                <w:color w:val="FFFFFF"/>
                <w:sz w:val="18"/>
              </w:rPr>
              <w:t>Entnahmeaktivität</w:t>
            </w:r>
          </w:p>
        </w:tc>
      </w:tr>
      <w:tr>
        <w:tc>
          <w:tcPr>
            <w:tcW w:type="dxa" w:w="2266"/>
            <w:shd w:val="clear" w:color="auto" w:fill="EBF3EE"/>
          </w:tcPr>
          <w:p>
            <w:r>
              <w:rPr>
                <w:rFonts w:ascii="Calibri" w:hAnsi="Calibri"/>
                <w:b w:val="0"/>
                <w:i w:val="0"/>
                <w:color w:val="1A1A1A"/>
                <w:sz w:val="18"/>
              </w:rPr>
              <w:t>0 tCO₂e</w:t>
            </w:r>
          </w:p>
        </w:tc>
        <w:tc>
          <w:tcPr>
            <w:tcW w:type="dxa" w:w="2266"/>
            <w:shd w:val="clear" w:color="auto" w:fill="EBF3EE"/>
          </w:tcPr>
          <w:p>
            <w:r>
              <w:rPr>
                <w:rFonts w:ascii="Calibri" w:hAnsi="Calibri"/>
                <w:b w:val="0"/>
                <w:i w:val="0"/>
                <w:color w:val="1A1A1A"/>
                <w:sz w:val="18"/>
              </w:rPr>
              <w:t>Keine CO₂-Entnahmeaktivitäten im Unternehmen</w:t>
            </w:r>
          </w:p>
        </w:tc>
        <w:tc>
          <w:tcPr>
            <w:tcW w:type="dxa" w:w="2266"/>
            <w:shd w:val="clear" w:color="auto" w:fill="EBF3EE"/>
          </w:tcPr>
          <w:p>
            <w:r>
              <w:rPr>
                <w:rFonts w:ascii="Calibri" w:hAnsi="Calibri"/>
                <w:b w:val="0"/>
                <w:i w:val="0"/>
                <w:color w:val="1A1A1A"/>
                <w:sz w:val="18"/>
              </w:rPr>
              <w:t>Keine Entnahme- oder Speicherprojekte in der vor- oder nachgelagerten Wertschöpfungskette</w:t>
            </w:r>
          </w:p>
        </w:tc>
        <w:tc>
          <w:tcPr>
            <w:tcW w:type="dxa" w:w="2266"/>
            <w:shd w:val="clear" w:color="auto" w:fill="EBF3EE"/>
          </w:tcPr>
          <w:p>
            <w:r>
              <w:rPr>
                <w:rFonts w:ascii="Calibri" w:hAnsi="Calibri"/>
                <w:b w:val="0"/>
                <w:i w:val="0"/>
                <w:color w:val="1A1A1A"/>
                <w:sz w:val="18"/>
              </w:rPr>
              <w:t>entfällt (keine Aktivitäten vorhanden)</w:t>
            </w:r>
          </w:p>
        </w:tc>
      </w:tr>
    </w:tbl>
    <w:p/>
    <w:p>
      <w:pPr>
        <w:spacing w:before="0" w:after="80" w:line="276" w:lineRule="auto"/>
      </w:pPr>
      <w:r>
        <w:rPr>
          <w:rFonts w:ascii="Calibri" w:hAnsi="Calibri"/>
          <w:b w:val="0"/>
          <w:i w:val="0"/>
          <w:color w:val="1A1A1A"/>
          <w:sz w:val="21"/>
        </w:rPr>
        <w:t>Es wurden keine CO₂-Entnahme- oder Speicherprojekte betrieben. Daher sind keine Methoden, Rahmen oder Annahmen anzuwenden. Der Wert beträgt 0 t CO₂e.</w:t>
      </w:r>
    </w:p>
    <w:p>
      <w:pPr>
        <w:spacing w:before="0" w:after="80" w:line="276" w:lineRule="auto"/>
      </w:pPr>
      <w:r>
        <w:rPr>
          <w:rFonts w:ascii="Calibri" w:hAnsi="Calibri"/>
          <w:b w:val="0"/>
          <w:i w:val="0"/>
          <w:color w:val="1A1A1A"/>
          <w:sz w:val="21"/>
        </w:rPr>
        <w:t>Fröbel betreibt weder innerhalb der eigenen Geschäftstätigkeit noch innerhalb der Wertschöpfungskette Projekte zur CO₂-Entnahme oder -Speicherung (z. B. Aufforstung, Bäume als Senkenprojekte, BECCS oder CCS-Technologien). Daher ergeben sich gemäß ESRS E1-58 keine bilanziellen CO₂-Entnahmemengen. Die Angaben nach 58a und 58b werden als ordnungsgemäße Nullmeldung ausgewiesen. Der Fokus der Klimastrategie liegt auf der realen Reduktion von Emissionen entlang der eigenen Betriebsaktivitäten; eine Kompensation unvermeidbarer Restemissionen ist erst perspektivisch im Rahmen des Netto-Null-Ziels relevant.</w:t>
      </w:r>
    </w:p>
    <w:p>
      <w:pPr>
        <w:pStyle w:val="Heading3"/>
      </w:pPr>
      <w:r>
        <w:t>AR 58 – Zusammenstellung der Treibhausgasentnahme und -speicherung</w:t>
      </w:r>
    </w:p>
    <w:p>
      <w:pPr>
        <w:spacing w:before="0" w:after="80" w:line="276" w:lineRule="auto"/>
      </w:pPr>
      <w:r>
        <w:rPr>
          <w:rFonts w:ascii="Calibri" w:hAnsi="Calibri"/>
          <w:b w:val="0"/>
          <w:i w:val="0"/>
          <w:color w:val="1A1A1A"/>
          <w:sz w:val="21"/>
        </w:rPr>
        <w:t>Die folgende Tabelle zeigt die Angaben zu zusammenstellung der treibhausgasentnahme und -speicherung.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Emission</w:t>
            </w:r>
          </w:p>
        </w:tc>
        <w:tc>
          <w:tcPr>
            <w:tcW w:type="dxa" w:w="2266"/>
            <w:shd w:val="clear" w:color="auto" w:fill="1C462D"/>
          </w:tcPr>
          <w:p>
            <w:r>
              <w:rPr>
                <w:rFonts w:ascii="Calibri" w:hAnsi="Calibri"/>
                <w:b/>
                <w:i w:val="0"/>
                <w:color w:val="FFFFFF"/>
                <w:sz w:val="18"/>
              </w:rPr>
              <w:t>Entnahmeaktivität</w:t>
            </w:r>
          </w:p>
        </w:tc>
        <w:tc>
          <w:tcPr>
            <w:tcW w:type="dxa" w:w="2266"/>
            <w:shd w:val="clear" w:color="auto" w:fill="1C462D"/>
          </w:tcPr>
          <w:p>
            <w:r>
              <w:rPr>
                <w:rFonts w:ascii="Calibri" w:hAnsi="Calibri"/>
                <w:b/>
                <w:i w:val="0"/>
                <w:color w:val="FFFFFF"/>
                <w:sz w:val="18"/>
              </w:rPr>
              <w:t>Transport</w:t>
            </w:r>
          </w:p>
        </w:tc>
        <w:tc>
          <w:tcPr>
            <w:tcW w:type="dxa" w:w="2266"/>
            <w:shd w:val="clear" w:color="auto" w:fill="1C462D"/>
          </w:tcPr>
          <w:p>
            <w:r>
              <w:rPr>
                <w:rFonts w:ascii="Calibri" w:hAnsi="Calibri"/>
                <w:b/>
                <w:i w:val="0"/>
                <w:color w:val="FFFFFF"/>
                <w:sz w:val="18"/>
              </w:rPr>
              <w:t>Speicherung</w:t>
            </w:r>
          </w:p>
        </w:tc>
      </w:tr>
      <w:tr>
        <w:tc>
          <w:tcPr>
            <w:tcW w:type="dxa" w:w="2266"/>
            <w:shd w:val="clear" w:color="auto" w:fill="EBF3EE"/>
          </w:tcPr>
          <w:p>
            <w:r>
              <w:rPr>
                <w:rFonts w:ascii="Calibri" w:hAnsi="Calibri"/>
                <w:b w:val="0"/>
                <w:i w:val="0"/>
                <w:color w:val="1A1A1A"/>
                <w:sz w:val="18"/>
              </w:rPr>
              <w:t>0 tCO₂e</w:t>
            </w:r>
          </w:p>
        </w:tc>
        <w:tc>
          <w:tcPr>
            <w:tcW w:type="dxa" w:w="2266"/>
            <w:shd w:val="clear" w:color="auto" w:fill="EBF3EE"/>
          </w:tcPr>
          <w:p>
            <w:r>
              <w:rPr>
                <w:rFonts w:ascii="Calibri" w:hAnsi="Calibri"/>
                <w:b w:val="0"/>
                <w:i w:val="0"/>
                <w:color w:val="1A1A1A"/>
                <w:sz w:val="18"/>
              </w:rPr>
              <w:t>Keine CO₂-Entnahmeaktivitäten vorhanden</w:t>
            </w:r>
          </w:p>
        </w:tc>
        <w:tc>
          <w:tcPr>
            <w:tcW w:type="dxa" w:w="2266"/>
            <w:shd w:val="clear" w:color="auto" w:fill="EBF3EE"/>
          </w:tcPr>
          <w:p>
            <w:r>
              <w:rPr>
                <w:rFonts w:ascii="Calibri" w:hAnsi="Calibri"/>
                <w:b w:val="0"/>
                <w:i w:val="0"/>
                <w:color w:val="1A1A1A"/>
                <w:sz w:val="18"/>
              </w:rPr>
              <w:t>Keine CO₂-Transportprozesse vorhanden</w:t>
            </w:r>
          </w:p>
        </w:tc>
        <w:tc>
          <w:tcPr>
            <w:tcW w:type="dxa" w:w="2266"/>
            <w:shd w:val="clear" w:color="auto" w:fill="EBF3EE"/>
          </w:tcPr>
          <w:p>
            <w:r>
              <w:rPr>
                <w:rFonts w:ascii="Calibri" w:hAnsi="Calibri"/>
                <w:b w:val="0"/>
                <w:i w:val="0"/>
                <w:color w:val="1A1A1A"/>
                <w:sz w:val="18"/>
              </w:rPr>
              <w:t>Keine CO₂-Speicherprozesse vorhanden</w:t>
            </w:r>
          </w:p>
        </w:tc>
      </w:tr>
    </w:tbl>
    <w:p/>
    <w:p>
      <w:pPr>
        <w:spacing w:before="0" w:after="80" w:line="276" w:lineRule="auto"/>
      </w:pPr>
      <w:r>
        <w:rPr>
          <w:rFonts w:ascii="Calibri" w:hAnsi="Calibri"/>
          <w:b w:val="0"/>
          <w:i w:val="0"/>
          <w:color w:val="1A1A1A"/>
          <w:sz w:val="21"/>
        </w:rPr>
        <w:t>Kommt es innerhalb der Unternehmenstätigkeiten und der vor- und nachgelagerten Wertschöpfungskette zur Entnahme oder Speicherung von Treibhausgas-Emissionen, die als CO₂-Zertifikate weiterverkauft werden?: No</w:t>
      </w:r>
    </w:p>
    <w:p>
      <w:pPr>
        <w:spacing w:before="0" w:after="80" w:line="276" w:lineRule="auto"/>
      </w:pPr>
      <w:r>
        <w:rPr>
          <w:rFonts w:ascii="Calibri" w:hAnsi="Calibri"/>
          <w:b w:val="0"/>
          <w:i w:val="0"/>
          <w:color w:val="1A1A1A"/>
          <w:sz w:val="21"/>
        </w:rPr>
        <w:t>Da Fröbel weder biogene noch technologische CO₂-Entnahme- oder Speicherprojekte betreibt, entfallen sämtliche Detailangaben gemäß AR 58f und AR 58e</w:t>
      </w:r>
    </w:p>
    <w:p>
      <w:pPr>
        <w:pStyle w:val="Heading3"/>
      </w:pPr>
      <w:r>
        <w:t>59 – Angaben zu CO2-Zertifikaten außerhalb der Wertschöpfungskette</w:t>
      </w:r>
    </w:p>
    <w:p>
      <w:pPr>
        <w:spacing w:before="0" w:after="80" w:line="276" w:lineRule="auto"/>
      </w:pPr>
      <w:r>
        <w:rPr>
          <w:rFonts w:ascii="Calibri" w:hAnsi="Calibri"/>
          <w:b w:val="0"/>
          <w:i w:val="0"/>
          <w:color w:val="1A1A1A"/>
          <w:sz w:val="21"/>
        </w:rPr>
        <w:t>Im Berichtsjahr beträgt wie viele co2-zertifikate außerhalb der wertschöpfungskette wurden gelöscht 0 tCO₂e; ergänzend werden 0 tCO₂e für geplante löschung von co2-zertifikate außerhalb der wertschöpfungskette ausgewiesen.</w:t>
      </w:r>
    </w:p>
    <w:p>
      <w:pPr>
        <w:pStyle w:val="Heading3"/>
      </w:pPr>
      <w:r>
        <w:t>AR 62 – Angaben zu CO2-Zertifikaten: Herkunft, Standards und geografische Verteilung</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explanation-driven]]</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explanation-driven]]</w:t>
      </w:r>
    </w:p>
    <w:p>
      <w:pPr>
        <w:pStyle w:val="Heading2"/>
      </w:pPr>
      <w:r>
        <w:t>E1-8 – Interne CO2-Bepreisung</w:t>
      </w:r>
    </w:p>
    <w:p>
      <w:pPr>
        <w:pStyle w:val="Heading3"/>
      </w:pPr>
      <w:r>
        <w:t>62 – Internes CO2 Bepreisungssystem</w:t>
      </w:r>
    </w:p>
    <w:p>
      <w:pPr>
        <w:spacing w:before="0" w:after="80" w:line="276" w:lineRule="auto"/>
      </w:pPr>
      <w:r>
        <w:rPr>
          <w:rFonts w:ascii="Calibri" w:hAnsi="Calibri"/>
          <w:b w:val="0"/>
          <w:i w:val="0"/>
          <w:color w:val="1A1A1A"/>
          <w:sz w:val="21"/>
        </w:rPr>
        <w:t>Hat das Unternehmen einen internen CO2-Preis?: No</w:t>
      </w:r>
    </w:p>
    <w:p>
      <w:pPr>
        <w:spacing w:before="0" w:after="80" w:line="276" w:lineRule="auto"/>
      </w:pPr>
      <w:r>
        <w:rPr>
          <w:rFonts w:ascii="Calibri" w:hAnsi="Calibri"/>
          <w:b w:val="0"/>
          <w:i w:val="0"/>
          <w:color w:val="1A1A1A"/>
          <w:sz w:val="21"/>
        </w:rPr>
        <w:t>Fröbel wendet zur Zeit keine internen CO2-Bepreisungssysteme an.</w:t>
      </w:r>
    </w:p>
    <w:p>
      <w:pPr>
        <w:pStyle w:val="Heading3"/>
      </w:pPr>
      <w:r>
        <w:t>AR 65 – Beschreibung der Verwendung von internen CO2 Bepreisunssystemen</w:t>
      </w:r>
    </w:p>
    <w:p>
      <w:pPr>
        <w:spacing w:before="0" w:after="80" w:line="276" w:lineRule="auto"/>
      </w:pPr>
      <w:r>
        <w:rPr>
          <w:rFonts w:ascii="Calibri" w:hAnsi="Calibri"/>
          <w:b w:val="0"/>
          <w:i w:val="0"/>
          <w:color w:val="1A1A1A"/>
          <w:sz w:val="21"/>
        </w:rPr>
        <w:t>Stimmen die internen CO2-Preise aus der Bewertung der Nutzungsdauer mit denen der Abschlüssen überein?: No</w:t>
      </w:r>
    </w:p>
    <w:p>
      <w:pPr>
        <w:spacing w:before="0" w:after="80" w:line="276" w:lineRule="auto"/>
      </w:pPr>
      <w:r>
        <w:rPr>
          <w:rFonts w:ascii="Calibri" w:hAnsi="Calibri"/>
          <w:b w:val="0"/>
          <w:i w:val="0"/>
          <w:color w:val="1A1A1A"/>
          <w:sz w:val="21"/>
        </w:rPr>
        <w:t>Stimmen die internen CO2-Preise aus der Wertminderung von Vermögenswerten mit denen der Abschlüssen überein?: No</w:t>
      </w:r>
    </w:p>
    <w:p>
      <w:pPr>
        <w:spacing w:before="0" w:after="80" w:line="276" w:lineRule="auto"/>
      </w:pPr>
      <w:r>
        <w:rPr>
          <w:rFonts w:ascii="Calibri" w:hAnsi="Calibri"/>
          <w:b w:val="0"/>
          <w:i w:val="0"/>
          <w:color w:val="1A1A1A"/>
          <w:sz w:val="21"/>
        </w:rPr>
        <w:t>Stimmen die internen CO2-Preise der Bemessung des beizulegenden Zeitwerts mit denen der Abschlüssen überein?: No</w:t>
      </w:r>
    </w:p>
    <w:p>
      <w:pPr>
        <w:spacing w:before="0" w:after="80" w:line="276" w:lineRule="auto"/>
      </w:pPr>
      <w:r>
        <w:rPr>
          <w:rFonts w:ascii="Calibri" w:hAnsi="Calibri"/>
          <w:b w:val="0"/>
          <w:i w:val="0"/>
          <w:color w:val="1A1A1A"/>
          <w:sz w:val="21"/>
        </w:rPr>
        <w:t>Fröbel verwendet derzeit kein internes CO₂-Bepreisungssystem. Weder bei der Bewertung der Nutzungsdauer, noch bei Wertminderungen oder der Ermittlung des beizulegenden Zeitwerts werden CO₂-Preise herangezogen. Entsprechend existieren keine internen CO₂-Preise, die mit den in den Abschlüssen verwendeten Werten abzugleichen wären.</w:t>
      </w:r>
    </w:p>
    <w:p>
      <w:pPr>
        <w:pStyle w:val="Heading2"/>
      </w:pPr>
      <w:r>
        <w:t>E2 - IRO-1 (ESRS 2)</w:t>
      </w:r>
    </w:p>
    <w:p>
      <w:pPr>
        <w:pStyle w:val="Heading2"/>
      </w:pPr>
      <w:r>
        <w:t>E3 - IRO-1 (ESRS 2)</w:t>
      </w:r>
    </w:p>
    <w:p>
      <w:pPr>
        <w:pStyle w:val="Heading2"/>
      </w:pPr>
      <w:r>
        <w:t>E4 - SBM-3 (ESRS 2)</w:t>
      </w:r>
    </w:p>
    <w:p>
      <w:pPr>
        <w:pStyle w:val="Heading2"/>
      </w:pPr>
      <w:r>
        <w:t>E4 - IRO-1 (ESRS 2)</w:t>
      </w:r>
    </w:p>
    <w:p>
      <w:pPr>
        <w:pStyle w:val="Heading2"/>
      </w:pPr>
      <w:r>
        <w:t>E5 - IRO-1 (ESRS 2)</w:t>
      </w:r>
    </w:p>
    <w:p>
      <w:pPr>
        <w:pStyle w:val="Heading1"/>
      </w:pPr>
      <w:r>
        <w:t>Soziale Informationen</w:t>
      </w:r>
    </w:p>
    <w:p>
      <w:pPr>
        <w:pStyle w:val="Heading2"/>
      </w:pPr>
      <w:r>
        <w:t>S1 - SBM-2 (ESRS 2)</w:t>
      </w:r>
    </w:p>
    <w:p>
      <w:pPr>
        <w:pStyle w:val="Heading2"/>
      </w:pPr>
      <w:r>
        <w:t>S1 - SBM-3 (ESRS 2)</w:t>
      </w:r>
    </w:p>
    <w:p>
      <w:pPr>
        <w:pStyle w:val="Heading2"/>
      </w:pPr>
      <w:r>
        <w:t>S1-1 – Richtlinien zur eigenen Belegschaft</w:t>
      </w:r>
    </w:p>
    <w:p>
      <w:pPr>
        <w:pStyle w:val="Heading3"/>
      </w:pPr>
      <w:r>
        <w:t>19 – Strategien für Arbeitskräfte und Management wesentlicher IROs</w:t>
      </w:r>
    </w:p>
    <w:p>
      <w:pPr>
        <w:spacing w:before="0" w:after="80" w:line="276" w:lineRule="auto"/>
      </w:pPr>
      <w:r>
        <w:rPr>
          <w:rFonts w:ascii="Calibri" w:hAnsi="Calibri"/>
          <w:b w:val="0"/>
          <w:i w:val="0"/>
          <w:color w:val="1A1A1A"/>
          <w:sz w:val="21"/>
        </w:rPr>
        <w:t>Strategien für Arbeitskräfte und Management wesentlicher IROs trifft zu.</w:t>
      </w:r>
    </w:p>
    <w:p>
      <w:pPr>
        <w:spacing w:before="0" w:after="80" w:line="276" w:lineRule="auto"/>
      </w:pPr>
      <w:r>
        <w:rPr>
          <w:rFonts w:ascii="Calibri" w:hAnsi="Calibri"/>
          <w:b w:val="0"/>
          <w:i w:val="0"/>
          <w:color w:val="1A1A1A"/>
          <w:sz w:val="21"/>
        </w:rPr>
        <w:t>Fröbel verfügt über zahlreiche Richtlinien, Betriebsvereinbarungen und Selbstverpflichtungen, die das Management der wesentlichen Auswirkungen, Risiken und Chancen im Zusammenhang mit den eigenen Arbeitskräften steuern. Dazu gehören insbesondere das Kinderschutzkonzept, die Whistleblower-Richtlinie, arbeits- und gesundheitsschutzbezogene Vorgaben, pädagogische Leitlinien, Regelungen zu Personalentwicklung und Qualifizierung sowie Grundsätze zu Gleichstellung, Diversität und Nichtdiskriminierung. Diese Richtlinien adressieren zentrale IROs wie Arbeitsbelastung, Gesundheitsschutz, Qualifikationsanforderungen, psychische und physische Risiken im pädagogischen Alltag sowie Risiken im Zusammenhang mit herausfordernden Situationen oder erhöhten Verantwortlichkeiten.</w:t>
      </w:r>
    </w:p>
    <w:p>
      <w:pPr>
        <w:spacing w:before="0" w:after="80" w:line="276" w:lineRule="auto"/>
      </w:pPr>
      <w:r>
        <w:rPr>
          <w:rFonts w:ascii="Calibri" w:hAnsi="Calibri"/>
          <w:b w:val="0"/>
          <w:i w:val="0"/>
          <w:color w:val="1A1A1A"/>
          <w:sz w:val="21"/>
        </w:rPr>
        <w:t>Die Richtlinien gelten grundsätzlich für alle Beschäftigten in Einrichtungen und Verwaltung, einschließlich befristeter Kräfte, Teilzeitkräfte, Auszubildender, FSJ/BFD sowie bei Bedarf auch für Fremdarbeitskräfte, die in die pädagogischen Abläufe eingebunden sind. Einzelne Richtlinien enthalten spezifische Elemente, die besondere Gruppen betreffen, beispielsweise Mitarbeitende mit Leitungsfunktion, neue Mitarbeitende im Rahmen des Onboardings oder Personal mit besonderen Aufgaben im Kinderschutz. Insgesamt decken die Richtlinien jedoch den Großteil der Belegschaft ab und bilden eine verbindliche Grundlage für ein verantwortungsvolles, sicheres und qualitätsorientiertes Arbeitsumfeld.</w:t>
      </w:r>
    </w:p>
    <w:p>
      <w:pPr>
        <w:pStyle w:val="Heading3"/>
      </w:pPr>
      <w:r>
        <w:t>ESRS 2 65 – Richtlinienrahmen und Umsetzung</w:t>
      </w:r>
    </w:p>
    <w:p>
      <w:pPr>
        <w:spacing w:before="0" w:after="80" w:line="276" w:lineRule="auto"/>
      </w:pPr>
      <w:r>
        <w:rPr>
          <w:rFonts w:ascii="Calibri" w:hAnsi="Calibri"/>
          <w:b w:val="0"/>
          <w:i w:val="0"/>
          <w:color w:val="1A1A1A"/>
          <w:sz w:val="21"/>
        </w:rPr>
        <w:t>Die Richtlinien des Unternehmens legen verbindliche Grundsätze zur rechtmäßigen, verantwortungsvollen und werteorientierten Unternehmensführung fest. Zentrale Inhalte sind die Achtung der Menschenrechte, der Schutz vor Diskriminierung und Belästigung, die Förderung von Vielfalt und Inklusion, der Schutz von Kindern und vulnerablen Gruppen, der verantwortungsvolle Umgang mit Daten sowie die Sicherstellung von Integrität, Transparenz und Compliance im gesamten Geschäftsbetrieb.</w:t>
      </w:r>
    </w:p>
    <w:p>
      <w:pPr>
        <w:spacing w:before="0" w:after="80" w:line="276" w:lineRule="auto"/>
      </w:pPr>
      <w:r>
        <w:rPr>
          <w:rFonts w:ascii="Calibri" w:hAnsi="Calibri"/>
          <w:b w:val="0"/>
          <w:i w:val="0"/>
          <w:color w:val="1A1A1A"/>
          <w:sz w:val="21"/>
        </w:rPr>
        <w:t>Die Richtlinien adressieren insbesondere wesentliche Auswirkungen, Risiken und Chancen (IROs) in den Bereichen Arbeitskräfte (S1), Verbraucher und Endnutzer (S4) sowie Governance (G1). Sie enthalten klare Verhaltensanforderungen, Präventionsmaßnahmen, Melde- und Beschwerdemechanismen sowie Überwachungs- und Eskalationsprozesse. Die Wirksamkeit der Richtlinien wird über interne Kontrollmechanismen, Auswertungen von Meldungen, Schulungsmaßnahmen und regelmäßige Überprüfungen begleitet.</w:t>
      </w:r>
    </w:p>
    <w:p>
      <w:pPr>
        <w:spacing w:before="0" w:after="80" w:line="276" w:lineRule="auto"/>
      </w:pPr>
      <w:r>
        <w:rPr>
          <w:rFonts w:ascii="Calibri" w:hAnsi="Calibri"/>
          <w:b w:val="0"/>
          <w:i w:val="0"/>
          <w:color w:val="1A1A1A"/>
          <w:sz w:val="21"/>
        </w:rPr>
        <w:t>Die Richtlinien gelten für alle Aktivitäten des Unternehmens und erstrecken sich auf die gesamte Organisation, einschließlich aller Einrichtungen, Verwaltungsbereiche und zentralen Fachabteilungen. Sie beziehen sich auf die eigene Geschäftstätigkeit sowie – soweit relevant – auf die vor- und nachgelagerte Wertschöpfungskette, insbesondere bei der Zusammenarbeit mit Dienstleistern und Geschäftspartnern.</w:t>
      </w:r>
    </w:p>
    <w:p>
      <w:pPr>
        <w:spacing w:before="0" w:after="80" w:line="276" w:lineRule="auto"/>
      </w:pPr>
      <w:r>
        <w:rPr>
          <w:rFonts w:ascii="Calibri" w:hAnsi="Calibri"/>
          <w:b w:val="0"/>
          <w:i w:val="0"/>
          <w:color w:val="1A1A1A"/>
          <w:sz w:val="21"/>
        </w:rPr>
        <w:t>Geografisch gelten die Richtlinien für alle Standorte in Deutschland sowie für weitere Tätigkeiten des Unternehmens im Rahmen seiner Geschäftstätigkeit. Betroffene Stakeholder sind insbesondere Beschäftigte, Kinder und Familien als Verbraucher und Endnutzer, Fremdarbeitskräfte, externe Dienstleister sowie weitere Geschäftspartner.</w:t>
      </w:r>
    </w:p>
    <w:p>
      <w:pPr>
        <w:spacing w:before="0" w:after="80" w:line="276" w:lineRule="auto"/>
      </w:pPr>
      <w:r>
        <w:rPr>
          <w:rFonts w:ascii="Calibri" w:hAnsi="Calibri"/>
          <w:b w:val="0"/>
          <w:i w:val="0"/>
          <w:color w:val="1A1A1A"/>
          <w:sz w:val="21"/>
        </w:rPr>
        <w:t>Die oberste Verantwortung für die Umsetzung der Richtlinien liegt bei der Unternehmensleitung. Die operative Umsetzung und Überwachung erfolgen durch die jeweils zuständigen Bereichsleitungen sowie durch spezialisierte Fachabteilungen, insbesondere Compliance, Personal, Pädagogik, Kinderschutz und Qualitätsentwicklung.</w:t>
      </w:r>
    </w:p>
    <w:p>
      <w:pPr>
        <w:spacing w:before="0" w:after="80" w:line="276" w:lineRule="auto"/>
      </w:pPr>
      <w:r>
        <w:rPr>
          <w:rFonts w:ascii="Calibri" w:hAnsi="Calibri"/>
          <w:b w:val="0"/>
          <w:i w:val="0"/>
          <w:color w:val="1A1A1A"/>
          <w:sz w:val="21"/>
        </w:rPr>
        <w:t>Führungskräfte auf allen Ebenen sind verpflichtet, die Richtlinien in ihrem Verantwortungsbereich umzusetzen, ihre Einhaltung sicherzustellen und bei Verstößen angemessen zu reagieren. Die Verantwortung für die praktische Anwendung in den Einrichtungen liegt bei den jeweiligen Leitungen.</w:t>
      </w:r>
    </w:p>
    <w:p>
      <w:pPr>
        <w:spacing w:before="0" w:after="80" w:line="276" w:lineRule="auto"/>
      </w:pPr>
      <w:r>
        <w:rPr>
          <w:rFonts w:ascii="Calibri" w:hAnsi="Calibri"/>
          <w:b w:val="0"/>
          <w:i w:val="0"/>
          <w:color w:val="1A1A1A"/>
          <w:sz w:val="21"/>
        </w:rPr>
        <w:t>Im Rahmen der Richtlinienumsetzung orientiert sich das Unternehmen an anerkannten externen Standards und gesetzlichen Vorgaben. Dazu zählen insbesondere die einschlägigen nationalen und europäischen Rechtsnormen, die UN-Kinderrechtskonvention sowie arbeits- und datenschutzrechtliche Anforderungen.</w:t>
      </w:r>
    </w:p>
    <w:p>
      <w:pPr>
        <w:spacing w:before="0" w:after="80" w:line="276" w:lineRule="auto"/>
      </w:pPr>
      <w:r>
        <w:rPr>
          <w:rFonts w:ascii="Calibri" w:hAnsi="Calibri"/>
          <w:b w:val="0"/>
          <w:i w:val="0"/>
          <w:color w:val="1A1A1A"/>
          <w:sz w:val="21"/>
        </w:rPr>
        <w:t>Darüber hinaus hat sich das Unternehmen durch die Unterzeichnung der Charta der Vielfalt zu den Grundsätzen von Vielfalt, Gleichbehandlung und einem diskriminierungsfreien Arbeitsumfeld verpflichtet. Diese externen Standards fließen in die Ausgestaltung und Weiterentwicklung der Richtlinien ein.</w:t>
      </w:r>
    </w:p>
    <w:p>
      <w:pPr>
        <w:spacing w:before="0" w:after="80" w:line="276" w:lineRule="auto"/>
      </w:pPr>
      <w:r>
        <w:rPr>
          <w:rFonts w:ascii="Calibri" w:hAnsi="Calibri"/>
          <w:b w:val="0"/>
          <w:i w:val="0"/>
          <w:color w:val="1A1A1A"/>
          <w:sz w:val="21"/>
        </w:rPr>
        <w:t>Bei der Festlegung und Weiterentwicklung der Richtlinien werden die Interessen relevanter Stakeholder berücksichtigt. Grundlage hierfür sind unter anderem Erkenntnisse aus der Wesentlichkeitsanalyse, Rückmeldungen aus der pädagogischen Praxis, Ergebnisse aus Mitarbeiter- und Familienbefragungen, Hinweise aus Beschwerde- und Meldesystemen sowie fachliche Einschätzungen der zuständigen Fachabteilungen.</w:t>
      </w:r>
    </w:p>
    <w:p>
      <w:pPr>
        <w:spacing w:before="0" w:after="80" w:line="276" w:lineRule="auto"/>
      </w:pPr>
      <w:r>
        <w:rPr>
          <w:rFonts w:ascii="Calibri" w:hAnsi="Calibri"/>
          <w:b w:val="0"/>
          <w:i w:val="0"/>
          <w:color w:val="1A1A1A"/>
          <w:sz w:val="21"/>
        </w:rPr>
        <w:t>Diese Informationen fließen in die Ausgestaltung der Richtlinien ein, um wesentliche Auswirkungen, Risiken und Chancen angemessen zu adressieren und praxisnah zu steuern.</w:t>
      </w:r>
    </w:p>
    <w:p>
      <w:pPr>
        <w:spacing w:before="0" w:after="80" w:line="276" w:lineRule="auto"/>
      </w:pPr>
      <w:r>
        <w:rPr>
          <w:rFonts w:ascii="Calibri" w:hAnsi="Calibri"/>
          <w:b w:val="0"/>
          <w:i w:val="0"/>
          <w:color w:val="1A1A1A"/>
          <w:sz w:val="21"/>
        </w:rPr>
        <w:t>Die Richtlinien sind für relevante Stakeholder zugänglich und werden in geeigneter Form kommuniziert. Beschäftigte erhalten Zugriff über interne Informationssysteme und werden im Rahmen von Onboarding-Prozessen, Schulungen und Fortbildungen über Inhalte und Anwendungsbereiche informiert.</w:t>
      </w:r>
    </w:p>
    <w:p>
      <w:pPr>
        <w:spacing w:before="0" w:after="80" w:line="276" w:lineRule="auto"/>
      </w:pPr>
      <w:r>
        <w:rPr>
          <w:rFonts w:ascii="Calibri" w:hAnsi="Calibri"/>
          <w:b w:val="0"/>
          <w:i w:val="0"/>
          <w:color w:val="1A1A1A"/>
          <w:sz w:val="21"/>
        </w:rPr>
        <w:t>Für Stakeholder, die bei der Umsetzung Unterstützung benötigen, bestehen ergänzende Erläuterungen, Ansprechstellen und Beratungsangebote. Melde- und Beschwerdeverfahren sind niedrigschwellig ausgestaltet, teilweise anonym nutzbar und so angelegt, dass auch besonders schutzbedürftige Gruppen ihre Anliegen sicher vorbringen können.</w:t>
      </w:r>
    </w:p>
    <w:p>
      <w:pPr>
        <w:pStyle w:val="Heading3"/>
      </w:pPr>
      <w:r>
        <w:t>21 – Strategien im Einklang mit relevanten international anerkannten Instrumenten</w:t>
      </w:r>
    </w:p>
    <w:p>
      <w:pPr>
        <w:spacing w:before="0" w:after="80" w:line="276" w:lineRule="auto"/>
      </w:pPr>
      <w:r>
        <w:rPr>
          <w:rFonts w:ascii="Calibri" w:hAnsi="Calibri"/>
          <w:b w:val="0"/>
          <w:i w:val="0"/>
          <w:color w:val="1A1A1A"/>
          <w:sz w:val="21"/>
        </w:rPr>
        <w:t>Die Richtlinien von Fröbel zum Umgang mit den eigenen Arbeitskräften stehen im Einklang mit international anerkannten Instrumenten zum Schutz der Menschenrechte und Arbeitsstandards. Dazu gehören insbesondere die Leitprinzipien der Vereinten Nationen für Wirtschaft und Menschenrechte (UNGP), einschlägige ILO-Kernarbeitsnormen, die OECD-Leitsätze für verantwortungsvolles unternehmerisches Handeln sowie nationale gesetzliche Anforderungen.</w:t>
      </w:r>
    </w:p>
    <w:p>
      <w:pPr>
        <w:spacing w:before="0" w:after="80" w:line="276" w:lineRule="auto"/>
      </w:pPr>
      <w:r>
        <w:rPr>
          <w:rFonts w:ascii="Calibri" w:hAnsi="Calibri"/>
          <w:b w:val="0"/>
          <w:i w:val="0"/>
          <w:color w:val="1A1A1A"/>
          <w:sz w:val="21"/>
        </w:rPr>
        <w:t>Die menschenrechtliche Verantwortung ist in Leitbild, Verhaltensgrundsätzen und Diversity-Grundsätzen verankert. Richtlinien wie das Kinderschutzkonzept, arbeits- und gesundheitsschutzbezogene Vorgaben, die Charta der Vielfalt sowie die Whistleblower-Richtlinie konkretisieren diese Anforderungen. Sie definieren Erwartungen an Verhalten, Verantwortlichkeiten, Meldewege und den Umgang mit möglichen Verstößen.</w:t>
      </w:r>
    </w:p>
    <w:p>
      <w:pPr>
        <w:spacing w:before="0" w:after="80" w:line="276" w:lineRule="auto"/>
      </w:pPr>
      <w:r>
        <w:rPr>
          <w:rFonts w:ascii="Calibri" w:hAnsi="Calibri"/>
          <w:b w:val="0"/>
          <w:i w:val="0"/>
          <w:color w:val="1A1A1A"/>
          <w:sz w:val="21"/>
        </w:rPr>
        <w:t>Strukturen wie Mitarbeitervertretung, Beschwerdestelle und Meldesysteme unterstützen die Umsetzung der menschenrechtlichen Sorgfaltspflichten im Arbeitsalltag. Die Einhaltung gesetzlicher Vorgaben und tariflicher Standards bildet den verbindlichen Rahmen. Über Qualifizierungsangebote, definierte Prozesse und interne Kontrollmechanismen wird sichergestellt, dass die Prinzipien international anerkannter Instrumente im Umgang mit Beschäftigten systematisch berücksichtigt werden.</w:t>
      </w:r>
    </w:p>
    <w:p>
      <w:pPr>
        <w:pStyle w:val="Heading3"/>
      </w:pPr>
      <w:r>
        <w:t>24 – Strategien zur Beseitigung von Diskriminierung und Förderung von Inklusion</w:t>
      </w:r>
    </w:p>
    <w:p>
      <w:pPr>
        <w:spacing w:before="0" w:after="80" w:line="276" w:lineRule="auto"/>
      </w:pPr>
      <w:r>
        <w:rPr>
          <w:rFonts w:ascii="Calibri" w:hAnsi="Calibri"/>
          <w:b w:val="0"/>
          <w:i w:val="0"/>
          <w:color w:val="1A1A1A"/>
          <w:sz w:val="21"/>
        </w:rPr>
        <w:t>Strategien zur Beseitigung von Diskriminierung und Förderung von Inklusion trifft zu.</w:t>
      </w:r>
    </w:p>
    <w:p>
      <w:pPr>
        <w:spacing w:before="0" w:after="80" w:line="276" w:lineRule="auto"/>
      </w:pPr>
      <w:r>
        <w:rPr>
          <w:rFonts w:ascii="Calibri" w:hAnsi="Calibri"/>
          <w:b w:val="0"/>
          <w:i w:val="0"/>
          <w:color w:val="1A1A1A"/>
          <w:sz w:val="21"/>
        </w:rPr>
        <w:t>Strategien zur Beseitigung von Diskriminierung und Förderung von Inklusion trifft zu.</w:t>
      </w:r>
    </w:p>
    <w:p>
      <w:pPr>
        <w:spacing w:before="0" w:after="80" w:line="276" w:lineRule="auto"/>
      </w:pPr>
      <w:r>
        <w:rPr>
          <w:rFonts w:ascii="Calibri" w:hAnsi="Calibri"/>
          <w:b w:val="0"/>
          <w:i w:val="0"/>
          <w:color w:val="1A1A1A"/>
          <w:sz w:val="21"/>
        </w:rPr>
        <w:t>Es bestehen spezifische politische Verpflichtungen zur Förderung von Inklusion und zur Unterstützung besonders gefährdeter Gruppen innerhalb der eigenen Arbeitskräfte. Diese Verpflichtungen sind im Unternehmens- und pädagogischen Leitbild, in den Regelungen zu Gleichbehandlung und Nichtdiskriminierung sowie in weiteren internen Vorgaben verankert.</w:t>
      </w:r>
    </w:p>
    <w:p>
      <w:pPr>
        <w:spacing w:before="0" w:after="80" w:line="276" w:lineRule="auto"/>
      </w:pPr>
      <w:r>
        <w:rPr>
          <w:rFonts w:ascii="Calibri" w:hAnsi="Calibri"/>
          <w:b w:val="0"/>
          <w:i w:val="0"/>
          <w:color w:val="1A1A1A"/>
          <w:sz w:val="21"/>
        </w:rPr>
        <w:t>Die Verpflichtungen richten sich insbesondere an Beschäftigte und Fremdarbeitskräfte, die aufgrund von Behinderung, Geschlecht, Alter, Herkunft, familiären Verpflichtungen oder anderen persönlichen Merkmalen einem erhöhten Risiko von Benachteiligung ausgesetzt sein können. Sie umfassen unter anderem Maßnahmen zur Förderung von Chancengleichheit, barrierearmen Arbeitsbedingungen, Vereinbarkeit von Familie und Beruf, diskriminierungsfreier Personalgewinnung und Personalentwicklung sowie zum Schutz vor Benachteiligung und Belästigung.</w:t>
      </w:r>
    </w:p>
    <w:p>
      <w:pPr>
        <w:spacing w:before="0" w:after="80" w:line="276" w:lineRule="auto"/>
      </w:pPr>
      <w:r>
        <w:rPr>
          <w:rFonts w:ascii="Calibri" w:hAnsi="Calibri"/>
          <w:b w:val="0"/>
          <w:i w:val="0"/>
          <w:color w:val="1A1A1A"/>
          <w:sz w:val="21"/>
        </w:rPr>
        <w:t>Die Umsetzung dieser Verpflichtungen erfolgt über definierte Verfahren, Verantwortlichkeiten und Unterstützungsangebote und wird durch Führungskräfte sowie zuständige Fachbereiche begleitet.</w:t>
      </w:r>
    </w:p>
    <w:p>
      <w:pPr>
        <w:spacing w:before="0" w:after="80" w:line="276" w:lineRule="auto"/>
      </w:pPr>
      <w:r>
        <w:rPr>
          <w:rFonts w:ascii="Calibri" w:hAnsi="Calibri"/>
          <w:b w:val="0"/>
          <w:i w:val="0"/>
          <w:color w:val="1A1A1A"/>
          <w:sz w:val="21"/>
        </w:rPr>
        <w:t>Die bestehenden Richtlinien zur Nichtdiskriminierung sowie zur Förderung von Vielfalt und Inklusion werden durch konkrete, verbindliche Verfahren umgesetzt. Zentrale Elemente sind klar definierte Melde-, Prüf- und Eskalationsprozesse, die sicherstellen, dass Diskriminierung, Belästigung oder andere Formen unangemessenen Verhaltens frühzeitig erkannt, eingedämmt und konsequent bearbeitet werden.</w:t>
      </w:r>
    </w:p>
    <w:p>
      <w:pPr>
        <w:spacing w:before="0" w:after="80" w:line="276" w:lineRule="auto"/>
      </w:pPr>
      <w:r>
        <w:rPr>
          <w:rFonts w:ascii="Calibri" w:hAnsi="Calibri"/>
          <w:b w:val="0"/>
          <w:i w:val="0"/>
          <w:color w:val="1A1A1A"/>
          <w:sz w:val="21"/>
        </w:rPr>
        <w:t>Hierzu gehört insbesondere ein internes, auch anonym nutzbares Meldesystem, über das Beschäftigte Hinweise auf mögliche Verstöße vertraulich einreichen können. Dieses Meldesystem steht nicht nur im Kontext des Kinderschutzes, sondern ausdrücklich auch für Anliegen von Mitarbeitenden zur Verfügung. Eingehende Meldungen werden strukturiert geprüft, dokumentiert und gemäß festgelegten Zuständigkeiten bearbeitet. Dabei gelten verbindliche Verfahrensschritte, Vertraulichkeitsanforderungen und Schutzmechanismen für hinweisgebende Personen.</w:t>
      </w:r>
    </w:p>
    <w:p>
      <w:pPr>
        <w:spacing w:before="0" w:after="80" w:line="276" w:lineRule="auto"/>
      </w:pPr>
      <w:r>
        <w:rPr>
          <w:rFonts w:ascii="Calibri" w:hAnsi="Calibri"/>
          <w:b w:val="0"/>
          <w:i w:val="0"/>
          <w:color w:val="1A1A1A"/>
          <w:sz w:val="21"/>
        </w:rPr>
        <w:t>Ergänzend werden Führungskräfte in ihrer Verantwortung zur Prävention von Diskriminierung sowie zur Förderung eines respektvollen und inklusiven Arbeitsumfelds unterstützt und verpflichtet. Schulungs- und Sensibilisierungsangebote, transparente Beschwerdewege sowie die Einbindung von Arbeitnehmervertretungen tragen dazu bei, Vielfalt und Inklusion im Arbeitsalltag systematisch zu stärken und Diskriminierungsrisiken dauerhaft zu reduzieren.</w:t>
      </w:r>
    </w:p>
    <w:p>
      <w:pPr>
        <w:pStyle w:val="Heading2"/>
      </w:pPr>
      <w:r>
        <w:t>S1-2 – Prozesse zur Einbindung eigener Arbeitnehmer und Arbeitnehmervertreter in Bezug auf Auswirkungen</w:t>
      </w:r>
    </w:p>
    <w:p>
      <w:pPr>
        <w:pStyle w:val="Heading3"/>
      </w:pPr>
      <w:r>
        <w:t>27 – Praktiken und Wirksamkeit der Mitarbeiterbeteiligung</w:t>
      </w:r>
    </w:p>
    <w:p>
      <w:pPr>
        <w:spacing w:before="0" w:after="80" w:line="276" w:lineRule="auto"/>
      </w:pPr>
      <w:r>
        <w:rPr>
          <w:rFonts w:ascii="Calibri" w:hAnsi="Calibri"/>
          <w:b w:val="0"/>
          <w:i w:val="0"/>
          <w:color w:val="1A1A1A"/>
          <w:sz w:val="21"/>
        </w:rPr>
        <w:t>Zur Bewältigung tatsächlicher und potenzieller Auswirkungen auf die eigenen Arbeitskräfte fließen die Sichtweisen von Beschäftigten und – soweit relevant – Fremdarbeitskräften systematisch in Entscheidungen und Maßnahmen ein. Hierzu nutzt das Unternehmen mehrere etablierte Rückkopplungs- und Beteiligungsformate auf Einrichtungs-, regionaler und Trägerebene.</w:t>
      </w:r>
    </w:p>
    <w:p>
      <w:pPr>
        <w:spacing w:before="0" w:after="80" w:line="276" w:lineRule="auto"/>
      </w:pPr>
      <w:r>
        <w:rPr>
          <w:rFonts w:ascii="Calibri" w:hAnsi="Calibri"/>
          <w:b w:val="0"/>
          <w:i w:val="0"/>
          <w:color w:val="1A1A1A"/>
          <w:sz w:val="21"/>
        </w:rPr>
        <w:t>Rückmeldungen werden insbesondere über regelmäßige Team- und Mitarbeitendengespräche in den Einrichtungen, strukturierte Austauschformate mit Führungskräften, interne Meldesysteme sowie über Hinweise aus dem Arbeitsalltag erhoben. Ergänzend werden die Perspektiven der Arbeitskräfte über formalisierte Beteiligungsstrukturen eingebunden, insbesondere über den Betriebsrat, der in mitbestimmungspflichtige Themen eingebunden ist und die Interessen der Beschäftigten gegenüber dem Arbeitgeber vertritt.</w:t>
      </w:r>
    </w:p>
    <w:p>
      <w:pPr>
        <w:spacing w:before="0" w:after="80" w:line="276" w:lineRule="auto"/>
      </w:pPr>
      <w:r>
        <w:rPr>
          <w:rFonts w:ascii="Calibri" w:hAnsi="Calibri"/>
          <w:b w:val="0"/>
          <w:i w:val="0"/>
          <w:color w:val="1A1A1A"/>
          <w:sz w:val="21"/>
        </w:rPr>
        <w:t>Darüber hinaus fließen Erkenntnisse aus Mitarbeiterbefragungen, aus der Zusammenarbeit mit den Arbeitnehmervertretungen sowie aus Meldungen zu Arbeitsschutz, Gesundheit, Belastungssituationen oder personalbezogenen Risiken in die Bewertung arbeitsbezogener Auswirkungen ein. Diese Perspektiven bilden eine zentrale Grundlage für die Ableitung und Weiterentwicklung von Maßnahmen, etwa in den Bereichen Arbeitsbedingungen, Gesundheitsschutz, Qualifizierung, Personalentwicklung und Organisationsgestaltung.</w:t>
      </w:r>
    </w:p>
    <w:p>
      <w:pPr>
        <w:spacing w:before="0" w:after="80" w:line="276" w:lineRule="auto"/>
      </w:pPr>
      <w:r>
        <w:rPr>
          <w:rFonts w:ascii="Calibri" w:hAnsi="Calibri"/>
          <w:b w:val="0"/>
          <w:i w:val="0"/>
          <w:color w:val="1A1A1A"/>
          <w:sz w:val="21"/>
        </w:rPr>
        <w:t>Praktiken und Wirksamkeit der Mitarbeiterbeteiligung trifft zu.</w:t>
      </w:r>
    </w:p>
    <w:p>
      <w:pPr>
        <w:spacing w:before="0" w:after="80" w:line="276" w:lineRule="auto"/>
      </w:pPr>
      <w:r>
        <w:rPr>
          <w:rFonts w:ascii="Calibri" w:hAnsi="Calibri"/>
          <w:b w:val="0"/>
          <w:i w:val="0"/>
          <w:color w:val="1A1A1A"/>
          <w:sz w:val="21"/>
        </w:rPr>
        <w:t>Die Einbeziehung erfolgt in mehreren Phasen des Personal- und Organisationsmanagements. Regelmäßige Mitarbeiterbefragungen werden im Zweijahresrhythmus durchgeführt und liefern strukturiertes Feedback zu Arbeitsbedingungen, Zusammenarbeit und organisationalem Klima. Ergänzend fließen Rückmeldungen aus Offboarding-Prozessen über standardisierte Austrittsgespräche ein. In den Einrichtungen finden darüber hinaus fortlaufend Teamgespräche und Austauschformate statt, die ebenfalls Hinweise für die Weiterentwicklung von Prozessen und Maßnahmen liefern.</w:t>
      </w:r>
    </w:p>
    <w:p>
      <w:pPr>
        <w:spacing w:before="0" w:after="80" w:line="276" w:lineRule="auto"/>
      </w:pPr>
      <w:r>
        <w:rPr>
          <w:rFonts w:ascii="Calibri" w:hAnsi="Calibri"/>
          <w:b w:val="0"/>
          <w:i w:val="0"/>
          <w:color w:val="1A1A1A"/>
          <w:sz w:val="21"/>
        </w:rPr>
        <w:t>Die operative Verantwortung für die Einbeziehung der Beschäftigten liegt bei der Geschäftsführung. Sie stellt sicher, dass die verschiedenen Feedbackkanäle implementiert, ausgewertet und in strategische sowie operative Entscheidungen integriert werden. Führungskräfte auf Einrichtungs- und Verwaltungsebene unterstützen diesen Prozess, indem sie Rückmeldungen aufnehmen und an die entsprechenden Entscheidungsgremien weiterleiten.</w:t>
      </w:r>
    </w:p>
    <w:p>
      <w:pPr>
        <w:spacing w:before="0" w:after="80" w:line="276" w:lineRule="auto"/>
      </w:pPr>
      <w:r>
        <w:rPr>
          <w:rFonts w:ascii="Calibri" w:hAnsi="Calibri"/>
          <w:b w:val="0"/>
          <w:i w:val="0"/>
          <w:color w:val="1A1A1A"/>
          <w:sz w:val="21"/>
        </w:rPr>
        <w:t>Dem Unternehmen sind derzeit keine globalen Rahmenvereinbarungen oder vergleichbare Abkommen mit Arbeitnehmervertretern bekannt. Die Einbeziehung der Beschäftigten erfolgt daher über nationale Vertretungsstrukturen, Betriebsvereinbarungen sowie interne Dialog- und Beteiligungsformate.</w:t>
      </w:r>
    </w:p>
    <w:p>
      <w:pPr>
        <w:spacing w:before="0" w:after="80" w:line="276" w:lineRule="auto"/>
      </w:pPr>
      <w:r>
        <w:rPr>
          <w:rFonts w:ascii="Calibri" w:hAnsi="Calibri"/>
          <w:b w:val="0"/>
          <w:i w:val="0"/>
          <w:color w:val="1A1A1A"/>
          <w:sz w:val="21"/>
        </w:rPr>
        <w:t>Die Wirksamkeit der Zusammenarbeit mit den Beschäftigten wird über mehrere Mechanismen bewertet. Dazu gehören die Auswertung der Ergebnisse der regelmäßigen Mitarbeiterbefragungen, Rückmeldungen aus Austrittsgesprächen, Hinweise aus internen Meldesystemen sowie Einschätzungen der Arbeitnehmervertretungen. Zusätzlich werden Muster und wiederkehrende Themen analysiert, um die Qualität der Zusammenarbeit und die Erreichung definierter Ziele zu beurteilen. Erkenntnisse fließen kontinuierlich in die Anpassung von Maßnahmen und Prozessen ein.</w:t>
      </w:r>
    </w:p>
    <w:p>
      <w:pPr>
        <w:pStyle w:val="Heading3"/>
      </w:pPr>
      <w:r>
        <w:t>28 – Einbeziehung von marginalisierten Gruppen</w:t>
      </w:r>
    </w:p>
    <w:p>
      <w:pPr>
        <w:spacing w:before="0" w:after="80" w:line="276" w:lineRule="auto"/>
      </w:pPr>
      <w:r>
        <w:rPr>
          <w:rFonts w:ascii="Calibri" w:hAnsi="Calibri"/>
          <w:b w:val="0"/>
          <w:i w:val="0"/>
          <w:color w:val="1A1A1A"/>
          <w:sz w:val="21"/>
        </w:rPr>
        <w:t>Zur Einholung von Einblicken in die Sichtweisen von Beschäftigten, die besonders anfällig für Auswirkungen oder potenziell marginalisiert sein könnten, nutzt das Unternehmen bestehende Beteiligungs- und Rückmeldeformate. Dazu zählen insbesondere regelmäßig durchgeführte, anonyme Mitarbeiterbefragungen sowie individuelle Austauschformate in den Einrichtungen.</w:t>
      </w:r>
    </w:p>
    <w:p>
      <w:pPr>
        <w:spacing w:before="0" w:after="80" w:line="276" w:lineRule="auto"/>
      </w:pPr>
      <w:r>
        <w:rPr>
          <w:rFonts w:ascii="Calibri" w:hAnsi="Calibri"/>
          <w:b w:val="0"/>
          <w:i w:val="0"/>
          <w:color w:val="1A1A1A"/>
          <w:sz w:val="21"/>
        </w:rPr>
        <w:t>Ergänzend stehen strukturierte Beschwerde- und Meldesysteme sowie die Mitarbeitervertretung als niedrigschwellige Kanäle zur Verfügung. Diese ermöglichen es, Anliegen vertraulich einzubringen und Hinweise auf besondere Belastungen oder Benachteiligungen frühzeitig zu identifizieren. Erkenntnisse fließen bei Bedarf in die Weiterentwicklung von Arbeitsbedingungen und internen Prozessen ein.</w:t>
      </w:r>
    </w:p>
    <w:p>
      <w:pPr>
        <w:pStyle w:val="Heading2"/>
      </w:pPr>
      <w:r>
        <w:t>S1-3 – Prozesse zur Behebung negativer Auswirkungen und Kanäle für eigene Arbeitnehmer, um Bedenken zu äußern</w:t>
      </w:r>
    </w:p>
    <w:p>
      <w:pPr>
        <w:pStyle w:val="Heading3"/>
      </w:pPr>
      <w:r>
        <w:t>32 – Ansatz und Verfahren für Abhilfemaßnahmen</w:t>
      </w:r>
    </w:p>
    <w:p>
      <w:pPr>
        <w:spacing w:before="0" w:after="80" w:line="276" w:lineRule="auto"/>
      </w:pPr>
      <w:r>
        <w:rPr>
          <w:rFonts w:ascii="Calibri" w:hAnsi="Calibri"/>
          <w:b w:val="0"/>
          <w:i w:val="0"/>
          <w:color w:val="1A1A1A"/>
          <w:sz w:val="21"/>
        </w:rPr>
        <w:t>Für den Umgang mit wesentlichen negativen Auswirkungen auf die eigenen Arbeitskräfte besteht ein allgemeiner Ansatz zur Durchführung von Abhilfemaßnahmen. Zentrale Elemente sind etablierte Beschwerdestellen und Meldewege, über die Beschäftigte Anliegen, Hinweise oder Bedenken vorbringen können. Eingehende Meldungen werden geprüft, dokumentiert und entsprechend der Zuständigkeiten bearbeitet.</w:t>
      </w:r>
    </w:p>
    <w:p>
      <w:pPr>
        <w:spacing w:before="0" w:after="80" w:line="276" w:lineRule="auto"/>
      </w:pPr>
      <w:r>
        <w:rPr>
          <w:rFonts w:ascii="Calibri" w:hAnsi="Calibri"/>
          <w:b w:val="0"/>
          <w:i w:val="0"/>
          <w:color w:val="1A1A1A"/>
          <w:sz w:val="21"/>
        </w:rPr>
        <w:t>Abhilfemaßnahmen werden fallbezogen festgelegt und umgesetzt, mit dem Ziel, identifizierte Probleme zu klären, negative Auswirkungen zu beheben oder deren Wiederholung zu verhindern. Die Wirksamkeit der Maßnahmen wird im Rahmen der Bearbeitung sowie durch Rückmeldungen der betroffenen Personen bewertet und bei Bedarf angepasst. Transparenz, Vertraulichkeit und die Einhaltung arbeitsrechtlicher sowie menschenrechtlicher Standards sind dabei gewährleistet.</w:t>
      </w:r>
    </w:p>
    <w:p>
      <w:pPr>
        <w:spacing w:before="0" w:after="80" w:line="276" w:lineRule="auto"/>
      </w:pPr>
      <w:r>
        <w:rPr>
          <w:rFonts w:ascii="Calibri" w:hAnsi="Calibri"/>
          <w:b w:val="0"/>
          <w:i w:val="0"/>
          <w:color w:val="1A1A1A"/>
          <w:sz w:val="21"/>
        </w:rPr>
        <w:t>Für die eigenen Arbeitskräfte bestehen mehrere spezifische Kanäle, über die Anliegen, Hinweise oder Bedürfnisse direkt gegenüber dem Unternehmen geäußert und prüfen gelassen werden können. Dazu zählen interne Beschwerdestellen, die Mitarbeitervertretung, direkte Ansprechmöglichkeiten bei Führungskräften sowie definierte Meldewege für sensible Sachverhalte, einschließlich des Hinweisgebersystems.</w:t>
      </w:r>
    </w:p>
    <w:p>
      <w:pPr>
        <w:spacing w:before="0" w:after="80" w:line="276" w:lineRule="auto"/>
      </w:pPr>
      <w:r>
        <w:rPr>
          <w:rFonts w:ascii="Calibri" w:hAnsi="Calibri"/>
          <w:b w:val="0"/>
          <w:i w:val="0"/>
          <w:color w:val="1A1A1A"/>
          <w:sz w:val="21"/>
        </w:rPr>
        <w:t>Die Kanäle werden überwiegend vom Unternehmen selbst bereitgestellt. Soweit gesetzlich vorgesehen, kommen ergänzend externe oder unabhängige Meldeverfahren zum Einsatz. Alle Kanäle sind so ausgestaltet, dass sie zugänglich, vertraulich und ohne Benachteiligung genutzt werden können.</w:t>
      </w:r>
    </w:p>
    <w:p>
      <w:pPr>
        <w:spacing w:before="0" w:after="80" w:line="276" w:lineRule="auto"/>
      </w:pPr>
      <w:r>
        <w:rPr>
          <w:rFonts w:ascii="Calibri" w:hAnsi="Calibri"/>
          <w:b w:val="0"/>
          <w:i w:val="0"/>
          <w:color w:val="1A1A1A"/>
          <w:sz w:val="21"/>
        </w:rPr>
        <w:t>Ansatz und Verfahren für Abhilfemaßnahmen trifft zu.</w:t>
      </w:r>
    </w:p>
    <w:p>
      <w:pPr>
        <w:spacing w:before="0" w:after="80" w:line="276" w:lineRule="auto"/>
      </w:pPr>
      <w:r>
        <w:rPr>
          <w:rFonts w:ascii="Calibri" w:hAnsi="Calibri"/>
          <w:b w:val="0"/>
          <w:i w:val="0"/>
          <w:color w:val="1A1A1A"/>
          <w:sz w:val="21"/>
        </w:rPr>
        <w:t>Die Verfügbarkeit der Beschwerde- und Meldekanäle wird aktiv unterstützt. Informationen zu den bestehenden Kanälen sind im Arbeitsumfeld zugänglich und werden im Rahmen von interner Kommunikation, Führungskräfteinformationen sowie bei relevanten Anlässen, wie Onboarding oder organisatorischen Veränderungen, vermittelt.</w:t>
      </w:r>
    </w:p>
    <w:p>
      <w:pPr>
        <w:spacing w:before="0" w:after="80" w:line="276" w:lineRule="auto"/>
      </w:pPr>
      <w:r>
        <w:rPr>
          <w:rFonts w:ascii="Calibri" w:hAnsi="Calibri"/>
          <w:b w:val="0"/>
          <w:i w:val="0"/>
          <w:color w:val="1A1A1A"/>
          <w:sz w:val="21"/>
        </w:rPr>
        <w:t>Führungskräfte und Mitarbeitervertretungen fungieren als Ansprechpersonen und unterstützen die Nutzung der Kanäle. Durch klare Zuständigkeiten, vertrauliche Ausgestaltung und transparente Verfahren wird sichergestellt, dass Beschäftigte ihre Anliegen ohne Hürden oder Benachteiligung vorbringen können.</w:t>
      </w:r>
    </w:p>
    <w:p>
      <w:pPr>
        <w:spacing w:before="0" w:after="80" w:line="276" w:lineRule="auto"/>
      </w:pPr>
      <w:r>
        <w:rPr>
          <w:rFonts w:ascii="Calibri" w:hAnsi="Calibri"/>
          <w:b w:val="0"/>
          <w:i w:val="0"/>
          <w:color w:val="1A1A1A"/>
          <w:sz w:val="21"/>
        </w:rPr>
        <w:t>Eingehende Anliegen werden systematisch dokumentiert, geprüft und bis zum Abschluss nachverfolgt. Die Bearbeitung erfolgt entlang definierter Zuständigkeiten und Eskalationswege. Der Bearbeitungsstand wird überwacht, um sicherzustellen, dass Hinweise zeitnah und angemessen behandelt werden.</w:t>
      </w:r>
    </w:p>
    <w:p>
      <w:pPr>
        <w:spacing w:before="0" w:after="80" w:line="276" w:lineRule="auto"/>
      </w:pPr>
      <w:r>
        <w:rPr>
          <w:rFonts w:ascii="Calibri" w:hAnsi="Calibri"/>
          <w:b w:val="0"/>
          <w:i w:val="0"/>
          <w:color w:val="1A1A1A"/>
          <w:sz w:val="21"/>
        </w:rPr>
        <w:t>Die Wirksamkeit der Beschwerde- und Meldekanäle wird regelmäßig bewertet, unter anderem anhand der Anzahl und Art der Meldungen, der Bearbeitungsdauer sowie wiederkehrender Themen. Rückmeldungen aus der Praxis, Hinweise der Mitarbeitervertretung und Erkenntnisse aus abgeschlossenen Fällen fließen in die Weiterentwicklung der Verfahren ein. Dadurch wird sichergestellt, dass die Kanäle wirksam, zugänglich und vertrauenswürdig bleiben.</w:t>
      </w:r>
    </w:p>
    <w:p>
      <w:pPr>
        <w:pStyle w:val="Heading3"/>
      </w:pPr>
      <w:r>
        <w:t>33 – Einführung von Kanälen zur Meldung von Anliegen</w:t>
      </w:r>
    </w:p>
    <w:p>
      <w:pPr>
        <w:spacing w:before="0" w:after="80" w:line="276" w:lineRule="auto"/>
      </w:pPr>
      <w:r>
        <w:rPr>
          <w:rFonts w:ascii="Calibri" w:hAnsi="Calibri"/>
          <w:b w:val="0"/>
          <w:i w:val="0"/>
          <w:color w:val="1A1A1A"/>
          <w:sz w:val="21"/>
        </w:rPr>
        <w:t>Die Bekanntheit und das Vertrauen in die bestehenden Melde- und Beschwerdekanäle werden durch regelmäßige interne Kommunikation, Informationen im Arbeitsumfeld sowie durch die Rolle von Führungskräften und Mitarbeitervertretungen unterstützt. Hinweise zu den verfügbaren Verfahren werden unter anderem im Rahmen des Onboardings, über interne Informationsformate und bei relevanten organisatorischen Anlässen vermittelt.</w:t>
      </w:r>
    </w:p>
    <w:p>
      <w:pPr>
        <w:spacing w:before="0" w:after="80" w:line="276" w:lineRule="auto"/>
      </w:pPr>
      <w:r>
        <w:rPr>
          <w:rFonts w:ascii="Calibri" w:hAnsi="Calibri"/>
          <w:b w:val="0"/>
          <w:i w:val="0"/>
          <w:color w:val="1A1A1A"/>
          <w:sz w:val="21"/>
        </w:rPr>
        <w:t>Darüber hinaus liefern Rückmeldungen aus Mitarbeiterbefragungen, Gesprächen sowie aus der Nutzung der Kanäle selbst Hinweise darauf, inwieweit die Strukturen bekannt sind und als vertrauenswürdig wahrgenommen werden. Erkenntnisse daraus werden genutzt, um Transparenz, Zugänglichkeit und Akzeptanz der Verfahren weiter zu stärken.</w:t>
      </w:r>
    </w:p>
    <w:p>
      <w:pPr>
        <w:spacing w:before="0" w:after="80" w:line="276" w:lineRule="auto"/>
      </w:pPr>
      <w:r>
        <w:rPr>
          <w:rFonts w:ascii="Calibri" w:hAnsi="Calibri"/>
          <w:b w:val="0"/>
          <w:i w:val="0"/>
          <w:color w:val="1A1A1A"/>
          <w:sz w:val="21"/>
        </w:rPr>
        <w:t>Einführung von Kanälen zur Meldung von Anliegen trifft zu.</w:t>
      </w:r>
    </w:p>
    <w:p>
      <w:pPr>
        <w:pStyle w:val="Heading2"/>
      </w:pPr>
      <w:r>
        <w:t>S1-4 – Maßnahmen zur Bewältigung wesentlicher Auswirkungen auf die eigene Belegschaft, und Ansätze zur Minderung wesentlicher Risiken und Verfolgung wesentlicher Chancen bezüglich der eigenen Belegschaft sowie ihre Wirksamkeit</w:t>
      </w:r>
    </w:p>
    <w:p>
      <w:pPr>
        <w:pStyle w:val="Heading3"/>
      </w:pPr>
      <w:r>
        <w:t>37 – Maßnahmen im Zusammenhang mit eigener Arbeitskräfte (Beschäftigte und Fremdarbeitskräfte)</w:t>
      </w:r>
    </w:p>
    <w:p>
      <w:pPr>
        <w:spacing w:before="0" w:after="80" w:line="276" w:lineRule="auto"/>
      </w:pPr>
      <w:r>
        <w:rPr>
          <w:rFonts w:ascii="Calibri" w:hAnsi="Calibri"/>
          <w:b w:val="0"/>
          <w:i w:val="0"/>
          <w:color w:val="1A1A1A"/>
          <w:sz w:val="21"/>
        </w:rPr>
        <w:t>Maßnahmen im Zusammenhang mit eigener Arbeitskräfte (Beschäftigte und Fremdarbeitskräfte) trifft zu.</w:t>
      </w:r>
    </w:p>
    <w:p>
      <w:pPr>
        <w:pStyle w:val="Heading3"/>
      </w:pPr>
      <w:r>
        <w:t>AR 43 – Maßnahmen zur Abmilderung der Übergangsauswirkungen</w:t>
      </w:r>
    </w:p>
    <w:p>
      <w:pPr>
        <w:spacing w:before="0" w:after="80" w:line="276" w:lineRule="auto"/>
      </w:pPr>
      <w:r>
        <w:rPr>
          <w:rFonts w:ascii="Calibri" w:hAnsi="Calibri"/>
          <w:b w:val="0"/>
          <w:i w:val="0"/>
          <w:color w:val="1A1A1A"/>
          <w:sz w:val="21"/>
        </w:rPr>
        <w:t>Im Zusammenhang mit dem Übergang zu einer umweltfreundlicheren und klimaneutralen Wirtschaft wurden Maßnahmen ergriffen, um mögliche Auswirkungen auf die eigenen Arbeitskräfte abzufedern. Der Fokus liegt dabei auf Qualifizierung, Sensibilisierung und der schrittweisen Integration nachhaltigkeitsbezogener Anforderungen in bestehende Arbeitsprozesse. Schulungs- und Fortbildungsangebote unterstützen Beschäftigte dabei, neue Anforderungen im Zusammenhang mit Klimaschutz, Nachhaltigkeit und veränderten betrieblichen Abläufen zu bewältigen.</w:t>
      </w:r>
    </w:p>
    <w:p>
      <w:pPr>
        <w:spacing w:before="0" w:after="80" w:line="276" w:lineRule="auto"/>
      </w:pPr>
      <w:r>
        <w:rPr>
          <w:rFonts w:ascii="Calibri" w:hAnsi="Calibri"/>
          <w:b w:val="0"/>
          <w:i w:val="0"/>
          <w:color w:val="1A1A1A"/>
          <w:sz w:val="21"/>
        </w:rPr>
        <w:t>Strukturelle Maßnahmen wie Downscaling, Massenentlassungen oder Beschäftigungsgarantien im Kontext der Transformation sind derzeit nicht erforderlich. Der Übergang erfolgt überwiegend evolutionär und ist in bestehende Organisations- und Arbeitsstrukturen eingebettet.</w:t>
      </w:r>
    </w:p>
    <w:p>
      <w:pPr>
        <w:spacing w:before="0" w:after="80" w:line="276" w:lineRule="auto"/>
      </w:pPr>
      <w:r>
        <w:rPr>
          <w:rFonts w:ascii="Calibri" w:hAnsi="Calibri"/>
          <w:b w:val="0"/>
          <w:i w:val="0"/>
          <w:color w:val="1A1A1A"/>
          <w:sz w:val="21"/>
        </w:rPr>
        <w:t>Darüber hinaus werden relevante externe Entwicklungen, regulatorische Anforderungen und mögliche Auswirkungen der Transformation auf Arbeitsprofile kontinuierlich beobachtet. Erkenntnisse fließen bei Bedarf in die Weiterentwicklung von Qualifizierungsmaßnahmen und Personalprozessen ein. Auf diese Weise wird sichergestellt, dass potenzielle Risiken für Beschäftigte frühzeitig erkannt und angemessen adressiert werden.</w:t>
      </w:r>
    </w:p>
    <w:p>
      <w:pPr>
        <w:pStyle w:val="Heading2"/>
      </w:pPr>
      <w:r>
        <w:t>S1-5 – Ziele zur Bewältigung wesentlicher negativer Auswirkungen, Förderung positiver Auswirkungen und Management von wesentlichen Risiken und Chancen</w:t>
      </w:r>
    </w:p>
    <w:p>
      <w:pPr>
        <w:pStyle w:val="Heading3"/>
      </w:pPr>
      <w:r>
        <w:t>46 – Ziele im Zusammenhang mit eigener Arbeitskräfte (Beschäftigte und Fremdarbeitskräfte)</w:t>
      </w:r>
    </w:p>
    <w:p>
      <w:pPr>
        <w:spacing w:before="0" w:after="80" w:line="276" w:lineRule="auto"/>
      </w:pPr>
      <w:r>
        <w:rPr>
          <w:rFonts w:ascii="Calibri" w:hAnsi="Calibri"/>
          <w:b w:val="0"/>
          <w:i w:val="0"/>
          <w:color w:val="1A1A1A"/>
          <w:sz w:val="21"/>
        </w:rPr>
        <w:t>Ziele im Zusammenhang mit eigener Arbeitskräfte (Beschäftigte und Fremdarbeitskräfte) trifft zu.</w:t>
      </w:r>
    </w:p>
    <w:p>
      <w:pPr>
        <w:spacing w:before="0" w:after="80" w:line="276" w:lineRule="auto"/>
      </w:pPr>
      <w:r>
        <w:rPr>
          <w:rFonts w:ascii="Calibri" w:hAnsi="Calibri"/>
          <w:b w:val="0"/>
          <w:i w:val="0"/>
          <w:color w:val="1A1A1A"/>
          <w:sz w:val="21"/>
        </w:rPr>
        <w:t xml:space="preserve">Die Ziele im Zusammenhang mit den eigenen Arbeitskräften sind in der Nachhaltigkeitsstrategie des Unternehmens verankert und werden dort systematisch behandelt. Sie zielen darauf ab, wesentliche negative Auswirkungen auf Beschäftigte zu vermeiden, positive Wirkungen zu stärken sowie arbeitsbezogene Risiken und Chancen langfristig zu steuern. </w:t>
        <w:br/>
        <w:br/>
        <w:t xml:space="preserve">Im Fokus stehen insbesondere die Sicherung guter Arbeitsbedingungen, der Schutz von Gesundheit und Sicherheit, die Qualifizierung und Entwicklung von Mitarbeitenden und Führungskräften sowie die nachhaltige Bindung und Gewinnung von Fachkräften. Weitere Zielsetzungen betreffen die Förderung von Vielfalt, Chancengleichheit und Inklusion sowie die Stärkung einer wertschätzenden und partizipativen Organisationskultur. </w:t>
        <w:br/>
        <w:br/>
        <w:t>Die Ziele berücksichtigen zudem die Herausforderungen des Fachkräftemarkts und zielen auf eine stabile Personalstruktur sowie auf die Weiterentwicklung von Führungskompetenzen und internen Entwicklungsperspektiven ab. Insgesamt unterstützen die Zielsetzungen eine nachhaltige Organisations- und Personalentwicklung und sind eng mit dem pädagogischen Auftrag und der strategischen Ausrichtung verknüpft.</w:t>
      </w:r>
    </w:p>
    <w:p>
      <w:pPr>
        <w:pStyle w:val="Heading2"/>
      </w:pPr>
      <w:r>
        <w:t>S1-6 – Merkmale der Mitarbeiter des Unternehmens</w:t>
      </w:r>
    </w:p>
    <w:p>
      <w:pPr>
        <w:pStyle w:val="Heading3"/>
      </w:pPr>
      <w:r>
        <w:t>50 – Zusammensetzung der Belegschaft, Fluktuation und Berichtsmethodologien</w:t>
      </w:r>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924</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4.839</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1</w:t>
            </w:r>
          </w:p>
        </w:tc>
      </w:tr>
      <w:tr>
        <w:tc>
          <w:tcPr>
            <w:tcW w:type="dxa" w:w="4533"/>
            <w:shd w:val="clear" w:color="auto" w:fill="FFFFFF"/>
          </w:tcPr>
          <w:p>
            <w:r>
              <w:rPr>
                <w:rFonts w:ascii="Calibri" w:hAnsi="Calibri"/>
                <w:b w:val="0"/>
                <w:i w:val="0"/>
                <w:color w:val="1A1A1A"/>
                <w:sz w:val="18"/>
              </w:rPr>
              <w:t>Gesamte Mitarbeiter</w:t>
            </w:r>
          </w:p>
        </w:tc>
        <w:tc>
          <w:tcPr>
            <w:tcW w:type="dxa" w:w="4533"/>
            <w:shd w:val="clear" w:color="auto" w:fill="FFFFFF"/>
          </w:tcPr>
          <w:p>
            <w:r>
              <w:rPr>
                <w:rFonts w:ascii="Calibri" w:hAnsi="Calibri"/>
                <w:b w:val="0"/>
                <w:i w:val="0"/>
                <w:color w:val="1A1A1A"/>
                <w:sz w:val="18"/>
              </w:rPr>
              <w:t>5.764</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Gesamte Mitarbeiter</w:t>
            </w:r>
          </w:p>
        </w:tc>
        <w:tc>
          <w:tcPr>
            <w:tcW w:type="dxa" w:w="4533"/>
            <w:shd w:val="clear" w:color="auto" w:fill="FFFFFF"/>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Land</w:t>
            </w:r>
          </w:p>
        </w:tc>
        <w:tc>
          <w:tcPr>
            <w:tcW w:type="dxa" w:w="4533"/>
            <w:shd w:val="clear" w:color="auto" w:fill="1C462D"/>
          </w:tcPr>
          <w:p>
            <w:r>
              <w:rPr>
                <w:rFonts w:ascii="Calibri" w:hAnsi="Calibri"/>
                <w:b/>
                <w:i w:val="0"/>
                <w:color w:val="FFFFFF"/>
                <w:sz w:val="18"/>
              </w:rPr>
              <w:t>Anzahl der Mitarbeiter</w:t>
            </w:r>
          </w:p>
        </w:tc>
      </w:tr>
      <w:tr>
        <w:tc>
          <w:tcPr>
            <w:tcW w:type="dxa" w:w="4533"/>
            <w:shd w:val="clear" w:color="auto" w:fill="EBF3EE"/>
          </w:tcPr>
          <w:p>
            <w:r>
              <w:rPr>
                <w:rFonts w:ascii="Calibri" w:hAnsi="Calibri"/>
                <w:b w:val="0"/>
                <w:i w:val="0"/>
                <w:color w:val="1A1A1A"/>
                <w:sz w:val="18"/>
              </w:rPr>
              <w:t>0</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Land</w:t>
            </w:r>
          </w:p>
        </w:tc>
        <w:tc>
          <w:tcPr>
            <w:tcW w:type="dxa" w:w="4533"/>
            <w:shd w:val="clear" w:color="auto" w:fill="1C462D"/>
          </w:tcPr>
          <w:p>
            <w:r>
              <w:rPr>
                <w:rFonts w:ascii="Calibri" w:hAnsi="Calibri"/>
                <w:b/>
                <w:i w:val="0"/>
                <w:color w:val="FFFFFF"/>
                <w:sz w:val="18"/>
              </w:rPr>
              <w:t>Anzahl der Mitarbeiter</w:t>
            </w:r>
          </w:p>
        </w:tc>
      </w:tr>
      <w:tr>
        <w:tc>
          <w:tcPr>
            <w:tcW w:type="dxa" w:w="4533"/>
            <w:shd w:val="clear" w:color="auto" w:fill="EBF3EE"/>
          </w:tcPr>
          <w:p>
            <w:r>
              <w:rPr>
                <w:rFonts w:ascii="Calibri" w:hAnsi="Calibri"/>
                <w:b w:val="0"/>
                <w:i w:val="0"/>
                <w:color w:val="1A1A1A"/>
                <w:sz w:val="18"/>
              </w:rPr>
              <w:t>0</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in</w:t>
            </w:r>
          </w:p>
        </w:tc>
        <w:tc>
          <w:tcPr>
            <w:tcW w:type="dxa" w:w="4533"/>
            <w:shd w:val="clear" w:color="auto" w:fill="EBF3EE"/>
          </w:tcPr>
          <w:p>
            <w:r>
              <w:rPr>
                <w:rFonts w:ascii="Calibri" w:hAnsi="Calibri"/>
                <w:b w:val="0"/>
                <w:i w:val="0"/>
                <w:color w:val="1A1A1A"/>
                <w:sz w:val="18"/>
              </w:rPr>
              <w:t>Personenzahl</w:t>
            </w:r>
          </w:p>
        </w:tc>
      </w:tr>
      <w:tr>
        <w:tc>
          <w:tcPr>
            <w:tcW w:type="dxa" w:w="4533"/>
            <w:shd w:val="clear" w:color="auto" w:fill="FFFFFF"/>
          </w:tcPr>
          <w:p>
            <w:r>
              <w:rPr>
                <w:rFonts w:ascii="Calibri" w:hAnsi="Calibri"/>
                <w:b w:val="0"/>
                <w:i w:val="0"/>
                <w:color w:val="1A1A1A"/>
                <w:sz w:val="18"/>
              </w:rPr>
              <w:t>Anzahl der weiblichen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weiblichen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Diverese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diversen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festen Mitarbeiter,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befristeten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Mitarbeiter mit nicht garantierten Stunden,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Mitarbeiter mit nicht garantierten Stunden</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in</w:t>
            </w:r>
          </w:p>
        </w:tc>
        <w:tc>
          <w:tcPr>
            <w:tcW w:type="dxa" w:w="4533"/>
            <w:shd w:val="clear" w:color="auto" w:fill="EBF3EE"/>
          </w:tcPr>
          <w:p>
            <w:r>
              <w:rPr>
                <w:rFonts w:ascii="Calibri" w:hAnsi="Calibri"/>
                <w:b w:val="0"/>
                <w:i w:val="0"/>
                <w:color w:val="1A1A1A"/>
                <w:sz w:val="18"/>
              </w:rPr>
              <w:t>Personenzahl</w:t>
            </w:r>
          </w:p>
        </w:tc>
      </w:tr>
      <w:tr>
        <w:tc>
          <w:tcPr>
            <w:tcW w:type="dxa" w:w="4533"/>
            <w:shd w:val="clear" w:color="auto" w:fill="FFFFFF"/>
          </w:tcPr>
          <w:p>
            <w:r>
              <w:rPr>
                <w:rFonts w:ascii="Calibri" w:hAnsi="Calibri"/>
                <w:b w:val="0"/>
                <w:i w:val="0"/>
                <w:color w:val="1A1A1A"/>
                <w:sz w:val="18"/>
              </w:rPr>
              <w:t>Anzahl der weiblichen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weiblichen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Diverese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diversen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festen Mitarbeiter,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befristeten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Mitarbeiter mit nicht garantierten Stunden,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Mitarbeiter mit nicht garantierten Stunden</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Der berichtete Wert für zusammensetzung der Belegschaft, Fluktuation und Berichtsmethodologien beträgt 1.163.</w:t>
      </w:r>
    </w:p>
    <w:p>
      <w:pPr>
        <w:spacing w:before="0" w:after="80" w:line="276" w:lineRule="auto"/>
      </w:pPr>
      <w:r>
        <w:rPr>
          <w:rFonts w:ascii="Calibri" w:hAnsi="Calibri"/>
          <w:b w:val="0"/>
          <w:i w:val="0"/>
          <w:color w:val="1A1A1A"/>
          <w:sz w:val="21"/>
        </w:rPr>
        <w:t>Der berichtete Wert für zusammensetzung der Belegschaft, Fluktuation und Berichtsmethodologien beträgt 20,9.</w:t>
      </w:r>
    </w:p>
    <w:p>
      <w:pPr>
        <w:spacing w:before="0" w:after="80" w:line="276" w:lineRule="auto"/>
      </w:pPr>
      <w:r>
        <w:rPr>
          <w:rFonts w:ascii="Calibri" w:hAnsi="Calibri"/>
          <w:b w:val="0"/>
          <w:i w:val="0"/>
          <w:color w:val="1A1A1A"/>
          <w:sz w:val="21"/>
        </w:rPr>
        <w:t>Die Daten wurden aus der Personalmanagement Software ermittelt.</w:t>
      </w:r>
    </w:p>
    <w:p>
      <w:pPr>
        <w:spacing w:before="0" w:after="80" w:line="276" w:lineRule="auto"/>
      </w:pPr>
      <w:r>
        <w:rPr>
          <w:rFonts w:ascii="Calibri" w:hAnsi="Calibri"/>
          <w:b w:val="0"/>
          <w:i w:val="0"/>
          <w:color w:val="1A1A1A"/>
          <w:sz w:val="21"/>
        </w:rPr>
        <w:t>Personenzahl</w:t>
      </w:r>
    </w:p>
    <w:p>
      <w:pPr>
        <w:spacing w:before="0" w:after="80" w:line="276" w:lineRule="auto"/>
      </w:pPr>
      <w:r>
        <w:rPr>
          <w:rFonts w:ascii="Calibri" w:hAnsi="Calibri"/>
          <w:b w:val="0"/>
          <w:i w:val="0"/>
          <w:color w:val="1A1A1A"/>
          <w:sz w:val="21"/>
        </w:rPr>
        <w:t>Andere Methodik</w:t>
      </w:r>
    </w:p>
    <w:p>
      <w:pPr>
        <w:spacing w:before="0" w:after="80" w:line="276" w:lineRule="auto"/>
      </w:pPr>
      <w:r>
        <w:rPr>
          <w:rFonts w:ascii="Calibri" w:hAnsi="Calibri"/>
          <w:b w:val="0"/>
          <w:i w:val="0"/>
          <w:color w:val="1A1A1A"/>
          <w:sz w:val="21"/>
        </w:rPr>
        <w:t>keine</w:t>
      </w:r>
    </w:p>
    <w:p>
      <w:pPr>
        <w:spacing w:before="0" w:after="80" w:line="276" w:lineRule="auto"/>
      </w:pPr>
      <w:r>
        <w:rPr>
          <w:rFonts w:ascii="Calibri" w:hAnsi="Calibri"/>
          <w:b w:val="0"/>
          <w:i w:val="0"/>
          <w:color w:val="1A1A1A"/>
          <w:sz w:val="21"/>
        </w:rPr>
        <w:t>Nein, Konsolidierungskreis in Nachhaltigkeit weicht geringfügig ab.</w:t>
      </w:r>
    </w:p>
    <w:p>
      <w:pPr>
        <w:pStyle w:val="Heading2"/>
      </w:pPr>
      <w:r>
        <w:t>S1-9 – Diversitätsmetriken</w:t>
      </w:r>
    </w:p>
    <w:p>
      <w:pPr>
        <w:pStyle w:val="Heading3"/>
      </w:pPr>
      <w:r>
        <w:t>66 – Belegschaftsdemografie: Geschlechter- und Altersverteilung</w:t>
      </w:r>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w:t>
            </w:r>
          </w:p>
        </w:tc>
        <w:tc>
          <w:tcPr>
            <w:tcW w:type="dxa" w:w="4533"/>
            <w:shd w:val="clear" w:color="auto" w:fill="1C462D"/>
          </w:tcPr>
          <w:p>
            <w:r>
              <w:rPr>
                <w:rFonts w:ascii="Calibri" w:hAnsi="Calibri"/>
                <w:b/>
                <w:i w:val="0"/>
                <w:color w:val="FFFFFF"/>
                <w:sz w:val="18"/>
              </w:rPr>
              <w:t>Anzahl</w:t>
            </w:r>
          </w:p>
        </w:tc>
      </w:tr>
      <w:tr>
        <w:tc>
          <w:tcPr>
            <w:tcW w:type="dxa" w:w="4533"/>
            <w:shd w:val="clear" w:color="auto" w:fill="EBF3EE"/>
          </w:tcPr>
          <w:p>
            <w:r>
              <w:rPr>
                <w:rFonts w:ascii="Calibri" w:hAnsi="Calibri"/>
                <w:b w:val="0"/>
                <w:i w:val="0"/>
                <w:color w:val="1A1A1A"/>
                <w:sz w:val="18"/>
              </w:rPr>
              <w:t>Weiblich</w:t>
            </w:r>
          </w:p>
        </w:tc>
        <w:tc>
          <w:tcPr>
            <w:tcW w:type="dxa" w:w="4533"/>
            <w:shd w:val="clear" w:color="auto" w:fill="EBF3EE"/>
          </w:tcPr>
          <w:p>
            <w:r>
              <w:rPr>
                <w:rFonts w:ascii="Calibri" w:hAnsi="Calibri"/>
                <w:b w:val="0"/>
                <w:i w:val="0"/>
                <w:color w:val="1A1A1A"/>
                <w:sz w:val="18"/>
              </w:rPr>
              <w:t>4.839</w:t>
            </w:r>
          </w:p>
        </w:tc>
      </w:tr>
      <w:tr>
        <w:tc>
          <w:tcPr>
            <w:tcW w:type="dxa" w:w="4533"/>
            <w:shd w:val="clear" w:color="auto" w:fill="FFFFFF"/>
          </w:tcPr>
          <w:p>
            <w:r>
              <w:rPr>
                <w:rFonts w:ascii="Calibri" w:hAnsi="Calibri"/>
                <w:b w:val="0"/>
                <w:i w:val="0"/>
                <w:color w:val="1A1A1A"/>
                <w:sz w:val="18"/>
              </w:rPr>
              <w:t>Männlich</w:t>
            </w:r>
          </w:p>
        </w:tc>
        <w:tc>
          <w:tcPr>
            <w:tcW w:type="dxa" w:w="4533"/>
            <w:shd w:val="clear" w:color="auto" w:fill="FFFFFF"/>
          </w:tcPr>
          <w:p>
            <w:r>
              <w:rPr>
                <w:rFonts w:ascii="Calibri" w:hAnsi="Calibri"/>
                <w:b w:val="0"/>
                <w:i w:val="0"/>
                <w:color w:val="1A1A1A"/>
                <w:sz w:val="18"/>
              </w:rPr>
              <w:t>924</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1</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w:t>
            </w:r>
          </w:p>
        </w:tc>
        <w:tc>
          <w:tcPr>
            <w:tcW w:type="dxa" w:w="4533"/>
            <w:shd w:val="clear" w:color="auto" w:fill="1C462D"/>
          </w:tcPr>
          <w:p>
            <w:r>
              <w:rPr>
                <w:rFonts w:ascii="Calibri" w:hAnsi="Calibri"/>
                <w:b/>
                <w:i w:val="0"/>
                <w:color w:val="FFFFFF"/>
                <w:sz w:val="18"/>
              </w:rPr>
              <w:t>Anteil</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53,3 %</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46,7 %</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1.403</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24,3 %</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3.213</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55,7 %</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1.148</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19,9 %</w:t>
            </w:r>
          </w:p>
        </w:tc>
      </w:tr>
    </w:tbl>
    <w:p/>
    <w:p>
      <w:pPr>
        <w:pStyle w:val="Heading3"/>
      </w:pPr>
      <w:r>
        <w:t>AR 71 – Definition der obersten Führungsebene</w:t>
      </w:r>
    </w:p>
    <w:p>
      <w:pPr>
        <w:spacing w:before="0" w:after="80" w:line="276" w:lineRule="auto"/>
      </w:pPr>
      <w:r>
        <w:rPr>
          <w:rFonts w:ascii="Calibri" w:hAnsi="Calibri"/>
          <w:b w:val="0"/>
          <w:i w:val="0"/>
          <w:color w:val="1A1A1A"/>
          <w:sz w:val="21"/>
        </w:rPr>
        <w:t>Fröbel definiert die oberste Führungsebene als Geschäftsführung und Bereichsleitungen. Diese Definition entspricht der organisatorischen Realität des Unternehmens und liegt ein bis zwei Ebenen unterhalb des Aufsichtsrats. Auf dieser Ebene werden wesentliche strategische, personelle und operative Entscheidungen getroffen.</w:t>
      </w:r>
    </w:p>
    <w:p>
      <w:pPr>
        <w:pStyle w:val="Heading2"/>
      </w:pPr>
      <w:r>
        <w:t>S1-16 – Vergütungsmetriken (Lohnlücke und Gesamtvergütung)</w:t>
      </w:r>
    </w:p>
    <w:p>
      <w:pPr>
        <w:pStyle w:val="Heading3"/>
      </w:pPr>
      <w:r>
        <w:t>97 – Vergütungs- und Lohngleichheitskennzahlen</w:t>
      </w:r>
    </w:p>
    <w:p>
      <w:pPr>
        <w:spacing w:before="0" w:after="80" w:line="276" w:lineRule="auto"/>
      </w:pPr>
      <w:r>
        <w:rPr>
          <w:rFonts w:ascii="Calibri" w:hAnsi="Calibri"/>
          <w:b w:val="0"/>
          <w:i w:val="0"/>
          <w:color w:val="1A1A1A"/>
          <w:sz w:val="21"/>
        </w:rPr>
        <w:t>70,4, 1,1, 75,02, 5,4</w:t>
      </w:r>
    </w:p>
    <w:p>
      <w:pPr>
        <w:spacing w:before="0" w:after="80" w:line="276" w:lineRule="auto"/>
      </w:pPr>
      <w:r>
        <w:rPr>
          <w:rFonts w:ascii="Calibri" w:hAnsi="Calibri"/>
          <w:b w:val="0"/>
          <w:i w:val="0"/>
          <w:color w:val="1A1A1A"/>
          <w:sz w:val="21"/>
        </w:rPr>
        <w:t>Für vergütungs- und Lohngleichheitskennzahlen werden im Berichtsjahr 100 ausgewiesen.</w:t>
      </w:r>
    </w:p>
    <w:p>
      <w:pPr>
        <w:spacing w:before="0" w:after="80" w:line="276" w:lineRule="auto"/>
      </w:pPr>
      <w:r>
        <w:rPr>
          <w:rFonts w:ascii="Calibri" w:hAnsi="Calibri"/>
          <w:b w:val="0"/>
          <w:i w:val="0"/>
          <w:color w:val="1A1A1A"/>
          <w:sz w:val="21"/>
        </w:rPr>
        <w:t>Ohne Auszubildende, geringfügig Beschäftigte oder Mini-Jobler Für die Bestimmung des Medians würden nur Personen berücksichtigt die im gesamten Berichtszeitraum beschäftigt waren.</w:t>
      </w:r>
    </w:p>
    <w:p>
      <w:pPr>
        <w:spacing w:before="0" w:after="80" w:line="276" w:lineRule="auto"/>
      </w:pPr>
      <w:r>
        <w:rPr>
          <w:rFonts w:ascii="Calibri" w:hAnsi="Calibri"/>
          <w:b w:val="0"/>
          <w:i w:val="0"/>
          <w:color w:val="1A1A1A"/>
          <w:sz w:val="21"/>
        </w:rPr>
        <w:t xml:space="preserve">97a - 1.: AT IST-Zahlen  </w:t>
        <w:br/>
        <w:t xml:space="preserve">97a - 2.:  HTV --&gt; Der Wert bedeutet nach der Logik " Prozentsatz des Durchschnittseinkommens männlicher Beschäftigter." eigentlich 101,1%. Im Tool kann allerdings kein Wert höher als 100 eingetragen werden. Mit anderen Worten: In dieser Kategorie verdienen weibliche Mitarbeiter 1,1% mehr als  männlicher Mitarbeiter. </w:t>
        <w:br/>
        <w:t>97a - 3.:  AT Auf Vollzeit hochgerechnet</w:t>
        <w:br/>
        <w:t xml:space="preserve">97a - 4.:  HTV Auf Vollzeit hochgerechnet -&gt; Der Wert bedeutet nach der Logik " Prozentsatz des Durchschnittseinkommens männlicher Beschäftigter." eigentlich 105,4 %. Im Tool kann allerdings kein Wert höher als 100 eingetragen werden. Mit anderen Worten: In dieser Kategorie verdienen weibliche Mitarbeiter 5,4 % mehr als  männlicher Mitarbeiter. </w:t>
        <w:br/>
        <w:br/>
        <w:t xml:space="preserve">AT = Außertariflich </w:t>
        <w:br/>
        <w:t xml:space="preserve">HTV = Haustarifvertrag Fröbel </w:t>
        <w:br/>
        <w:br/>
        <w:t xml:space="preserve">97b = 535% im Verhältnis zu AT und HTV zusammen. Wert hochgerechnet auf Vollzeit wird nachgereicht (Im Tool ist eine Eingabe größer 100% aktuell nicht möglich. Im Bericht wird der richtige Wert angegeben. </w:t>
        <w:br/>
        <w:t>97b: Auf Vollzeit hochgerechnet beträgt der Wert 470%</w:t>
      </w:r>
    </w:p>
    <w:p>
      <w:pPr>
        <w:pStyle w:val="Heading2"/>
      </w:pPr>
      <w:r>
        <w:t>S2 - SBM-2 (ESRS 2)</w:t>
      </w:r>
    </w:p>
    <w:p>
      <w:pPr>
        <w:pStyle w:val="Heading2"/>
      </w:pPr>
      <w:r>
        <w:t>S2 - SBM-3 (ESRS 2)</w:t>
      </w:r>
    </w:p>
    <w:p>
      <w:pPr>
        <w:pStyle w:val="Heading2"/>
      </w:pPr>
      <w:r>
        <w:t>S3 - SBM-2 (ESRS 2)</w:t>
      </w:r>
    </w:p>
    <w:p>
      <w:pPr>
        <w:pStyle w:val="Heading2"/>
      </w:pPr>
      <w:r>
        <w:t>S3 - SBM-3 (ESRS 2)</w:t>
      </w:r>
    </w:p>
    <w:p>
      <w:pPr>
        <w:pStyle w:val="Heading2"/>
      </w:pPr>
      <w:r>
        <w:t>S4 - SBM-2 (ESRS 2)</w:t>
      </w:r>
    </w:p>
    <w:p>
      <w:pPr>
        <w:pStyle w:val="Heading2"/>
      </w:pPr>
      <w:r>
        <w:t>S4 - SBM-3 (ESRS 2)</w:t>
      </w:r>
    </w:p>
    <w:p>
      <w:pPr>
        <w:pStyle w:val="Heading2"/>
      </w:pPr>
      <w:r>
        <w:t>S4-1 – Richtlinien zu Verbrauchern und Endnutzern</w:t>
      </w:r>
    </w:p>
    <w:p>
      <w:pPr>
        <w:pStyle w:val="Heading3"/>
      </w:pPr>
      <w:r>
        <w:t>15 – Richtlinien zur Bewältigung wesentlicher Auswirkungen, Risiken und Chancen im Zusammenhang mit Verbrauchern und/oder Endnutzern</w:t>
      </w:r>
    </w:p>
    <w:p>
      <w:pPr>
        <w:spacing w:before="0" w:after="80" w:line="276" w:lineRule="auto"/>
      </w:pPr>
      <w:r>
        <w:rPr>
          <w:rFonts w:ascii="Calibri" w:hAnsi="Calibri"/>
          <w:b w:val="0"/>
          <w:i w:val="0"/>
          <w:color w:val="1A1A1A"/>
          <w:sz w:val="21"/>
        </w:rPr>
        <w:t>Richtlinien zur Bewältigung wesentlicher Auswirkungen, Risiken und Chancen im Zusammenhang mit Verbrauchern und/oder Endnutzern trifft zu.</w:t>
      </w:r>
    </w:p>
    <w:p>
      <w:pPr>
        <w:spacing w:before="0" w:after="80" w:line="276" w:lineRule="auto"/>
      </w:pPr>
      <w:r>
        <w:rPr>
          <w:rFonts w:ascii="Calibri" w:hAnsi="Calibri"/>
          <w:b w:val="0"/>
          <w:i w:val="0"/>
          <w:color w:val="1A1A1A"/>
          <w:sz w:val="21"/>
        </w:rPr>
        <w:t>Fröbel verfügt über verbindliche Richtlinien und Konzepte, die sich unmittelbar auf Kinder und ihre Familien als zentrale Verbraucher und Endnutzer der angebotenen Dienstleistungen beziehen.</w:t>
      </w:r>
    </w:p>
    <w:p>
      <w:pPr>
        <w:spacing w:before="0" w:after="80" w:line="276" w:lineRule="auto"/>
      </w:pPr>
      <w:r>
        <w:rPr>
          <w:rFonts w:ascii="Calibri" w:hAnsi="Calibri"/>
          <w:b w:val="0"/>
          <w:i w:val="0"/>
          <w:color w:val="1A1A1A"/>
          <w:sz w:val="21"/>
        </w:rPr>
        <w:t>Ein zentraler Baustein ist das Fröbel-Kinderschutz- und Kinderrechtekonzept (Stand 2023). Es umfasst präventive Maßnahmen, klare Zuständigkeiten, definierte Melde- und Eskalationsketten sowie Verfahren zum Krisen- und Risikomanagement. Verbindliche Arbeitsgrundlagen sind der Fröbel-Kinderschutzordner sowie das Handbuch Schutzkonzepte, in dem unter anderem altersgerechte Beschwerdeverfahren für Kinder beschrieben sind. Ergänzend bestehen ein standardisiertes internes Verfahren bei Hinweisen auf sexualisierte Gewalt durch Fachkräfte (institutioneller Kinderschutz) sowie ein verpflichtendes Ereignismeldesystem. Alle Einrichtungen sind verpflichtet, ein einrichtungsspezifisches Schutzkonzept gemäß § 45 SGB VIII zu entwickeln, anzuwenden und regelmäßig zu überprüfen.</w:t>
      </w:r>
    </w:p>
    <w:p>
      <w:pPr>
        <w:spacing w:before="0" w:after="80" w:line="276" w:lineRule="auto"/>
      </w:pPr>
      <w:r>
        <w:rPr>
          <w:rFonts w:ascii="Calibri" w:hAnsi="Calibri"/>
          <w:b w:val="0"/>
          <w:i w:val="0"/>
          <w:color w:val="1A1A1A"/>
          <w:sz w:val="21"/>
        </w:rPr>
        <w:t>Darüber hinaus sind im pädagogischen Leitbild, der Fröbel-Rahmenkonzeption sowie im Qualitätshandbuch verbindliche Standards zu Bildung, Betreuung, Gesundheit, Hygiene und Sicherheit, Partizipation sowie zu Beschwerdemöglichkeiten für Kinder und Familien festgelegt. Ergänzt werden diese durch einen Fröbel-Standard zu Partizipation und Beschwerdeverfahren, der die aktive Einbindung von Kindern und Familien strukturell absichert.</w:t>
      </w:r>
    </w:p>
    <w:p>
      <w:pPr>
        <w:spacing w:before="0" w:after="80" w:line="276" w:lineRule="auto"/>
      </w:pPr>
      <w:r>
        <w:rPr>
          <w:rFonts w:ascii="Calibri" w:hAnsi="Calibri"/>
          <w:b w:val="0"/>
          <w:i w:val="0"/>
          <w:color w:val="1A1A1A"/>
          <w:sz w:val="21"/>
        </w:rPr>
        <w:t>Zum Schutz vor Benachteiligung und Ausgrenzung bestehen Regelungen zu Nicht-Diskriminierung, Vielfalt und Inklusion, die auch in der Compliance-Richtlinie verankert sind. Diese untersagen jede Form von Diskriminierung, Gewalt oder Machtmissbrauch und gelten ausdrücklich auch im Umgang mit Kindern, Familien und Sorgeberechtigten. Über festgelegte interne Melde- und Beschwerdemechanismen können entsprechende Hinweise vertraulich eingebracht und bearbeitet werden.</w:t>
      </w:r>
    </w:p>
    <w:p>
      <w:pPr>
        <w:spacing w:before="0" w:after="80" w:line="276" w:lineRule="auto"/>
      </w:pPr>
      <w:r>
        <w:rPr>
          <w:rFonts w:ascii="Calibri" w:hAnsi="Calibri"/>
          <w:b w:val="0"/>
          <w:i w:val="0"/>
          <w:color w:val="1A1A1A"/>
          <w:sz w:val="21"/>
        </w:rPr>
        <w:t>Der Schutz personenbezogener Daten von Kindern und Familien ist durch eine Datenschutzrichtlinie sowie ergänzende datenschutzrechtliche Prozesse sichergestellt, die den verantwortungsvollen Umgang mit sensiblen Informationen im pädagogischen Alltag regeln.</w:t>
      </w:r>
    </w:p>
    <w:p>
      <w:pPr>
        <w:spacing w:before="0" w:after="80" w:line="276" w:lineRule="auto"/>
      </w:pPr>
      <w:r>
        <w:rPr>
          <w:rFonts w:ascii="Calibri" w:hAnsi="Calibri"/>
          <w:b w:val="0"/>
          <w:i w:val="0"/>
          <w:color w:val="1A1A1A"/>
          <w:sz w:val="21"/>
        </w:rPr>
        <w:t>Ergänzend tragen der Leitfaden für Küchenteams sowie verbindliche Gesundheits- und Verpflegungsstandards dazu bei, das Wohlbefinden, die Gesundheit und die altersgerechte Versorgung der Kinder sicherzustellen.</w:t>
      </w:r>
    </w:p>
    <w:p>
      <w:pPr>
        <w:pStyle w:val="Heading2"/>
      </w:pPr>
      <w:r>
        <w:t>S4-2 – Prozesse zur Einbindung von Verbrauchern und Endnutzern in Bezug auf Auswirkungen</w:t>
      </w:r>
    </w:p>
    <w:p>
      <w:pPr>
        <w:pStyle w:val="Heading3"/>
      </w:pPr>
      <w:r>
        <w:t>20 – Einfluss der Sichtweisen von Verbrauchern und/oder Endnutzern auf Unternehmensentscheidungen</w:t>
      </w:r>
    </w:p>
    <w:p>
      <w:pPr>
        <w:spacing w:before="0" w:after="80" w:line="276" w:lineRule="auto"/>
      </w:pPr>
      <w:r>
        <w:rPr>
          <w:rFonts w:ascii="Calibri" w:hAnsi="Calibri"/>
          <w:b w:val="0"/>
          <w:i w:val="0"/>
          <w:color w:val="1A1A1A"/>
          <w:sz w:val="21"/>
        </w:rPr>
        <w:t>Die Sichtweisen von Kindern und ihren Familien werden bei Fröbel auf mehreren strukturierten Ebenen systematisch in Entscheidungen einbezogen, die tatsächliche und potenzielle Auswirkungen auf Verbraucher und Endnutzer betreffen.</w:t>
      </w:r>
    </w:p>
    <w:p>
      <w:pPr>
        <w:spacing w:before="0" w:after="80" w:line="276" w:lineRule="auto"/>
      </w:pPr>
      <w:r>
        <w:rPr>
          <w:rFonts w:ascii="Calibri" w:hAnsi="Calibri"/>
          <w:b w:val="0"/>
          <w:i w:val="0"/>
          <w:color w:val="1A1A1A"/>
          <w:sz w:val="21"/>
        </w:rPr>
        <w:t>Auf Ebene der Einrichtungen ist die Partizipation von Kindern verbindlich verankert. Alters- und entwicklungsgerechte Beteiligungsformate wie Kinderkonferenzen, alltagsintegrierte Beteiligung, Beobachtungsverfahren sowie kindgerechte Beschwerdewege ermöglichen es, Bedürfnisse, Interessen und Belastungen frühzeitig zu erkennen. Die daraus gewonnenen Erkenntnisse werden regelmäßig in teaminterne Entscheidungen sowie in die Weiterentwicklung pädagogischer Konzepte und Abläufe einbezogen.</w:t>
      </w:r>
    </w:p>
    <w:p>
      <w:pPr>
        <w:spacing w:before="0" w:after="80" w:line="276" w:lineRule="auto"/>
      </w:pPr>
      <w:r>
        <w:rPr>
          <w:rFonts w:ascii="Calibri" w:hAnsi="Calibri"/>
          <w:b w:val="0"/>
          <w:i w:val="0"/>
          <w:color w:val="1A1A1A"/>
          <w:sz w:val="21"/>
        </w:rPr>
        <w:t>Die Perspektiven der Familien fließen über verschiedene strukturierte Rückmeldeformate ein. Dazu zählen regelmäßige Elternbefragungen, Entwicklungsgespräche, Feedbackmöglichkeiten im Alltag sowie formalisierte Beteiligungsstrukturen wie Elternvertretungen. Die ausgewerteten Rückmeldungen werden auf Einrichtungs-, regionaler und Trägerebene berücksichtigt und können unter anderem zu Anpassungen von Öffnungszeiten, Verpflegungskonzepten, Raumgestaltung, Kommunikationsformen oder pädagogischen Angeboten führen.</w:t>
      </w:r>
    </w:p>
    <w:p>
      <w:pPr>
        <w:spacing w:before="0" w:after="80" w:line="276" w:lineRule="auto"/>
      </w:pPr>
      <w:r>
        <w:rPr>
          <w:rFonts w:ascii="Calibri" w:hAnsi="Calibri"/>
          <w:b w:val="0"/>
          <w:i w:val="0"/>
          <w:color w:val="1A1A1A"/>
          <w:sz w:val="21"/>
        </w:rPr>
        <w:t>Ein weiterer zentraler Einflussfaktor sind Hinweise aus Kinderschutz- und Beschwerdeverfahren. Meldungen und Beobachtungen, die über etablierte Meldewege eingehen, werden unter Einbindung der Fachabteilung Kinderschutz sowie der insoweit erfahrenen Fachkräfte analysiert. Die daraus abgeleiteten Erkenntnisse fließen in Entscheidungen zur Prävention, zur Weiterentwicklung von Schutzkonzepten, zu Schulungsinhalten sowie zu organisatorischen und strukturellen Maßnahmen ein.</w:t>
      </w:r>
    </w:p>
    <w:p>
      <w:pPr>
        <w:spacing w:before="0" w:after="80" w:line="276" w:lineRule="auto"/>
      </w:pPr>
      <w:r>
        <w:rPr>
          <w:rFonts w:ascii="Calibri" w:hAnsi="Calibri"/>
          <w:b w:val="0"/>
          <w:i w:val="0"/>
          <w:color w:val="1A1A1A"/>
          <w:sz w:val="21"/>
        </w:rPr>
        <w:t>Ergänzend werden im Rahmen des Qualitätsmanagements Rückmeldungen von Kindern und Familien systematisch ausgewertet. Dazu gehören externe Evaluationen, Peer-Reviews, die Erhebung der Kinderperspektive, pädagogische Qualitätsberichte sowie strukturierte Qualitätsdialoge (z. B. 360-Grad-Gespräche). Die gewonnenen Erkenntnisse werden dokumentiert und bei der Weiterentwicklung von Richtlinien, pädagogischen Konzepten und Unterstützungsangeboten auf Trägerebene berücksichtigt.</w:t>
      </w:r>
    </w:p>
    <w:p>
      <w:pPr>
        <w:spacing w:before="0" w:after="80" w:line="276" w:lineRule="auto"/>
      </w:pPr>
      <w:r>
        <w:rPr>
          <w:rFonts w:ascii="Calibri" w:hAnsi="Calibri"/>
          <w:b w:val="0"/>
          <w:i w:val="0"/>
          <w:color w:val="1A1A1A"/>
          <w:sz w:val="21"/>
        </w:rPr>
        <w:t>Direkt</w:t>
      </w:r>
    </w:p>
    <w:p>
      <w:pPr>
        <w:spacing w:before="0" w:after="80" w:line="276" w:lineRule="auto"/>
      </w:pPr>
      <w:r>
        <w:rPr>
          <w:rFonts w:ascii="Calibri" w:hAnsi="Calibri"/>
          <w:b w:val="0"/>
          <w:i w:val="0"/>
          <w:color w:val="1A1A1A"/>
          <w:sz w:val="21"/>
        </w:rPr>
        <w:t>Die Einbeziehung von Verbraucher:innen und Endnutzer:innen – Kindern und ihren Familien – erfolgt bei Fröbel kontinuierlich, mehrstufig und phasenabhängig entlang des pädagogischen Alltags sowie in Organisations-, Qualitäts- und Konzeptentwicklungsprozessen. Dabei wird zwischen fortlaufender Beteiligung, regelmäßig strukturierten Formaten und anlassbezogener Einbindung unterschieden.</w:t>
      </w:r>
    </w:p>
    <w:p>
      <w:pPr>
        <w:spacing w:before="0" w:after="80" w:line="276" w:lineRule="auto"/>
      </w:pPr>
      <w:r>
        <w:rPr>
          <w:rFonts w:ascii="Calibri" w:hAnsi="Calibri"/>
          <w:b w:val="0"/>
          <w:i w:val="0"/>
          <w:color w:val="1A1A1A"/>
          <w:sz w:val="21"/>
        </w:rPr>
        <w:t>Kontinuierliche Einbindung im pädagogischen Alltag: Kinder werden fortlaufend in Entscheidungen einbezogen, die ihren Alltag betreffen. Dies geschieht unter anderem durch pädagogische Beobachtungen, dialogische Rückmeldesituationen, Kinderkonferenzen sowie durch alters- und entwicklungsangemessene Formen der Mit- und Selbstbestimmung. Die gewonnenen Perspektiven fließen unmittelbar in teaminterne Abstimmungen und pädagogische Entscheidungen ein.</w:t>
      </w:r>
    </w:p>
    <w:p>
      <w:pPr>
        <w:spacing w:before="0" w:after="80" w:line="276" w:lineRule="auto"/>
      </w:pPr>
      <w:r>
        <w:rPr>
          <w:rFonts w:ascii="Calibri" w:hAnsi="Calibri"/>
          <w:b w:val="0"/>
          <w:i w:val="0"/>
          <w:color w:val="1A1A1A"/>
          <w:sz w:val="21"/>
        </w:rPr>
        <w:t>Regelmäßige formalisierte Einbindung von Familien (mehrmals pro Jahr): Familien werden in festen Abständen über strukturierte Formate beteiligt, darunter Entwicklungsgespräche, Familieninformationsveranstaltungen, systematische Befragungen sowie etablierte Beschwerde- und Feedbackverfahren. Diese Rückmeldungen werden auf Einrichtungs- und Trägerebene ausgewertet und bei Anpassungen von Angeboten, Abläufen und Rahmenbedingungen berücksichtigt.</w:t>
      </w:r>
    </w:p>
    <w:p>
      <w:pPr>
        <w:spacing w:before="0" w:after="80" w:line="276" w:lineRule="auto"/>
      </w:pPr>
      <w:r>
        <w:rPr>
          <w:rFonts w:ascii="Calibri" w:hAnsi="Calibri"/>
          <w:b w:val="0"/>
          <w:i w:val="0"/>
          <w:color w:val="1A1A1A"/>
          <w:sz w:val="21"/>
        </w:rPr>
        <w:t>Anlassbezogene Beteiligung bei spezifischen Fragestellungen: Bei besonderen Ereignissen oder Entwicklungsphasen – etwa bei Eingewöhnungen, konzeptionellen Weiterentwicklungen, Standortveränderungen oder kinderschutzrelevanten Anlässen – erfolgt eine gezielte und vertiefte Einbindung von Familien. In diesen Phasen wirken zusätzlich Fachberatungen sowie pädagogische Fachabteilungen unterstützend und einordnend mit.</w:t>
      </w:r>
    </w:p>
    <w:p>
      <w:pPr>
        <w:spacing w:before="0" w:after="80" w:line="276" w:lineRule="auto"/>
      </w:pPr>
      <w:r>
        <w:rPr>
          <w:rFonts w:ascii="Calibri" w:hAnsi="Calibri"/>
          <w:b w:val="0"/>
          <w:i w:val="0"/>
          <w:color w:val="1A1A1A"/>
          <w:sz w:val="21"/>
        </w:rPr>
        <w:t>Strategische Einbindung in Qualitätsentwicklung und Evaluation: Erkenntnisse aus Fröbel-weiten Familienbefragungen (jährlich), aus externen Evaluationen (in mehrjährigen Abständen), aus Peer-Reviews, der Erhebung der Kinderperspektive sowie aus 360-Grad-Gesprächen als Qualitätsdialoge werden systematisch ausgewertet. Diese Ergebnisse fließen in Entscheidungen zur Weiterentwicklung von Qualitätsstandards, Konzepten und Unterstützungsstrukturen auf Einrichtungs- und Trägerebene ein.</w:t>
      </w:r>
    </w:p>
    <w:p>
      <w:pPr>
        <w:spacing w:before="0" w:after="80" w:line="276" w:lineRule="auto"/>
      </w:pPr>
      <w:r>
        <w:rPr>
          <w:rFonts w:ascii="Calibri" w:hAnsi="Calibri"/>
          <w:b w:val="0"/>
          <w:i w:val="0"/>
          <w:color w:val="1A1A1A"/>
          <w:sz w:val="21"/>
        </w:rPr>
        <w:t>Die operative Verantwortung für die Einbeziehung von Kindern als Endnutzer:innen sowie von Familien als Verbraucher:innen liegt bei Fröbel auf mehreren, klar abgegrenzten Ebenen.</w:t>
      </w:r>
    </w:p>
    <w:p>
      <w:pPr>
        <w:spacing w:before="0" w:after="80" w:line="276" w:lineRule="auto"/>
      </w:pPr>
      <w:r>
        <w:rPr>
          <w:rFonts w:ascii="Calibri" w:hAnsi="Calibri"/>
          <w:b w:val="0"/>
          <w:i w:val="0"/>
          <w:color w:val="1A1A1A"/>
          <w:sz w:val="21"/>
        </w:rPr>
        <w:t>Auf Einrichtungsebene sind die Leitungen und pädagogischen Fachkräfte verantwortlich. Sie erfassen Rückmeldungen, Perspektiven, Hinweise und Beschwerden der Kinder und Familien unmittelbar im pädagogischen Alltag und stellen sicher, dass diese in die tägliche Arbeit, in Teamabsprachen sowie in einrichtungsinterne Entwicklungsprozesse einfließen.</w:t>
      </w:r>
    </w:p>
    <w:p>
      <w:pPr>
        <w:spacing w:before="0" w:after="80" w:line="276" w:lineRule="auto"/>
      </w:pPr>
      <w:r>
        <w:rPr>
          <w:rFonts w:ascii="Calibri" w:hAnsi="Calibri"/>
          <w:b w:val="0"/>
          <w:i w:val="0"/>
          <w:color w:val="1A1A1A"/>
          <w:sz w:val="21"/>
        </w:rPr>
        <w:t>Die regionale Steuerung erfolgt durch die Geschäftsleitungen in Zusammenarbeit mit den zuständigen Fachberatungen. In dieser Funktion begleiten sie die Einrichtungen fachlich, sichern die Anwendung einheitlicher Beteiligungs- und Beschwerdeverfahren und sorgen dafür, dass relevante Erkenntnisse systematisch in regionale Entscheidungen sowie in Maßnahmen der Qualitäts- und Angebotsentwicklung einbezogen werden.</w:t>
      </w:r>
    </w:p>
    <w:p>
      <w:pPr>
        <w:spacing w:before="0" w:after="80" w:line="276" w:lineRule="auto"/>
      </w:pPr>
      <w:r>
        <w:rPr>
          <w:rFonts w:ascii="Calibri" w:hAnsi="Calibri"/>
          <w:b w:val="0"/>
          <w:i w:val="0"/>
          <w:color w:val="1A1A1A"/>
          <w:sz w:val="21"/>
        </w:rPr>
        <w:t>Auf Trägerebene liegt die ranghöchste Verantwortung für die Einbeziehung von Kindern und Familien bei der Bereichsleitung für Pädagogik und Personal. Als Mitglied der Unternehmensleitung stellt sie sicher, dass die Ergebnisse aus den Einbeziehungsprozessen über die Fachabteilungen hinweg ausgewertet, konsolidiert und in unternehmensweite Konzepte, Qualitätsstandards, Leitlinien und strategische Steuerungsprozesse integriert werden.</w:t>
      </w:r>
    </w:p>
    <w:p>
      <w:pPr>
        <w:spacing w:before="0" w:after="80" w:line="276" w:lineRule="auto"/>
      </w:pPr>
      <w:r>
        <w:rPr>
          <w:rFonts w:ascii="Calibri" w:hAnsi="Calibri"/>
          <w:b w:val="0"/>
          <w:i w:val="0"/>
          <w:color w:val="1A1A1A"/>
          <w:sz w:val="21"/>
        </w:rPr>
        <w:t>Zur Bewertung der Wirksamkeit der Zusammenarbeit mit Kindern und Familien nutzt Fröbel definierte Verfahren zur Erhebung, Auswertung und Weiterverarbeitung von Rückmeldungen.</w:t>
      </w:r>
    </w:p>
    <w:p>
      <w:pPr>
        <w:spacing w:before="0" w:after="80" w:line="276" w:lineRule="auto"/>
      </w:pPr>
      <w:r>
        <w:rPr>
          <w:rFonts w:ascii="Calibri" w:hAnsi="Calibri"/>
          <w:b w:val="0"/>
          <w:i w:val="0"/>
          <w:color w:val="1A1A1A"/>
          <w:sz w:val="21"/>
        </w:rPr>
        <w:t>Auf Einrichtungsebene erfolgt die Bewertung kontinuierlich im pädagogischen Alltag. Rückmeldungen aus Entwicklungsgesprächen, Familienbefragungen, Beschwerdeverfahren, Beobachtungsinstrumenten sowie dialogischen Formaten wie Elternabenden oder Beteiligungsrunden werden dokumentiert und systematisch ausgewertet. Die Ergebnisse fließen unmittelbar in die einrichtungsbezogene Qualitätsentwicklung ein, etwa durch Anpassungen pädagogischer Schwerpunkte, organisatorischer Abläufe, Raumkonzepte oder der Kommunikationspraxis mit Familien.</w:t>
      </w:r>
    </w:p>
    <w:p>
      <w:pPr>
        <w:spacing w:before="0" w:after="80" w:line="276" w:lineRule="auto"/>
      </w:pPr>
      <w:r>
        <w:rPr>
          <w:rFonts w:ascii="Calibri" w:hAnsi="Calibri"/>
          <w:b w:val="0"/>
          <w:i w:val="0"/>
          <w:color w:val="1A1A1A"/>
          <w:sz w:val="21"/>
        </w:rPr>
        <w:t>Die regionale Ebene überprüft die Wirksamkeit der Zusammenarbeit im Rahmen von Qualitätsdialogen, Einrichtungsbesuchen, Jahres- und Entwicklungsgesprächen sowie durch die Auswertung von Beschwerde- und Feedbackdaten. Die Geschäftsleitungen stellen gemeinsam mit den Fachberatungen sicher, dass Rückmeldungen nicht nur erfasst, sondern nachvollziehbar bearbeitet und in konkrete Verbesserungsmaßnahmen überführt werden.</w:t>
      </w:r>
    </w:p>
    <w:p>
      <w:pPr>
        <w:spacing w:before="0" w:after="80" w:line="276" w:lineRule="auto"/>
      </w:pPr>
      <w:r>
        <w:rPr>
          <w:rFonts w:ascii="Calibri" w:hAnsi="Calibri"/>
          <w:b w:val="0"/>
          <w:i w:val="0"/>
          <w:color w:val="1A1A1A"/>
          <w:sz w:val="21"/>
        </w:rPr>
        <w:t>Auf Trägerebene werden die gewonnenen Erkenntnisse durch die Bereichsleitung für Pädagogik und Personal zusammengeführt und im Hinblick auf pädagogische Qualität, Kinderschutz, Beteiligungsstrukturen und familienbezogene Angebote analysiert. Die Ergebnisse der Zusammenarbeit führen regelmäßig zu überprüfbaren Anpassungen und Weiterentwicklungen, beispielsweise in pädagogischen Konzepten, internen Richtlinien und Standards (u. a. Leitbild, Fröbel-Standards, Hygiene- und Sicherheitschecklisten, Kinderschutz- und Beschwerdeverfahren) sowie in der Ausgestaltung unterstützender Angebote für Familien.</w:t>
      </w:r>
    </w:p>
    <w:p>
      <w:pPr>
        <w:pStyle w:val="Heading3"/>
      </w:pPr>
      <w:r>
        <w:t>21 – Schritte zur Einholung von Einblicken besonders anfälliger Verbraucher und/oder Endnutzer</w:t>
      </w:r>
    </w:p>
    <w:p>
      <w:pPr>
        <w:spacing w:before="0" w:after="80" w:line="276" w:lineRule="auto"/>
      </w:pPr>
      <w:r>
        <w:rPr>
          <w:rFonts w:ascii="Calibri" w:hAnsi="Calibri"/>
          <w:b w:val="0"/>
          <w:i w:val="0"/>
          <w:color w:val="1A1A1A"/>
          <w:sz w:val="21"/>
        </w:rPr>
        <w:t>Zur Gewinnung von Einblicken in die Sichtweisen besonders anfälliger oder potenziell marginalisierter Verbraucher und Endnutzer, insbesondere Kinder, nutzt Fröbel ein mehrstufiges, auf Prävention, Beobachtung und gezielte Unterstützung ausgerichtetes Vorgehen.</w:t>
      </w:r>
    </w:p>
    <w:p>
      <w:pPr>
        <w:spacing w:before="0" w:after="80" w:line="276" w:lineRule="auto"/>
      </w:pPr>
      <w:r>
        <w:rPr>
          <w:rFonts w:ascii="Calibri" w:hAnsi="Calibri"/>
          <w:b w:val="0"/>
          <w:i w:val="0"/>
          <w:color w:val="1A1A1A"/>
          <w:sz w:val="21"/>
        </w:rPr>
        <w:t>Ein zentrales Element bilden die kontinuierlichen pädagogischen Beobachtungen durch die Fachkräfte in den Einrichtungen. Sie ermöglichen es, Hinweise auf besondere Bedürfnisse, Belastungen oder Risiken frühzeitig zu erkennen, etwa im Hinblick auf Wohlbefinden, Sicherheit, Entwicklungsverläufe oder Anzeichen möglicher Gefährdungen. Diese Beobachtungen fließen in Teamreflexionen, Förderplanungen und gegebenenfalls weiterführende Unterstützungsprozesse ein.</w:t>
      </w:r>
    </w:p>
    <w:p>
      <w:pPr>
        <w:spacing w:before="0" w:after="80" w:line="276" w:lineRule="auto"/>
      </w:pPr>
      <w:r>
        <w:rPr>
          <w:rFonts w:ascii="Calibri" w:hAnsi="Calibri"/>
          <w:b w:val="0"/>
          <w:i w:val="0"/>
          <w:color w:val="1A1A1A"/>
          <w:sz w:val="21"/>
        </w:rPr>
        <w:t>Ergänzend dazu werden die Perspektiven der Familien systematisch über regelmäßige Entwicklungsgespräche einbezogen. Diese Gespräche tragen dazu bei, Sichtweisen von Eltern in herausfordernden Lebenslagen, mit sprachlichen Barrieren oder erhöhtem Unterstützungsbedarf zu erfassen und entsprechende Maßnahmen abzuleiten. Damit werden insbesondere Risiken im Zusammenhang mit Zugänglichkeit, Informationsverständnis und Vertrauensaufbau adressiert.</w:t>
      </w:r>
    </w:p>
    <w:p>
      <w:pPr>
        <w:spacing w:before="0" w:after="80" w:line="276" w:lineRule="auto"/>
      </w:pPr>
      <w:r>
        <w:rPr>
          <w:rFonts w:ascii="Calibri" w:hAnsi="Calibri"/>
          <w:b w:val="0"/>
          <w:i w:val="0"/>
          <w:color w:val="1A1A1A"/>
          <w:sz w:val="21"/>
        </w:rPr>
        <w:t>Weitere Einblicke ergeben sich aus strukturierten Feedback- und Beschwerdeinstrumenten, darunter Familienbefragungen, digitale Rückmeldekanäle sowie niedrigschwellige Beschwerdeverfahren. Diese Instrumente sind so gestaltet, dass auch Familien mit besonderen Unterstützungsbedarfen ihre Anliegen äußern können, etwa bei wahrgenommenen Hürden, Unsicherheiten oder Unzufriedenheit mit Angeboten und Abläufen.</w:t>
      </w:r>
    </w:p>
    <w:p>
      <w:pPr>
        <w:spacing w:before="0" w:after="80" w:line="276" w:lineRule="auto"/>
      </w:pPr>
      <w:r>
        <w:rPr>
          <w:rFonts w:ascii="Calibri" w:hAnsi="Calibri"/>
          <w:b w:val="0"/>
          <w:i w:val="0"/>
          <w:color w:val="1A1A1A"/>
          <w:sz w:val="21"/>
        </w:rPr>
        <w:t>Für Kinder mit erhöhtem Schutz- oder Unterstützungsbedarf – beispielsweise bei Behinderungen, chronischen Erkrankungen oder psychosozialen Belastungen – bestehen vertiefte Beobachtungs- und Dokumentationsprozesse sowie spezialisierte Unterstützungsstrukturen. Dazu zählen unter anderem der Einsatz von Fachberatungen für Inklusion (u. a. in Nordrhein-Westfalen), der sukzessive Ausbau von Kita-Sozialarbeit, regionale Marte-Meo-Qualifizierungen sowie neu entwickelte Fortbildungsformate der Pädagogik- und Kinderschutzabteilungen zum Thema Inklusion und inklusiver Kinderschutz. Diese Maßnahmen stärken gezielt die Fähigkeit der Organisation, vulnerable Perspektiven differenziert wahrzunehmen und angemessen zu berücksichtigen.</w:t>
      </w:r>
    </w:p>
    <w:p>
      <w:pPr>
        <w:spacing w:before="0" w:after="80" w:line="276" w:lineRule="auto"/>
      </w:pPr>
      <w:r>
        <w:rPr>
          <w:rFonts w:ascii="Calibri" w:hAnsi="Calibri"/>
          <w:b w:val="0"/>
          <w:i w:val="0"/>
          <w:color w:val="1A1A1A"/>
          <w:sz w:val="21"/>
        </w:rPr>
        <w:t>Die beschriebenen Schritte orientieren sich an den rechtlichen Rahmenbedingungen des Bundesteilhabegesetzes (BTHG) sowie dem seit 2024 inklusiv ausgerichteten Achten Sozialgesetzbuch (SGB VIII) und tragen dazu bei, Chancengleichheit, Teilhabe und Schutz besonders anfälliger Kinder und Familien systematisch sicherzustellen.</w:t>
      </w:r>
    </w:p>
    <w:p>
      <w:pPr>
        <w:pStyle w:val="Heading2"/>
      </w:pPr>
      <w:r>
        <w:t>S4-3 – Prozesse zur Behebung negativer Auswirkungen und Kanäle für Verbraucher und Endnutzer, um Bedenken zu äußern</w:t>
      </w:r>
    </w:p>
    <w:p>
      <w:pPr>
        <w:pStyle w:val="Heading3"/>
      </w:pPr>
      <w:r>
        <w:t>25 – Offenlegung von Abhilfemaßnahmen und Kanälen für Verbraucheranliegen bei negativen Auswirkungen auf Verbraucher und Endnutzer</w:t>
      </w:r>
    </w:p>
    <w:p>
      <w:pPr>
        <w:spacing w:before="0" w:after="80" w:line="276" w:lineRule="auto"/>
      </w:pPr>
      <w:r>
        <w:rPr>
          <w:rFonts w:ascii="Calibri" w:hAnsi="Calibri"/>
          <w:b w:val="0"/>
          <w:i w:val="0"/>
          <w:color w:val="1A1A1A"/>
          <w:sz w:val="21"/>
        </w:rPr>
        <w:t>Werden negative Auswirkungen auf Kinder oder ihre Familien festgestellt oder Hinweise darauf bekannt, greift Fröbel auf klar definierte und verbindliche Verfahren zur Abhilfe zurück. Eingehende Anliegen – unabhängig davon, ob sie über formelle Kanäle, direkte Rückmeldungen oder interne Beobachtungen identifiziert werden – werden systematisch dokumentiert und einer strukturierten Prüfung unterzogen.</w:t>
      </w:r>
    </w:p>
    <w:p>
      <w:pPr>
        <w:spacing w:before="0" w:after="80" w:line="276" w:lineRule="auto"/>
      </w:pPr>
      <w:r>
        <w:rPr>
          <w:rFonts w:ascii="Calibri" w:hAnsi="Calibri"/>
          <w:b w:val="0"/>
          <w:i w:val="0"/>
          <w:color w:val="1A1A1A"/>
          <w:sz w:val="21"/>
        </w:rPr>
        <w:t>Die Verantwortung für die erste Bewertung und Bearbeitung liegt auf Ebene der Einrichtung. Die jeweilige Einrichtungsleitung klärt den Sachverhalt, führt Gespräche mit den beteiligten Personen und leitet angemessene Abhilfemaßnahmen ein. Diese können je nach Art und Schwere der Auswirkungen pädagogische Anpassungen, Klärungs- und Kommunikationsmaßnahmen, organisatorische Veränderungen oder personalbezogene Schritte umfassen. Dabei gelten verbindliche Standards aus dem pädagogischen Qualitätsmanagement, dem Kinderschutzkonzept sowie einschlägigen Richtlinien der Compliance- und Personalprozesse.</w:t>
      </w:r>
    </w:p>
    <w:p>
      <w:pPr>
        <w:spacing w:before="0" w:after="80" w:line="276" w:lineRule="auto"/>
      </w:pPr>
      <w:r>
        <w:rPr>
          <w:rFonts w:ascii="Calibri" w:hAnsi="Calibri"/>
          <w:b w:val="0"/>
          <w:i w:val="0"/>
          <w:color w:val="1A1A1A"/>
          <w:sz w:val="21"/>
        </w:rPr>
        <w:t>Bei Sachverhalten mit erhöhter Tragweite oder potenziellen Risiken für das Kindeswohl kommen standardisierte Verfahren des Ereignis- und Krisenmanagements zur Anwendung. Diese stellen eine zeitnahe Eskalation, klare Zuständigkeiten und abgestimmte Entscheidungswege sicher und binden bei Bedarf Fachabteilungen wie Kinderschutz, Pädagogik oder Personal ein. Alle Maßnahmen werden bis zur abschließenden Klärung fortlaufend nachverfolgt.</w:t>
      </w:r>
    </w:p>
    <w:p>
      <w:pPr>
        <w:spacing w:before="0" w:after="80" w:line="276" w:lineRule="auto"/>
      </w:pPr>
      <w:r>
        <w:rPr>
          <w:rFonts w:ascii="Calibri" w:hAnsi="Calibri"/>
          <w:b w:val="0"/>
          <w:i w:val="0"/>
          <w:color w:val="1A1A1A"/>
          <w:sz w:val="21"/>
        </w:rPr>
        <w:t>Die Wirksamkeit der Abhilfemaßnahmen wird überprüft, indem nach Umsetzung eine erneute Einschätzung der Situation erfolgt, Rückmeldungen der betroffenen Kinder und Familien berücksichtigt werden und geprüft wird, ob die identifizierten Auswirkungen nachhaltig behoben wurden. Erkenntnisse aus abgeschlossenen Fällen werden dokumentiert und fließen systematisch in die Weiterentwicklung von Verfahren, Schulungen und internen Standards ein.</w:t>
      </w:r>
    </w:p>
    <w:p>
      <w:pPr>
        <w:spacing w:before="0" w:after="80" w:line="276" w:lineRule="auto"/>
      </w:pPr>
      <w:r>
        <w:rPr>
          <w:rFonts w:ascii="Calibri" w:hAnsi="Calibri"/>
          <w:b w:val="0"/>
          <w:i w:val="0"/>
          <w:color w:val="1A1A1A"/>
          <w:sz w:val="21"/>
        </w:rPr>
        <w:t>Zur Äußerung und Prüfung von Anliegen stehen Kindern und ihren Familien mehrere abgestufte und miteinander verzahnte Kanäle zur Verfügung. Auf Einrichtungsebene bilden persönliche Gespräche mit pädagogischen Fachkräften, Einrichtungsleitungen sowie strukturierte Entwicklungsgespräche den primären und niedrigschwelligen Zugang. Ergänzend können Anliegen schriftlich oder über digitale Kontaktmöglichkeiten an die Einrichtungen herangetragen werden.</w:t>
      </w:r>
    </w:p>
    <w:p>
      <w:pPr>
        <w:spacing w:before="0" w:after="80" w:line="276" w:lineRule="auto"/>
      </w:pPr>
      <w:r>
        <w:rPr>
          <w:rFonts w:ascii="Calibri" w:hAnsi="Calibri"/>
          <w:b w:val="0"/>
          <w:i w:val="0"/>
          <w:color w:val="1A1A1A"/>
          <w:sz w:val="21"/>
        </w:rPr>
        <w:t>Darüber hinaus bestehen formal geregelte Beschwerdeverfahren, die sowohl für Familien als auch – alters- und entwicklungsangemessen – für Kinder zugänglich sind. Diese Verfahren sind Bestandteil der Schutzkonzepte der Einrichtungen und in standardisierten Arbeitsmitteln verankert. Sie gewährleisten Transparenz, Nachvollziehbarkeit und eine strukturierte Bearbeitung der eingehenden Anliegen.</w:t>
      </w:r>
    </w:p>
    <w:p>
      <w:pPr>
        <w:spacing w:before="0" w:after="80" w:line="276" w:lineRule="auto"/>
      </w:pPr>
      <w:r>
        <w:rPr>
          <w:rFonts w:ascii="Calibri" w:hAnsi="Calibri"/>
          <w:b w:val="0"/>
          <w:i w:val="0"/>
          <w:color w:val="1A1A1A"/>
          <w:sz w:val="21"/>
        </w:rPr>
        <w:t>Zur Sicherstellung eines geschützten Rahmens für besonders sensible Hinweise betreibt Fröbel zusätzlich eine zentrale interne Meldestelle gemäß der EU-Whistleblower-Richtlinie. Über diese können Hinweise vertraulich oder anonym eingereicht werden. Die Meldestelle wird durch klar definierte Prozesse gesteuert und ist organisatorisch so ausgestaltet, dass eine unabhängige Prüfung und Weiterleitung an zuständige Stellen gewährleistet ist.</w:t>
      </w:r>
    </w:p>
    <w:p>
      <w:pPr>
        <w:spacing w:before="0" w:after="80" w:line="276" w:lineRule="auto"/>
      </w:pPr>
      <w:r>
        <w:rPr>
          <w:rFonts w:ascii="Calibri" w:hAnsi="Calibri"/>
          <w:b w:val="0"/>
          <w:i w:val="0"/>
          <w:color w:val="1A1A1A"/>
          <w:sz w:val="21"/>
        </w:rPr>
        <w:t>Alle beschriebenen Kanäle werden vom Unternehmen selbst betrieben und regelmäßig kommuniziert. Sie sind so ausgestaltet, dass sie auch für Familien mit sprachlichen, kulturellen oder organisatorischen Barrieren zugänglich sind und einen diskriminierungsfreien Zugang zur Äußerung von Anliegen ermöglichen.</w:t>
      </w:r>
    </w:p>
    <w:p>
      <w:pPr>
        <w:spacing w:before="0" w:after="80" w:line="276" w:lineRule="auto"/>
      </w:pPr>
      <w:r>
        <w:rPr>
          <w:rFonts w:ascii="Calibri" w:hAnsi="Calibri"/>
          <w:b w:val="0"/>
          <w:i w:val="0"/>
          <w:color w:val="1A1A1A"/>
          <w:sz w:val="21"/>
        </w:rPr>
        <w:t>Anliegen von Kindern und ihren Familien können unabhängig davon, ob sie eigene Leistungen von Fröbel oder Leistungen externer Dienstleister betreffen, über die zentral etablierten Melde- und Beschwerdewege des Trägers eingebracht werden. Dadurch wird sichergestellt, dass Verbraucher:innen und Endnutzer:innen nicht auf separate oder schwer zugängliche Beschwerdestrukturen einzelner Geschäftspartner verwiesen werden.</w:t>
      </w:r>
    </w:p>
    <w:p>
      <w:pPr>
        <w:spacing w:before="0" w:after="80" w:line="276" w:lineRule="auto"/>
      </w:pPr>
      <w:r>
        <w:rPr>
          <w:rFonts w:ascii="Calibri" w:hAnsi="Calibri"/>
          <w:b w:val="0"/>
          <w:i w:val="0"/>
          <w:color w:val="1A1A1A"/>
          <w:sz w:val="21"/>
        </w:rPr>
        <w:t>Nach Eingang eines Hinweises erfolgt eine strukturierte Prüfung und Zuordnung innerhalb der Organisation. Sofern externe Dienstleister oder Kooperationspartner betroffen sind, wird das Anliegen über definierte Schnittstellen an die jeweils zuständigen Stellen weitergeleitet. Die Bearbeitung verbleibt dabei im internen Monitoring von Fröbel, sodass Nachverfolgung, Rückmeldung und Fristeneinhaltung gewährleistet sind.</w:t>
      </w:r>
    </w:p>
    <w:p>
      <w:pPr>
        <w:spacing w:before="0" w:after="80" w:line="276" w:lineRule="auto"/>
      </w:pPr>
      <w:r>
        <w:rPr>
          <w:rFonts w:ascii="Calibri" w:hAnsi="Calibri"/>
          <w:b w:val="0"/>
          <w:i w:val="0"/>
          <w:color w:val="1A1A1A"/>
          <w:sz w:val="21"/>
        </w:rPr>
        <w:t>Im Rahmen bestehender Geschäftsbeziehungen werden externe Anbieter darüber informiert, dass Anliegen von Familien und Kindern über die Kanäle von Fröbel eingebracht werden können. Zudem wird erwartet, dass sie an der Bearbeitung mitwirken, zeitnah reagieren und die vereinbarten Verfahrensschritte einhalten. Auf diese Weise unterstützt Fröbel die dauerhafte Verfügbarkeit wirksamer Beschwerde- und Meldekanäle auch über die eigenen Organisationsgrenzen hinaus.</w:t>
      </w:r>
    </w:p>
    <w:p>
      <w:pPr>
        <w:spacing w:before="0" w:after="80" w:line="276" w:lineRule="auto"/>
      </w:pPr>
      <w:r>
        <w:rPr>
          <w:rFonts w:ascii="Calibri" w:hAnsi="Calibri"/>
          <w:b w:val="0"/>
          <w:i w:val="0"/>
          <w:color w:val="1A1A1A"/>
          <w:sz w:val="21"/>
        </w:rPr>
        <w:t>Eingebrachte Anliegen von Kindern und ihren Familien werden systematisch dokumentiert, kategorisiert und über den gesamten Bearbeitungsprozess hinweg nachverfolgt. Die Verantwortung für das Monitoring liegt jeweils bei der zuständigen Leitungsebene, die sicherstellt, dass Fälle bis zur Klärung aktiv bearbeitet und Maßnahmen umgesetzt werden. Bei Anliegen mit erhöhter Relevanz oder Risiken kommen ergänzend die etablierten Verfahren des Ereignis- und Krisenmanagements zur Anwendung, die klare Zuständigkeiten, definierte Eskalationsstufen und verbindliche Qualitätsanforderungen für die Fallbearbeitung vorsehen.</w:t>
      </w:r>
    </w:p>
    <w:p>
      <w:pPr>
        <w:spacing w:before="0" w:after="80" w:line="276" w:lineRule="auto"/>
      </w:pPr>
      <w:r>
        <w:rPr>
          <w:rFonts w:ascii="Calibri" w:hAnsi="Calibri"/>
          <w:b w:val="0"/>
          <w:i w:val="0"/>
          <w:color w:val="1A1A1A"/>
          <w:sz w:val="21"/>
        </w:rPr>
        <w:t>Zur Sicherstellung der Wirksamkeit der Beschwerde- und Meldekanäle werden diese regelmäßig ausgewertet. Dabei werden insbesondere Art, Häufigkeit und Schwere der Anliegen, Bearbeitungsdauer, getroffene Maßnahmen sowie wiederkehrende Muster analysiert. Die Ergebnisse dienen dazu, strukturelle Schwachstellen oder Zugangsbarrieren zu identifizieren und Prozesse, Zuständigkeiten oder Kommunikationswege gezielt weiterzuentwickeln.</w:t>
      </w:r>
    </w:p>
    <w:p>
      <w:pPr>
        <w:spacing w:before="0" w:after="80" w:line="276" w:lineRule="auto"/>
      </w:pPr>
      <w:r>
        <w:rPr>
          <w:rFonts w:ascii="Calibri" w:hAnsi="Calibri"/>
          <w:b w:val="0"/>
          <w:i w:val="0"/>
          <w:color w:val="1A1A1A"/>
          <w:sz w:val="21"/>
        </w:rPr>
        <w:t>Die Perspektiven der vorgesehenen Zielnutzer:innen werden in die Wirksamkeitsbewertung einbezogen, indem Rückmeldungen von Eltern und – alters- und entwicklungsangemessen – auch von Kindern nach Abschluss von Verfahren berücksichtigt werden. Diese Rückkopplung unterstützt die Einschätzung, ob die Kanäle bekannt, niedrigschwellig zugänglich und als wirksam wahrgenommen werden, und fließt in die kontinuierliche Optimierung der Beschwerde- und Monitoringstrukturen ein.</w:t>
      </w:r>
    </w:p>
    <w:p>
      <w:pPr>
        <w:pStyle w:val="Heading3"/>
      </w:pPr>
      <w:r>
        <w:t>26 – Strategien zum Schutz vor Vergeltungsmaßnahmen</w:t>
      </w:r>
    </w:p>
    <w:p>
      <w:pPr>
        <w:spacing w:before="0" w:after="80" w:line="276" w:lineRule="auto"/>
      </w:pPr>
      <w:r>
        <w:rPr>
          <w:rFonts w:ascii="Calibri" w:hAnsi="Calibri"/>
          <w:b w:val="0"/>
          <w:i w:val="0"/>
          <w:color w:val="1A1A1A"/>
          <w:sz w:val="21"/>
        </w:rPr>
        <w:t>Die Bekanntheit und das Vertrauen in bestehende Melde- und Beschwerdestrukturen werden über mehrere qualitative und indirekte Indikatoren erfasst. Rückmeldungen aus der laufenden Zusammenarbeit mit Familien, insbesondere aus Entwicklungsgesprächen, Beratungssituationen und Gesprächen im Zusammenhang mit bearbeiteten Anliegen, geben Aufschluss darüber, ob Eltern die bestehenden Verfahren kennen, verstehen und als fair sowie verlässlich wahrnehmen.</w:t>
      </w:r>
    </w:p>
    <w:p>
      <w:pPr>
        <w:spacing w:before="0" w:after="80" w:line="276" w:lineRule="auto"/>
      </w:pPr>
      <w:r>
        <w:rPr>
          <w:rFonts w:ascii="Calibri" w:hAnsi="Calibri"/>
          <w:b w:val="0"/>
          <w:i w:val="0"/>
          <w:color w:val="1A1A1A"/>
          <w:sz w:val="21"/>
        </w:rPr>
        <w:t>Ergänzend werden eingehende Anliegen dahingehend ausgewertet, über welche Kanäle sie eingebracht werden und in welcher Form dies erfolgt. Die wiederholte Nutzung definierter Meldewege, sachlich formulierte Hinweise sowie die Bereitschaft zur Rückmeldung nach Abschluss eines Verfahrens werden als Hinweise darauf gewertet, dass die Strukturen bekannt sind und Vertrauen genießen.</w:t>
      </w:r>
    </w:p>
    <w:p>
      <w:pPr>
        <w:spacing w:before="0" w:after="80" w:line="276" w:lineRule="auto"/>
      </w:pPr>
      <w:r>
        <w:rPr>
          <w:rFonts w:ascii="Calibri" w:hAnsi="Calibri"/>
          <w:b w:val="0"/>
          <w:i w:val="0"/>
          <w:color w:val="1A1A1A"/>
          <w:sz w:val="21"/>
        </w:rPr>
        <w:t>Bei sensiblen oder konfliktbehafteten Anliegen tragen die etablierten Verfahren des Ereignis- und Krisenmanagements dazu bei, Schutz vor möglichen Benachteiligungen oder negativen Folgen zu gewährleisten. Transparente Abläufe, klar geregelte Zuständigkeiten und der vertrauliche Umgang mit Hinweisen stärken die wahrgenommene Sicherheit der Verfahren. Erkenntnisse aus Rückmeldungen von Familien werden genutzt, um Informationsmaterialien, Kommunikation und Zugänglichkeit der Meldewege fortlaufend zu überprüfen und weiterzuentwickeln.</w:t>
      </w:r>
    </w:p>
    <w:p>
      <w:pPr>
        <w:spacing w:before="0" w:after="80" w:line="276" w:lineRule="auto"/>
      </w:pPr>
      <w:r>
        <w:rPr>
          <w:rFonts w:ascii="Calibri" w:hAnsi="Calibri"/>
          <w:b w:val="0"/>
          <w:i w:val="0"/>
          <w:color w:val="1A1A1A"/>
          <w:sz w:val="21"/>
        </w:rPr>
        <w:t>Strategien zum Schutz vor Vergeltungsmaßnahmen trifft zu.</w:t>
      </w:r>
    </w:p>
    <w:p>
      <w:pPr>
        <w:spacing w:before="0" w:after="80" w:line="276" w:lineRule="auto"/>
      </w:pPr>
      <w:r>
        <w:rPr>
          <w:rFonts w:ascii="Calibri" w:hAnsi="Calibri"/>
          <w:b w:val="0"/>
          <w:i w:val="0"/>
          <w:color w:val="1A1A1A"/>
          <w:sz w:val="21"/>
        </w:rPr>
        <w:t>Strategien zum Schutz vor Vergeltungsmaßnahmen sind bei Fröbel verbindlich in den internen Melde-, Beschwerde- und Kinderschutzstrukturen verankert. Ziel ist es, sicherzustellen, dass Kinder, Familien sowie deren rechtmäßige Vertreter keine Nachteile, Sanktionen oder Benachteiligungen erfahren, wenn sie Anliegen, Beschwerden oder Hinweise äußern.</w:t>
        <w:br/>
        <w:br/>
        <w:t>Der Schutz vor Vergeltungsmaßnahmen wird insbesondere durch folgende Elemente gewährleistet:</w:t>
        <w:br/>
        <w:t>- klar geregelte Vertraulichkeits- und Datenschutzstandards im Umgang mit Hinweisen,</w:t>
        <w:br/>
        <w:t>- die Möglichkeit zur vertraulichen und – sofern vorgesehen – anonymen Meldung,</w:t>
        <w:br/>
        <w:t>- die verbindliche Vorgabe, dass eingebrachte Hinweise nicht zu Lasten der meldenden Person verwendet werden dürfen,</w:t>
        <w:br/>
        <w:t>- definierte Rollen, Zuständigkeiten und Dokumentationspflichten im Rahmen der Bearbeitung von Anliegen.</w:t>
        <w:br/>
        <w:br/>
        <w:t>Einrichtungsleitungen sowie zentrale Fach- und Steuerungseinheiten sind verpflichtet, Hinweise sachlich, neutral und ohne Vorverurteilung zu prüfen und den Schutz der meldenden Person aktiv sicherzustellen. Bei sensiblen oder konfliktbehafteten Sachverhalten greifen zusätzlich die Verfahren des Ereignis- und Krisenmanagements, die strukturierte Eskalationswege, Transparenz der Entscheidungsprozesse und eine engere fachliche Begleitung vorsehen.</w:t>
        <w:br/>
        <w:br/>
        <w:t>Diese organisatorischen, prozessualen und technischen Schutzmechanismen schaffen einen verlässlichen Rahmen, in dem Hinweise ohne Angst vor negativen Konsequenzen eingebracht werden können.</w:t>
      </w:r>
    </w:p>
    <w:p>
      <w:pPr>
        <w:pStyle w:val="Heading2"/>
      </w:pPr>
      <w:r>
        <w:t>S4-4 – Maßnahmen zur Bewältigung wesentlicher Auswirkungen auf Verbraucher und Endnutzer und Ansätze zur Minderung wesentlicher Risiken und Verfolgung wesentlicher Chancen in Bezug auf Verbraucher und Endnutzer und deren Effektivität</w:t>
      </w:r>
    </w:p>
    <w:p>
      <w:pPr>
        <w:pStyle w:val="Heading3"/>
      </w:pPr>
      <w:r>
        <w:t>30 – Maßnahmen im Zusammenhang mit Verbrauchern und Endnutzern</w:t>
      </w:r>
    </w:p>
    <w:p>
      <w:pPr>
        <w:spacing w:before="0" w:after="80" w:line="276" w:lineRule="auto"/>
      </w:pPr>
      <w:r>
        <w:rPr>
          <w:rFonts w:ascii="Calibri" w:hAnsi="Calibri"/>
          <w:b w:val="0"/>
          <w:i w:val="0"/>
          <w:color w:val="1A1A1A"/>
          <w:sz w:val="21"/>
        </w:rPr>
        <w:t>Maßnahmen im Zusammenhang mit Verbrauchern und Endnutzern trifft zu.</w:t>
      </w:r>
    </w:p>
    <w:p>
      <w:pPr>
        <w:pStyle w:val="Heading3"/>
      </w:pPr>
      <w:r>
        <w:t>35 – Berücksichtigung schwerwiegender Vorfälle im Zusammenhang mit Menschenrechten bei Verbrauchern und/oder Endnutzern</w:t>
      </w:r>
    </w:p>
    <w:p>
      <w:pPr>
        <w:spacing w:before="0" w:after="80" w:line="276" w:lineRule="auto"/>
      </w:pPr>
      <w:r>
        <w:rPr>
          <w:rFonts w:ascii="Calibri" w:hAnsi="Calibri"/>
          <w:b w:val="0"/>
          <w:i w:val="0"/>
          <w:color w:val="1A1A1A"/>
          <w:sz w:val="21"/>
        </w:rPr>
        <w:t>Im Berichtszeitraum wurden keine schwerwiegenden Vorfälle im Zusammenhang mit Menschenrechten gemeldet, die Fröbel selbst verursacht oder zu denen Fröbel beigetragen hat, und die Kinder oder ihre Familien als Verbraucher und Endnutzer betreffen.</w:t>
      </w:r>
    </w:p>
    <w:p>
      <w:pPr>
        <w:spacing w:before="0" w:after="80" w:line="276" w:lineRule="auto"/>
      </w:pPr>
      <w:r>
        <w:rPr>
          <w:rFonts w:ascii="Calibri" w:hAnsi="Calibri"/>
          <w:b w:val="0"/>
          <w:i w:val="0"/>
          <w:color w:val="1A1A1A"/>
          <w:sz w:val="21"/>
        </w:rPr>
        <w:t>Gleichzeitig ist Fröbel als Träger frühkindlicher Bildung sowie in weiteren sozialpädagogischen Handlungsfeldern gesetzlich verpflichtet, Hinweise auf Kindeswohlgefährdungen und Kinderrechtsverletzungen im Umfeld der Kinder zu erkennen, zu bewerten und weiterzuleiten. Entsprechend werden durch die Abteilung Kinderschutz sowie durch die Einrichtungen regelmäßig schwerwiegende Fälle von Kindeswohlgefährdung identifiziert, dokumentiert und gemäß § 8a SGB VIII sowie weiteren gesetzlichen Vorgaben bearbeitet. Dazu zählen auch Fälle, in denen Kinderschutzmeldungen an Jugendämter erfolgen oder Inobhutnahmen notwendig werden.</w:t>
      </w:r>
    </w:p>
    <w:p>
      <w:pPr>
        <w:spacing w:before="0" w:after="80" w:line="276" w:lineRule="auto"/>
      </w:pPr>
      <w:r>
        <w:rPr>
          <w:rFonts w:ascii="Calibri" w:hAnsi="Calibri"/>
          <w:b w:val="0"/>
          <w:i w:val="0"/>
          <w:color w:val="1A1A1A"/>
          <w:sz w:val="21"/>
        </w:rPr>
        <w:t>Diese Fälle stellen keine vom Unternehmen verursachten oder unternehmerisch begangenen Menschenrechtsverletzungen dar, sondern betreffen Risiken, die außerhalb der unmittelbaren Kontrolle des Unternehmens entstehen und im Rahmen des Schutz- und Hilfeauftrags professionell bearbeitet werden. Gleiches gilt für Tätigkeiten in der Familienhilfe und Integrationshilfe, etwa in der Lausitz, wo Fröbel im Auftrag öffentlicher Stellen mit der Begleitung besonders vulnerabler Kinder und Familien betraut ist.</w:t>
      </w:r>
    </w:p>
    <w:p>
      <w:pPr>
        <w:spacing w:before="0" w:after="80" w:line="276" w:lineRule="auto"/>
      </w:pPr>
      <w:r>
        <w:rPr>
          <w:rFonts w:ascii="Calibri" w:hAnsi="Calibri"/>
          <w:b w:val="0"/>
          <w:i w:val="0"/>
          <w:color w:val="1A1A1A"/>
          <w:sz w:val="21"/>
        </w:rPr>
        <w:t>Alle Hinweise mit potenzieller menschenrechtlicher Relevanz werden über verbindliche Kinderschutz-, Ereignis- und Krisenmanagementverfahren strukturiert bearbeitet. Diese umfassen eine fachliche Bewertung, klar definierte Eskalationswege, die Einbindung insoweit erfahrener Fachkräfte sowie die Zusammenarbeit mit zuständigen Behörden. Erkenntnisse aus diesen Verfahren fließen fortlaufend in Präventionsmaßnahmen, Schulungen und die Weiterentwicklung von Schutzkonzepten ein.</w:t>
      </w:r>
    </w:p>
    <w:p>
      <w:pPr>
        <w:pStyle w:val="Heading2"/>
      </w:pPr>
      <w:r>
        <w:t>S4-5 – Ziele zur Bewältigung wesentlicher negativer Auswirkungen, Förderung positiver Auswirkungen und Management von wesentlichen Risiken und Chancen</w:t>
      </w:r>
    </w:p>
    <w:p>
      <w:pPr>
        <w:pStyle w:val="Heading3"/>
      </w:pPr>
      <w:r>
        <w:t>41 – Verfahren zur Zielsetzung und Zusammenarbeit mit Verbrauchern und Endnutzern bei der Zieldefinition</w:t>
      </w:r>
    </w:p>
    <w:p>
      <w:pPr>
        <w:spacing w:before="0" w:after="80" w:line="276" w:lineRule="auto"/>
      </w:pPr>
      <w:r>
        <w:rPr>
          <w:rFonts w:ascii="Calibri" w:hAnsi="Calibri"/>
          <w:b w:val="0"/>
          <w:i w:val="0"/>
          <w:color w:val="1A1A1A"/>
          <w:sz w:val="21"/>
        </w:rPr>
        <w:t>Verfahren zur Zielsetzung und Zusammenarbeit mit Verbrauchern und Endnutzern bei der Zieldefinition trifft zu.</w:t>
      </w:r>
    </w:p>
    <w:p>
      <w:pPr>
        <w:spacing w:before="0" w:after="80" w:line="276" w:lineRule="auto"/>
      </w:pPr>
      <w:r>
        <w:rPr>
          <w:rFonts w:ascii="Calibri" w:hAnsi="Calibri"/>
          <w:b w:val="0"/>
          <w:i w:val="0"/>
          <w:color w:val="1A1A1A"/>
          <w:sz w:val="21"/>
        </w:rPr>
        <w:t>Bei der Festlegung der Ziele im Zusammenhang mit Verbrauchern und Endnutzern arbeitet Fröbel sowohl direkt mit Kindern und ihren Familien als rechtmäßigen Vertretern als auch mit glaubwürdigen Stellvertretenden, die aufgrund ihrer fachlichen Rolle vertiefte Einblicke in die Situation der Endnutzer haben.</w:t>
      </w:r>
    </w:p>
    <w:p>
      <w:pPr>
        <w:spacing w:before="0" w:after="80" w:line="276" w:lineRule="auto"/>
      </w:pPr>
      <w:r>
        <w:rPr>
          <w:rFonts w:ascii="Calibri" w:hAnsi="Calibri"/>
          <w:b w:val="0"/>
          <w:i w:val="0"/>
          <w:color w:val="1A1A1A"/>
          <w:sz w:val="21"/>
        </w:rPr>
        <w:t>Die direkte Einbindung erfolgt insbesondere über Rückmeldungen aus dem pädagogischen Alltag, Entwicklungsgespräche, Beteiligungsformate für Kinder, Elternvertretungen, Familienbefragungen sowie strukturierte Beschwerde- und Rückmeldeverfahren. Diese Formate liefern unmittelbare Hinweise auf Bedürfnisse, Erwartungen, Risiken und Verbesserungspotenziale aus Sicht der Kinder und Familien und fließen in die Ableitung und Priorisierung der Zielsetzungen ein.</w:t>
      </w:r>
    </w:p>
    <w:p>
      <w:pPr>
        <w:spacing w:before="0" w:after="80" w:line="276" w:lineRule="auto"/>
      </w:pPr>
      <w:r>
        <w:rPr>
          <w:rFonts w:ascii="Calibri" w:hAnsi="Calibri"/>
          <w:b w:val="0"/>
          <w:i w:val="0"/>
          <w:color w:val="1A1A1A"/>
          <w:sz w:val="21"/>
        </w:rPr>
        <w:t>Ergänzend werden bei der Zieldefinition glaubwürdige Stellvertretende einbezogen. Dazu zählen insbesondere pädagogische Fachabteilungen (u. a. Pädagogische Qualität, Familienbildung, Inklusion und Kinderschutz), Fachberatungen sowie die Geschäftsleitungen. Diese bringen fachliche Bewertungen, aggregierte Erkenntnisse aus mehreren Einrichtungen sowie Erfahrungen aus Risiko- und Fallanalysen ein. Auf diese Weise werden individuelle Rückmeldungen der Endnutzer mit fachlicher Expertise zusammengeführt und systematisch in belastbare Zielsetzungen überführt.</w:t>
      </w:r>
    </w:p>
    <w:p>
      <w:pPr>
        <w:spacing w:before="0" w:after="80" w:line="276" w:lineRule="auto"/>
      </w:pPr>
      <w:r>
        <w:rPr>
          <w:rFonts w:ascii="Calibri" w:hAnsi="Calibri"/>
          <w:b w:val="0"/>
          <w:i w:val="0"/>
          <w:color w:val="1A1A1A"/>
          <w:sz w:val="21"/>
        </w:rPr>
        <w:t>Die Kombination aus direkter Beteiligung der Kinder und Familien sowie der strukturierten Einbindung fachlicher Stellvertretender stellt sicher, dass die Ziele sowohl lebensweltlich fundiert als auch fachlich und rechtlich abgesichert sind.</w:t>
      </w:r>
    </w:p>
    <w:p>
      <w:pPr>
        <w:spacing w:before="0" w:after="80" w:line="276" w:lineRule="auto"/>
      </w:pPr>
      <w:r>
        <w:rPr>
          <w:rFonts w:ascii="Calibri" w:hAnsi="Calibri"/>
          <w:b w:val="0"/>
          <w:i w:val="0"/>
          <w:color w:val="1A1A1A"/>
          <w:sz w:val="21"/>
        </w:rPr>
        <w:t>Die Nachverfolgung der Zielerreichung im Zusammenhang mit Verbrauchern und Endnutzern erfolgt bei Fröbel über eine kombinierte Zusammenarbeit mit Kindern und Familien als rechtmäßigen Vertretern sowie mit glaubwürdigen Stellvertretenden.</w:t>
      </w:r>
    </w:p>
    <w:p>
      <w:pPr>
        <w:spacing w:before="0" w:after="80" w:line="276" w:lineRule="auto"/>
      </w:pPr>
      <w:r>
        <w:rPr>
          <w:rFonts w:ascii="Calibri" w:hAnsi="Calibri"/>
          <w:b w:val="0"/>
          <w:i w:val="0"/>
          <w:color w:val="1A1A1A"/>
          <w:sz w:val="21"/>
        </w:rPr>
        <w:t>Die direkte Einbindung von Kindern und Familien findet insbesondere über fortlaufende Rückmeldungen im pädagogischen Alltag, Entwicklungsgespräche, Beteiligungsformate, Familienbefragungen sowie Beschwerde- und Feedbackverfahren statt. Diese Instrumente liefern qualitative Hinweise darauf, ob gesetzte Ziele – etwa zu Partizipation, Sicherheit, Inklusion, Wohlbefinden oder Kommunikation – in der Praxis wirksam umgesetzt werden und von den Endnutzern als positiv erlebt werden.</w:t>
      </w:r>
    </w:p>
    <w:p>
      <w:pPr>
        <w:spacing w:before="0" w:after="80" w:line="276" w:lineRule="auto"/>
      </w:pPr>
      <w:r>
        <w:rPr>
          <w:rFonts w:ascii="Calibri" w:hAnsi="Calibri"/>
          <w:b w:val="0"/>
          <w:i w:val="0"/>
          <w:color w:val="1A1A1A"/>
          <w:sz w:val="21"/>
        </w:rPr>
        <w:t>Ergänzend erfolgt die Nachverfolgung der Zielerreichung über glaubwürdige Stellvertretende. Pädagogische Fachabteilungen, Fachberatungen, Geschäftsleitungen sowie die Abteilungen Pädagogische Qualität, Kinderschutz und Familienbildung werten Rückmeldungen, Beschwerden, Fallzahlen, qualitative Berichte und Ergebnisse aus Qualitätsdialogen systematisch aus. Diese aggregierten Erkenntnisse ermöglichen eine fachliche Bewertung der Zielumsetzung über einzelne Einrichtungen hinaus.</w:t>
      </w:r>
    </w:p>
    <w:p>
      <w:pPr>
        <w:spacing w:before="0" w:after="80" w:line="276" w:lineRule="auto"/>
      </w:pPr>
      <w:r>
        <w:rPr>
          <w:rFonts w:ascii="Calibri" w:hAnsi="Calibri"/>
          <w:b w:val="0"/>
          <w:i w:val="0"/>
          <w:color w:val="1A1A1A"/>
          <w:sz w:val="21"/>
        </w:rPr>
        <w:t>Die Ergebnisse aus der direkten Rückmeldung der Endnutzer und aus den fachlichen Auswertungen werden zusammengeführt und in regelmäßige Qualitätsentwicklungs-, Steuerungs- und Reflexionsprozesse eingebracht. Auf dieser Grundlage wird überprüft, ob die angestrebten Wirkungen erreicht werden oder ob Anpassungen an Zielen, Maßnahmen oder Umsetzungsformen erforderlich sind.</w:t>
      </w:r>
    </w:p>
    <w:p>
      <w:pPr>
        <w:spacing w:before="0" w:after="80" w:line="276" w:lineRule="auto"/>
      </w:pPr>
      <w:r>
        <w:rPr>
          <w:rFonts w:ascii="Calibri" w:hAnsi="Calibri"/>
          <w:b w:val="0"/>
          <w:i w:val="0"/>
          <w:color w:val="1A1A1A"/>
          <w:sz w:val="21"/>
        </w:rPr>
        <w:t>Aus der laufenden Bewertung der Zielerreichung im Zusammenhang mit Verbrauchern und Endnutzern werden bei Fröbel systematisch Erkenntnisse und Verbesserungsmöglichkeiten abgeleitet. Zentrale Grundlage hierfür sind qualitative und quantitative Auswertungen, insbesondere aus der jährlich durchgeführten Fröbel-weiten Familienbefragung, ergänzt durch Rückmeldungen von Kindern und Familien aus Beteiligungs- und Beschwerdeverfahren, Fallauswertungen im Kinderschutz, Qualitätsdialogen sowie Berichten aus der pädagogischen Praxis.</w:t>
      </w:r>
    </w:p>
    <w:p>
      <w:pPr>
        <w:spacing w:before="0" w:after="80" w:line="276" w:lineRule="auto"/>
      </w:pPr>
      <w:r>
        <w:rPr>
          <w:rFonts w:ascii="Calibri" w:hAnsi="Calibri"/>
          <w:b w:val="0"/>
          <w:i w:val="0"/>
          <w:color w:val="1A1A1A"/>
          <w:sz w:val="21"/>
        </w:rPr>
        <w:t>Auf Einrichtungsebene führen diese Erkenntnisse beispielsweise zu Anpassungen im pädagogischen Alltag, in der Kommunikation mit Familien, in Beteiligungsformaten oder in organisatorischen Abläufen. Wiederkehrende Hinweise, Auffälligkeiten oder Entwicklungsschwerpunkte werden dokumentiert und an die zuständigen Fachberatungen und Geschäftsleitungen weitergeleitet.</w:t>
      </w:r>
    </w:p>
    <w:p>
      <w:pPr>
        <w:spacing w:before="0" w:after="80" w:line="276" w:lineRule="auto"/>
      </w:pPr>
      <w:r>
        <w:rPr>
          <w:rFonts w:ascii="Calibri" w:hAnsi="Calibri"/>
          <w:b w:val="0"/>
          <w:i w:val="0"/>
          <w:color w:val="1A1A1A"/>
          <w:sz w:val="21"/>
        </w:rPr>
        <w:t>Auf regionaler und Trägerebene werden aggregierte Ergebnisse aus der Familienbefragung sowie aus weiteren Rückmelde- und Berichtssystemen durch die fachlich zuständigen Abteilungen ausgewertet. Daraus ergeben sich konkrete Verbesserungsbedarfe, etwa bei pädagogischen Konzepten, Schutz- und Beschwerdestrukturen, Inklusionsangeboten, Qualifizierungsmaßnahmen für Mitarbeitende oder internen Standards. Beispiele hierfür sind die Weiterentwicklung von Schutzkonzepten, der Ausbau inklusiver Unterstützungsstrukturen, die Anpassung von Informations- und Kommunikationsformaten für Familien oder die Entwicklung neuer Fortbildungsangebote.</w:t>
      </w:r>
    </w:p>
    <w:p>
      <w:pPr>
        <w:spacing w:before="0" w:after="80" w:line="276" w:lineRule="auto"/>
      </w:pPr>
      <w:r>
        <w:rPr>
          <w:rFonts w:ascii="Calibri" w:hAnsi="Calibri"/>
          <w:b w:val="0"/>
          <w:i w:val="0"/>
          <w:color w:val="1A1A1A"/>
          <w:sz w:val="21"/>
        </w:rPr>
        <w:t>Die identifizierten Erkenntnisse und Verbesserungsmöglichkeiten fließen strukturiert in bestehende Qualitätsentwicklungs-, Steuerungs- und Entscheidungsprozesse ein und dienen als Grundlage für die Weiterentwicklung von Zielen, Maßnahmen und Richtlinien im Bereich der Verbraucher- und Endnutzerbelange.</w:t>
      </w:r>
    </w:p>
    <w:p>
      <w:pPr>
        <w:pStyle w:val="Heading1"/>
      </w:pPr>
      <w:r>
        <w:t>Governance-Informationen</w:t>
      </w:r>
    </w:p>
    <w:p>
      <w:pPr>
        <w:pStyle w:val="Heading2"/>
      </w:pPr>
      <w:r>
        <w:t>G1 - GOV-1 (ESRS 2)</w:t>
      </w:r>
    </w:p>
    <w:p>
      <w:pPr>
        <w:pStyle w:val="Heading2"/>
      </w:pPr>
      <w:r>
        <w:t>G1 - IRO-1 (ESRS 2)</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40"/>
      <w:outlineLvl w:val="0"/>
      <w:shd w:val="clear" w:color="auto" w:fill="1C462D"/>
      <w:ind w:left="160" w:right="80"/>
    </w:pPr>
    <w:rPr>
      <w:rFonts w:asciiTheme="majorHAnsi" w:eastAsiaTheme="majorEastAsia" w:hAnsiTheme="majorHAnsi" w:cstheme="majorBidi" w:ascii="Century Gothic" w:hAnsi="Century Gothic"/>
      <w:b/>
      <w:bCs/>
      <w:color w:val="FFFFF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Bdr>
        <w:bottom w:val="single" w:sz="6" w:space="3" w:color="2D6E46"/>
      </w:pBdr>
    </w:pPr>
    <w:rPr>
      <w:rFonts w:asciiTheme="majorHAnsi" w:eastAsiaTheme="majorEastAsia" w:hAnsiTheme="majorHAnsi" w:cstheme="majorBidi" w:ascii="Century Gothic" w:hAnsi="Century Gothic"/>
      <w:b/>
      <w:bCs/>
      <w:color w:val="1C462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entury Gothic" w:hAnsi="Century Gothic"/>
      <w:b/>
      <w:bCs/>
      <w:color w:val="2D6E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statement 2024 – FRÖBEL e.V.</dc:title>
  <dc:subject>ESRS Nachhaltigkeitserklärung</dc:subject>
  <dc:creator>FRÖBEL e.V.</dc:creator>
  <cp:keywords/>
  <dc:description>generated by python-docx</dc:description>
  <cp:lastModifiedBy/>
  <cp:revision>1</cp:revision>
  <dcterms:created xsi:type="dcterms:W3CDTF">2013-12-23T23:15:00Z</dcterms:created>
  <dcterms:modified xsi:type="dcterms:W3CDTF">2013-12-23T23:15:00Z</dcterms:modified>
  <cp:category/>
</cp:coreProperties>
</file>