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Die Verwaltungs-, Leitungs- und Aufsichtsorgane der FRÖBEL-Gruppe umfassen insgesamt 31 Mitglieder: 5 geschäftsführende und 26 nicht geschäftsführende, was einem Anteil von 83,9 % nicht geschäftsführender Mitglieder entspricht. Die Verteilung nach Organisationseinheiten stellt sich wie folgt dar (geschäftsführend / nicht geschäftsführend): Fröbel e. V. mit 1 / 1, Fröbel Bildung und Erziehung gGmbH mit 1 / 11, FRÖBEL Kinder in Bewegung gGmbH mit 1 / 3, FRÖBEL Akademie gGmbH mit 2 / 4 sowie der Fröbel Aufsichtsrat mit 0 / 7. Stefan 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gibt einen Überblick über die Geschlechterverteilung in den Verwaltungs-, Leitungs- und Aufsichtsorganen.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gibt einen Überblick über die Geschlechterverteilung der Beschäftigten.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pStyle w:val="ListBullet"/>
      </w:pPr>
      <w:r>
        <w:t>Energieverbrauch und Treibhausgasemissionen aus dem Betrieb von Gebäuden</w:t>
      </w:r>
    </w:p>
    <w:p>
      <w:pPr>
        <w:pStyle w:val="ListBullet"/>
      </w:pPr>
      <w:r>
        <w:t>Klimaschutzmaßnahmen sowie die Reduktion klimabezogener Auswirkungen</w:t>
      </w:r>
    </w:p>
    <w:p>
      <w:pPr>
        <w:pStyle w:val="ListBullet"/>
      </w:pPr>
      <w:r>
        <w:t>Klimabezogene Risiken für den Betrieb, insbesondere im Zusammenhang mit Hitze und Extremwetterereignissen</w:t>
      </w:r>
    </w:p>
    <w:p>
      <w:pPr>
        <w:pStyle w:val="ListBullet"/>
      </w:pPr>
      <w:r>
        <w:t>Arbeitsbedingungen und Beschäftigungssituation der Mitarbeitenden</w:t>
      </w:r>
    </w:p>
    <w:p>
      <w:pPr>
        <w:pStyle w:val="ListBullet"/>
      </w:pPr>
      <w:r>
        <w:t>Fachkräftesicherung und Personalgewinnung</w:t>
      </w:r>
    </w:p>
    <w:p>
      <w:pPr>
        <w:pStyle w:val="ListBullet"/>
      </w:pPr>
      <w:r>
        <w:t>Qualität der frühkindlichen Bildung</w:t>
      </w:r>
    </w:p>
    <w:p>
      <w:pPr>
        <w:pStyle w:val="ListBullet"/>
      </w:pPr>
      <w:r>
        <w:t>Bildung für nachhaltige Entwicklung (BNE)</w:t>
      </w:r>
    </w:p>
    <w:p>
      <w:pPr>
        <w:pStyle w:val="ListBullet"/>
      </w:pPr>
      <w:r>
        <w:t>Gesellschaftliche Wirkung der pädagogischen Arbeit</w:t>
      </w:r>
    </w:p>
    <w:p>
      <w:pPr>
        <w:pStyle w:val="ListBullet"/>
      </w:pPr>
      <w:r>
        <w:t>Weiterentwicklung der Nachhaltigkeitsstrategie</w:t>
      </w:r>
    </w:p>
    <w:p>
      <w:pPr>
        <w:pStyle w:val="ListBullet"/>
      </w:pPr>
      <w:r>
        <w:t>Durchführung der doppelten Wesentlichkeitsanalyse</w:t>
      </w:r>
    </w:p>
    <w:p>
      <w:pPr>
        <w:pStyle w:val="ListBullet"/>
      </w:pPr>
      <w:r>
        <w:t>Nachhaltigkeitsbezogene Risiken und Chancen</w:t>
      </w:r>
    </w:p>
    <w:p>
      <w:pPr>
        <w:pStyle w:val="ListBullet"/>
      </w:pPr>
      <w:r>
        <w:t>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des Systems sind klar definierte Zuständigkeiten für die Erhebung, Prüfung und Freigabe nachhaltigkeitsbezogener Daten, standardisierte Erhebungs- und Dokumentationsprozesse für qualitative und quantitative Angaben (z. B. Energie, Mobilität, Verpflegung, Arbeitskräfte, Kinderschutz), fachliche Plausibilitätsprüfungen durch zuständige Bereiche sowie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potenzielle Auswirkungen auf Menschen, Umwelt und Unternehmenssteuerung, Eintrittswahrscheinlichkeit von Fehldarstellungen oder unvollständigen Angaben, Datenverfügbarkeit und -qualität (Primär- vs. Sekundärdaten, Modellierungen) sowie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unvollständige oder uneinheitliche Datenverfügbarkeit über Standorte hinweg, die Abhängigkeit von modellierten Daten in einzelnen Themenfeldern (z. B. Mobilität, Verpflegung, vorgelagerte Emissionen), Schnittstellenrisiken zwischen Fachbereichen sowie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insbesondere folgende Kontrollen angewendet: die klare Definition von Datenquellen, Annahmen und Berechnungsmethoden, fachliche Prüfung und Freigabe durch zuständige Bereiche, Dokumentation zentraler Annahmen und Abgrenzungen sowie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um Erhebungs- und Dokumentationsprozesse anzupassen, Zuständigkeiten und Schnittstellen zu schärfen, interne Leitlinien und Arbeitshilfen weiterzuentwickeln sowie Maßnahmen zur Verbesserung der Datenqualität zu priorisieren.</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im Zuge der Erstellung und Abstimmung der Nachhaltigkeitserklärung, im Rahmen von Berichten und Vorlagen an die Unternehmensleitung sowie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w:t>
      </w:r>
    </w:p>
    <w:p>
      <w:pPr/>
      <w:r>
        <w:t>2. Identifikation und Bewertung relevanter Stakeholder (vgl. ESRS 2, Rz. 43 ff.).</w:t>
      </w:r>
    </w:p>
    <w:p>
      <w:pPr/>
      <w:r>
        <w:t>3. Identifikation von Auswirkungen, Risiken und Chancen anhand der Aktivitäten in der Wertschöpfungskette (Top-down und Bottom-up, vgl. EFRAG IG 1, Abschnitt 3,2, Rz. 73 ff.).</w:t>
      </w:r>
    </w:p>
    <w:p>
      <w:pPr/>
      <w:r>
        <w:t>4. Bewertung der identifizierten IROs nach Relevanz, Schweregrad, Umfang und Wahrscheinlichkeit (vgl. ESRS 1, Abschnitt 3,4, Rz. 84 ff.).</w:t>
      </w:r>
    </w:p>
    <w:p>
      <w:pPr/>
      <w:r>
        <w:t>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w:t>
      </w:r>
    </w:p>
    <w:p>
      <w:pPr>
        <w:pStyle w:val="ListBullet"/>
      </w:pPr>
      <w:r>
        <w:t>Identifikation der Auswirkungen entlang der Wertschöpfungskette (Scope 1–3), einschließlich Beschaffung von Waren, Lebensmitteln und Energie, Mobilität der Mitarbeitenden und Familien sowie Abfall und Recycling</w:t>
      </w:r>
    </w:p>
    <w:p>
      <w:pPr>
        <w:pStyle w:val="ListBullet"/>
      </w:pPr>
      <w:r>
        <w:t>Bewertung der Auswirkungen anhand von Schweregrad, Umfang und Wahrscheinlichkeit (vgl. ESRS 1, Rz. 85 ff.)</w:t>
      </w:r>
    </w:p>
    <w:p>
      <w:pPr>
        <w:pStyle w:val="ListBullet"/>
      </w:pPr>
      <w:r>
        <w:t>Priorisierung nach relativer Bedeutung für Mensch und Umwelt (vgl. ESRS 1, Rz. 87 ff.)</w:t>
      </w:r>
    </w:p>
    <w:p>
      <w:pPr>
        <w:pStyle w:val="ListBullet"/>
      </w:pPr>
      <w:r>
        <w:t>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w:t>
      </w:r>
    </w:p>
    <w:p>
      <w:pPr>
        <w:pStyle w:val="ListBullet"/>
      </w:pPr>
      <w:r>
        <w:t>Eintrittswahrscheinlichkeit: von sehr unwahrscheinlich (1) bis sicherer Eintritt (5)</w:t>
      </w:r>
    </w:p>
    <w:p>
      <w:pPr>
        <w:pStyle w:val="ListBullet"/>
      </w:pPr>
      <w:r>
        <w:t>Ausmaß positiver und negativer Auswirkungen: von minimal (1) bis sehr hoch (5)</w:t>
      </w:r>
    </w:p>
    <w:p>
      <w:pPr>
        <w:pStyle w:val="ListBullet"/>
      </w:pPr>
      <w:r>
        <w:t>Umfang der Auswirkungen: von minimal (1) bis maximal/weitreichend (5)</w:t>
      </w:r>
    </w:p>
    <w:p>
      <w:pPr>
        <w:pStyle w:val="ListBullet"/>
      </w:pPr>
      <w:r>
        <w:t>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w:t>
      </w:r>
    </w:p>
    <w:p>
      <w:pPr>
        <w:pStyle w:val="ListBullet"/>
      </w:pPr>
      <w:r>
        <w:t>Identifikation: Erfassung potenzieller finanzieller Risiken und Chancen entlang der Wertschöpfungskette, insbesondere in Bezug auf Personalgewinnung und -bindung, Energieversorgung, Lebensmittelversorgung sowie externe Regulierungen</w:t>
      </w:r>
    </w:p>
    <w:p>
      <w:pPr>
        <w:pStyle w:val="ListBullet"/>
      </w:pPr>
      <w:r>
        <w:t>Bewertung: Einordnung nach Eintrittswahrscheinlichkeit, Ausmaß und zeitlichem Horizont (kurz-, mittel- und langfristig)</w:t>
      </w:r>
    </w:p>
    <w:p>
      <w:pPr>
        <w:pStyle w:val="ListBullet"/>
      </w:pPr>
      <w:r>
        <w:t>Priorisierung: Abgleich der finanziellen Tragweite mit den im zentralen Risikomanagementsystem erfassten Unternehmensrisiken</w:t>
      </w:r>
    </w:p>
    <w:p>
      <w:pPr>
        <w:pStyle w:val="ListBullet"/>
      </w:pPr>
      <w:r>
        <w:t>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Im Einzelnen wurden folgende Felder betrachtet:</w:t>
      </w:r>
    </w:p>
    <w:p>
      <w:pPr>
        <w:pStyle w:val="ListBullet"/>
      </w:pPr>
      <w:r>
        <w:t>Arbeitsmarkt und Demografie: Risiko des Fachkräftemangels mit finanziellen Auswirkungen auf Betriebssicherheit und Auslastung; Chance durch Positionierung als attraktiver Arbeitgeber mit guten Arbeitsbedingungen</w:t>
      </w:r>
    </w:p>
    <w:p>
      <w:pPr>
        <w:pStyle w:val="ListBullet"/>
      </w:pPr>
      <w:r>
        <w:t>Regulatorische Rahmenbedingungen: Risiko steigender Kosten durch neue Vorgaben in der frühkindlichen Bildung oder arbeitsrechtliche Veränderungen; Chance durch staatliche Förderprogramme und Zuschüsse</w:t>
      </w:r>
    </w:p>
    <w:p>
      <w:pPr>
        <w:pStyle w:val="ListBullet"/>
      </w:pPr>
      <w:r>
        <w:t>Energiepreise: Risiko deutlicher Kostensteigerungen für Strom und Wärme; Chance durch Investitionen in Effizienzmaßnahmen und langfristige Verträge mit erneuerbaren Energien</w:t>
      </w:r>
    </w:p>
    <w:p>
      <w:pPr>
        <w:pStyle w:val="ListBullet"/>
      </w:pPr>
      <w:r>
        <w:t>Lebensmittelversorgung: Risiko höherer Einkaufspreise und Lieferengpässe; Chance durch nachhaltige Beschaffungsstrategien und regionale Lieferketten</w:t>
      </w:r>
    </w:p>
    <w:p>
      <w:pPr>
        <w:pStyle w:val="ListBullet"/>
      </w:pPr>
      <w:r>
        <w:t>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 Eintrittswahrscheinlichkeit von sehr unwahrscheinlich (1) bis sicherer Eintritt (5), 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Die Priorisierung erfolgte über eine Risikomatrix (Eintrittswahrscheinlichkeit × Ausmaß), den Abgleich mit finanziellen Schwellenwerten (Budget, Liquidität und Wirtschaftlichkeit) sowie die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Als interne Datenquellen wurden herangezogen:</w:t>
      </w:r>
    </w:p>
    <w:p>
      <w:pPr>
        <w:pStyle w:val="ListBullet"/>
      </w:pPr>
      <w:r>
        <w:t>Treibhausgasbilanz (Scope 1–3) einschließlich Energieverbrauch, Lebensmittel und Mobilität</w:t>
      </w:r>
    </w:p>
    <w:p>
      <w:pPr>
        <w:pStyle w:val="ListBullet"/>
      </w:pPr>
      <w:r>
        <w:t>Personalstatistiken (z. B. Mitarbeiterzahlen, Fluktuation, Fachkräftebedarf)</w:t>
      </w:r>
    </w:p>
    <w:p>
      <w:pPr>
        <w:pStyle w:val="ListBullet"/>
      </w:pPr>
      <w:r>
        <w:t>Nutzungs- und Belegungszahlen der Einrichtungen</w:t>
      </w:r>
    </w:p>
    <w:p>
      <w:pPr>
        <w:pStyle w:val="ListBullet"/>
      </w:pPr>
      <w:r>
        <w:t>Ergebnisse aus Mitarbeiter- und Familienbefragungen</w:t>
      </w:r>
    </w:p>
    <w:p>
      <w:pPr>
        <w:pStyle w:val="ListBullet"/>
      </w:pPr>
      <w:r>
        <w:t>Dokumentation im internen Kontrollsystem (IKS)</w:t>
      </w:r>
    </w:p>
    <w:p>
      <w:pPr>
        <w:spacing w:before="0" w:after="80" w:line="276" w:lineRule="auto"/>
      </w:pPr>
      <w:r>
        <w:rPr>
          <w:rFonts w:ascii="Calibri" w:hAnsi="Calibri"/>
          <w:b w:val="0"/>
          <w:i w:val="0"/>
          <w:color w:val="1A1A1A"/>
          <w:sz w:val="21"/>
        </w:rPr>
        <w:t>Als externe Datenquellen flossen demografische Kennzahlen (z. B. Geburtenraten, Bevölkerungsentwicklung), Entwicklungen der Energie- und Lebensmittelpreise sowie regulatorische Rahmenbedingungen (z. B. Vorgaben zur frühkindlichen Bildung, Arbeits- und Klimaschutzgesetze) in die Analyse ein.</w:t>
      </w:r>
    </w:p>
    <w:p>
      <w:pPr>
        <w:spacing w:before="0" w:after="80" w:line="276" w:lineRule="auto"/>
      </w:pPr>
      <w:r>
        <w:rPr>
          <w:rFonts w:ascii="Calibri" w:hAnsi="Calibri"/>
          <w:b w:val="0"/>
          <w:i w:val="0"/>
          <w:color w:val="1A1A1A"/>
          <w:sz w:val="21"/>
        </w:rPr>
        <w:t>Die methodische Beratung und Validierung des Prozesses erfolgte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41245" w:name="iro-2"/>
      <w:pPr>
        <w:pStyle w:val="Heading2"/>
      </w:pPr>
      <w:r>
        <w:t>IRO-2 – Offenlegungsanforderungen in den ESRS, die vom Nachhaltigkeitsbericht des Unternehmens abgedeckt werden</w:t>
      </w:r>
      <w:bookmarkEnd w:id="41245"/>
    </w:p>
    <w:p>
      <w:pPr>
        <w:spacing w:before="120" w:after="60"/>
      </w:pPr>
      <w:r>
        <w:rPr>
          <w:rFonts w:ascii="Calibri" w:hAnsi="Calibri"/>
          <w:b/>
          <w:i w:val="0"/>
          <w:color w:val="1A1A1A"/>
          <w:sz w:val="21"/>
        </w:rPr>
        <w:t>Die folgende Tabelle gibt einen Überblick über die im Rahmen dieser Nachhaltigkeitserklärung abgedeckten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Klimawandel wurde im Zuge der doppelten Wesentlichkeitsanalyse für das Jahr 2024 als wesentlich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t xml:space="preserve">Im Bereich Scope 1 (direkte Emissionen aus Heizung und Fuhrpark) adressiert Fröbel die beiden wesentlichen Quellen. Für Heizungsanlagen auf Basis von Holzpellets, Heizöl und Erdgas sind energetische Sanierungen, Heizungsoptimierungen und die sukzessive Umstellung auf erneuerbare Wärmetechnologien vorgesehen; die Emissionen sollen von 1.515 t CO₂e (2019) auf 900 t CO₂e (–40,6 %) bis 2030 und auf 600 t CO₂e (–60,4 %) bis 2040 sinken. Parallel dazu wird die Dienstfahrzeugflotte vollständig elektrifiziert – 80 % Elektrofahrzeuge bis 2027 und 100 % bis 2030 –, was einer Reduktion von derzeit 50,9 t CO₂e auf 0 t CO₂e entspricht.</w:t>
      </w:r>
    </w:p>
    <w:p>
      <w:pPr>
        <w:spacing w:before="0" w:after="80" w:line="276" w:lineRule="auto"/>
      </w:pPr>
      <w:r>
        <w:t xml:space="preserve">Im Scope-2-Bereich (indirekte Emissionen aus Strom und Fernwärme) hat Fröbel den zentralen Schritt bereits vollzogen: Seit 2024 wird in allen Einrichtungen mit eigenem Stromvertrag zu 100 % zertifizierter Ökostrom bezogen, flankiert durch den laufenden Ausbau von Photovoltaikanlagen auf derzeit 30 Standorten. Die Emissionen aus der Stromnutzung sollen so von 1.788 t CO₂e (2019) auf 100 t CO₂e (–94,4 %) bis 2030 sinken. Für den Fernwärmebereich werden klimafreundlichere Wärmemixe und Pilotprojekte für erneuerbare Wärmetechnologien angestrebt, um die Emissionen von 3.042 t CO₂e auf 700 t CO₂e (–77 %) bis 2030 zu reduzieren.</w:t>
      </w:r>
    </w:p>
    <w:p>
      <w:pPr>
        <w:spacing w:before="0" w:after="80" w:line="276" w:lineRule="auto"/>
      </w:pPr>
      <w:r>
        <w:t xml:space="preserve">Den größten Hebel bildet der Scope-3-Bereich (weitere indirekte Emissionen). Mit rund 40 % der Gesamtemissionen ist die Kantine und Lebensmittelversorgung die bedeutendste Stellschraube: Über den Fröbel-Leitfaden für Küchenteams (bereits zu 85,7 % umgesetzt), die Einführung von DGE-Standards, die vollständige Umstellung auf ovo-lacto-vegetarische Ernährung bis 2030 sowie den verstärkten Einsatz regionaler und biologischer Produkte sollen die Emissionen von 6.685 t CO₂e (2019) auf 3.725 t CO₂e (–44,3 %) bis 2030 sinken. Weitere Maßnahmen adressieren die Pendelemissionen der Mitarbeitenden durch das Deutschlandticket Job und digitale Arbeitsformate (Ziel: –4,5 % bis 2030), die Emissionen aus dem Familienverkehr durch Sensibilisierungskampagnen (Ziel: –27,3 % bis 2030), Geschäftsreisen durch die Reisekostenrichtlinie mit Bahnvorrang (Ziel: –60,7 % bis 2030) sowie Abfall und Recycling durch verbesserte Trennung und Lebensmittelabfallvermeidung. Ergänzend tragen Effizienzmaßnahmen bei Elektronik, Büromaterial und Wasser zur Gesamtreduktion bei.</w:t>
      </w:r>
    </w:p>
    <w:p>
      <w:pPr>
        <w:spacing w:before="0" w:after="80" w:line="276" w:lineRule="auto"/>
      </w:pPr>
      <w:r>
        <w:t>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t>Für das Jahr 2024 wurde ein Globalbudget in Höhe von 1 Mio. Euro beschlossen. Die Mittel dienen insbesondere der energetischen Sanierung von Bestandsgebäuden, dem Ausbau erneuerbarer Energien (v. a. Photovoltaikanlagen), der Modernisierung von Heizungsanlagen sowie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t xml:space="preserve">Fröbel betreibt keine energie- oder rohstoffintensiven Anlagen und ist daher nur in geringem Umfang von gebundenen Treibhausgasemissionen betroffen. Die wesentlichen potenziellen Emissionsbindungen ergeben sich aus zwei strukturellen Risikofaktoren.</w:t>
      </w:r>
    </w:p>
    <w:p>
      <w:pPr>
        <w:spacing w:before="0" w:after="80" w:line="276" w:lineRule="auto"/>
      </w:pPr>
      <w:r>
        <w:t xml:space="preserve">Ein wesentlicher Risikofaktor sind Bestandsgebäude mit konventionellen Heizsystemen auf Basis von Gas, Öl oder Fernwärme. Ein Teil der Fröbel-Einrichtungen befindet sich in angemieteten oder denkmalgeschützten Gebäuden, in denen eine kurzfristige Umstellung auf erneuerbare Wärmequellen nicht möglich ist. Diese Infrastruktur verursacht derzeit rund 1,5 t CO₂e (Scope 1), deren Reduktion nur im Rahmen von Eigentümerentscheidungen oder Sanierungszyklen realisierbar ist, was das Risiko birgt, dass die Dekarbonisierungsgeschwindigkeit durch bauliche Rahmenbedingungen gebremst wird.</w:t>
      </w:r>
    </w:p>
    <w:p>
      <w:pPr>
        <w:spacing w:before="0" w:after="80" w:line="276" w:lineRule="auto"/>
      </w:pPr>
      <w:r>
        <w:t xml:space="preserve">Auch das Verpflegungssystem stellt einen strukturellen Risikofaktor dar. Ein Teil der Emissionen bleibt langfristig an die Bereitstellung von Mahlzeiten gebunden; sie liegen überwiegend im Scope-3-Bereich (Wareneinsatz Lebensmittel bei Einrichtungen mit Frischküche sowie externes Catering: ca. 6,7 t CO₂e im Jahr 2019). Trotz umfangreicher Umstellungen auf ovo-lacto-vegetarische Ernährung, regional-saisonale Zutaten und DGE-Standards bleiben unvermeidbare Restemissionen bestehen,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t>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t>Die Maßnahmen des Transitionsplans sind direkt mit den Handlungsfeldern der Geschäftsstrategie verknüpft – insbesondere mit Gebäude &amp; Energie (energetische Sanierungen, PV-Ausbau, Heizungsoptimierungen, Globalbudget 2024–2026), Ernährung &amp; Verpflegung (nachhaltige und vegetarische Verpflegung nach DGE-Standard) sowie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t>Die in Absatz 14 genannten Informationen, Transitionsplan zum Klimaschutz wurde vom Aufsichtsrat und 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t xml:space="preserve">Im Bereich Energie und Gebäude erzielte Fröbel bis Ende 2024 wesentliche Fortschritte. Die Umstellung auf 100 % zertifizierten Ökostrom wurde in allen Einrichtungen mit eigenem Stromvertrag abgeschlossen. 30 Einrichtungen verfügen bereits über Photovoltaikanlagen; weitere Projekte befinden sich in Planung. Darüber hinaus wurden erste Energieberatungen und Pilotprojekte zur Heizungsoptimierung erfolgreich durchgeführt, und die Einführung eines datenbasierten Ressourcenmonitorings wurde vorbereitet.</w:t>
      </w:r>
    </w:p>
    <w:p>
      <w:pPr>
        <w:spacing w:before="0" w:after="80" w:line="276" w:lineRule="auto"/>
      </w:pPr>
      <w:r>
        <w:t xml:space="preserve">Im Bereich Ernährung wurden bedeutende Schritte unternommen. Der Fröbel-Leitfaden für Küchenteams ist zu 85,7 % umgesetzt; die vegetarische Ernährung wurde im Bereich West vollständig eingeführt und wird schrittweise in weiteren Regionen ausgeweitet. Für Einrichtungen mit Frischküche startet 2025 der DGE-Zertifizierungsprozess nach den Standards der Deutschen Gesellschaft für Ernährung.</w:t>
      </w:r>
    </w:p>
    <w:p>
      <w:pPr>
        <w:spacing w:before="0" w:after="80" w:line="276" w:lineRule="auto"/>
      </w:pPr>
      <w:r>
        <w:t xml:space="preserve">Im Bereich Mobilität wurde das nachhaltige Mobilitätskonzept vollständig umgesetzt. Der Fuhrpark ist zu 54,9 % elektrifiziert (Stand Ende 2024); bis 2030 soll eine vollständige Umstellung auf Elektrofahrzeuge erfolgen. Das Deutschlandticket Job wurde eingeführt, und alternative Mobilitätsformen werden aktiv gefördert.</w:t>
      </w:r>
    </w:p>
    <w:p>
      <w:pPr>
        <w:spacing w:before="0" w:after="80" w:line="276" w:lineRule="auto"/>
      </w:pPr>
      <w:r>
        <w:t xml:space="preserve">Im Bereich Monitoring und Steuerung wurden die Treibhausgasbilanzen für 2019, 2022, 2023 und 2024 erstellt. Die Erfassung der Gebäudedaten wurde in einer FM-Datenbank weitgehend zentralisiert, die Integration von Nachhaltigkeitskennzahlen in das interne Kontrollsystem (IKS) wurde begonnen, und die jährliche Überprüfung der Fortschritte durch den Stab Nachhaltigkeit ist als fester Prozess etabliert.</w:t>
      </w:r>
    </w:p>
    <w:p>
      <w:pPr>
        <w:spacing w:before="0" w:after="80" w:line="276" w:lineRule="auto"/>
      </w:pPr>
      <w:r>
        <w:t>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t xml:space="preserve">Fröbel steuert die Umsetzung seiner Klimaziele über ein Bündel verbindlicher Richtlinien und Standards, die für alle Einrichtungen gelten. Die übergeordnete Fröbel Unternehmensstrategie 2030 definiert die strategischen Klimaziele (–50 % Emissionen bis 2030, Netto-Null bis 2040); die Fröbel Nachhaltigkeitsstrategie – erstmals im Rahmen des DNK-Standards veröffentlicht – übersetzt diese in konkrete Handlungsfelder, Ziele und Maßnahmen. Für das Reise- und Mobilitätsverhalten gilt die Fröbel Reisekostenrichtlinie, die Mitarbeitende verpflichtet, Dienstreisen nach Nachhaltigkeitskriterien durchzuführen und Bahnreisen gegenüber Flugreisen sowie digitale Meetings zu bevorzugen. Die Fröbel Beschaffungsrichtlinie verankert Nachhaltigkeitsaspekte im gesamten Beschaffungsprozess; eine weitergehende Berücksichtigung von Klimaeffekten entlang der Lieferkette ist geplant. Der Fröbel Baustandard legt Anforderungen an nachhaltiges Planen und Bauen für Neubauten und Sanierungen fest. Das Fröbel Mobilitätskonzept rahmt die Elektrifizierung des Fuhrparks und die Förderung nachhaltiger Mobilitätsalternativen. Der Fröbel Leitfaden für Küchenteams schließlich definiert verbindliche Mindeststandards für eine klimafreundliche und gesunde Ernährung in allen Einrichtungen.</w:t>
      </w:r>
    </w:p>
    <w:p>
      <w:pPr>
        <w:pStyle w:val="Normal"/>
      </w:pPr>
      <w: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t>Die folgende Tabelle zeigt die Angaben zur Berücksichtigung von Klimaschutz, Anpassung an den Klimawandel, Energieeffizienz, erneuerbaren Energien und sonstigen Bereichen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0" w:after="80" w:line="276" w:lineRule="auto"/>
      </w:pPr>
      <w:r>
        <w:rPr>
          <w:rFonts w:ascii="Calibri" w:hAnsi="Calibri"/>
          <w:b w:val="0"/>
          <w:i w:val="0"/>
          <w:color w:val="1A1A1A"/>
          <w:sz w:val="21"/>
        </w:rPr>
        <w:t>Ergänzend: 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t>Die folgende Tabelle zeigt die Angaben zu den THG-Emissionsreduktionszielen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t xml:space="preserve">Die Kohärenz zwischen Zielsystem und Inventar stellt Fröbel durch mehrere Mechanismen sicher. Zieldefinition und THG-Bilanz folgen denselben organisatorischen und operativen Systemgrenzen (Konsolidierung nach operativer Kontrolle über alle Einrichtungen der Fröbel Bildung und Erziehung gGmbH); alle Berechnungen erfolgen nach einheitlicher Methodik gemäß GHG Protocol unter Verwendung des Planted-Tools. Die Ziele sind als Bruttoreduktionsziele formuliert und beziehen sich ausschließlich auf reale Emissionsminderungen innerhalb der eigenen Wertschöpfungskette – Kompensationen und CO₂-Zertifikate werden nicht eingerechnet. Die im Transitionsplan festgelegten Handlungsfelder (Gebäude, Energie, Ernährung, Mobilität) sind quantitativ mit den Hauptemissionsquellen im Inventar verknüpft, sodass Fortschritte messbar sind; die THG-Bilanzen werden jährlich aktualisiert, um die Zielerreichung zu überprüfen und Abweichungen frühzeitig zu identifizieren.</w:t>
      </w:r>
    </w:p>
    <w:p>
      <w:pPr/>
      <w:r>
        <w:t>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t xml:space="preserve">Im Bereich Energie und Gebäude (Scope 1 + 2) führt Fröbel Energieaudits durch und setzt Effizienzmaßnahmen wie Dämmung sowie Fenster- und Anlagentausch um (CapEx ≈ 3 Mio. € über das Globalbudget 2024–2025). Fossile Heizsysteme werden sukzessive durch Wärmepumpen oder Hybridlösungen ersetzt. Der Ausbau der Photovoltaik auf Gebäuden in Eigentum und Erbbaurecht schreitet voran (aktuell 30 Einrichtungen); der vollständige Strombezug über zertifizierten Ökostrom wurde bereits abgeschlossen. Bis 2026 ist die Einführung eines datenbasierten Energiemanagementsystems geplant.</w:t>
      </w:r>
    </w:p>
    <w:p>
      <w:pPr>
        <w:spacing w:before="0" w:after="80" w:line="276" w:lineRule="auto"/>
      </w:pPr>
      <w:r>
        <w:t xml:space="preserve">Im Handlungsfeld Ernährung und Beschaffung (Scope 3) steht die Umsetzung des Fröbel-Leitfadens für Küchenteams im Mittelpunkt, der bereits zu 85,7 % eingeführt ist. Speisepläne werden stufenweise auf ovo-lacto-vegetarische Kost umgestellt (Bereich West abgeschlossen, übrige Regionen bis 2030); verbindliche DGE-Standards für alle Küchen starten 2025. Durch den verstärkten Einsatz ökologisch zertifizierter, regionaler und saisonaler Produkte sowie die Reduktion tierischer Lebensmittel werden die ernährungsbedingten Scope-3-Emissionen gezielt gesenkt.</w:t>
      </w:r>
    </w:p>
    <w:p>
      <w:pPr>
        <w:spacing w:before="0" w:after="80" w:line="276" w:lineRule="auto"/>
      </w:pPr>
      <w:r>
        <w:t xml:space="preserve">Im Bereich Mobilität (Scope 1 + 3) wird der Fuhrpark konsequent elektrifiziert: 80 % Elektrofahrzeuge sind bis 2027 angestrebt, 100 % bis 2030. Das Deutschlandticket Job ist eingeführt, JobRad-Angebote werden ausgebaut, und ÖPNV-Nutzung wird durch gezielte Anreize gefördert. Die Reisekostenrichtlinie verpflichtet zudem zur Nutzung nachhaltiger Reiseoptionen – mit Priorität für Bahnreisen gegenüber Flugreisen und dem Vorrang digitaler Meetings.</w:t>
      </w:r>
    </w:p>
    <w:p>
      <w:pPr>
        <w:spacing w:before="0" w:after="80" w:line="276" w:lineRule="auto"/>
      </w:pPr>
      <w:r>
        <w:t xml:space="preserve">Das vierte Handlungsfeld – Monitoring und Steuerung – sichert die Wirksamkeit aller Maßnahmen ab. Treibhausgasbilanzen für die Jahre 2019, 2022–2024 liegen vor und werden künftig jährlich erstellt. Eine automatisierte Datenerfassung in den Bereichen Energie, Fuhrpark und Beschaffung ist im Aufbau; die Integration der Nachhaltigkeitskennzahlen in das interne Kontrollsystem (IKS) ermöglicht eine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t>In einem solchen Fall würde Fröbel den neuen Bezugswert und Zielzeitraum transparent dokumentieren, die Auswirkungen auf die bisherige Zielerreichung nachvollziehbar darstellen und und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spacing w:before="0" w:after="80" w:line="276" w:lineRule="auto"/>
      </w:pPr>
      <w:r>
        <w:t>Die folgende Tabelle zeigt den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t>Der Anteil erneuerbarer Energien am Gesamtenergieverbrauch beträgt im Berichtsjahr 26,3 MWh.</w:t>
      </w:r>
    </w:p>
    <w:p>
      <w:pPr>
        <w:spacing w:before="0" w:after="80" w:line="276" w:lineRule="auto"/>
      </w:pPr>
      <w:r>
        <w:t>Der Gesamtenergieverbrauch beläuft sich im Berichtszeitraum auf 5.534,1 MWh.</w:t>
      </w:r>
    </w:p>
    <w:p>
      <w:pPr>
        <w:spacing w:before="0" w:after="80" w:line="276" w:lineRule="auto"/>
      </w:pPr>
      <w:r>
        <w:t>Im Berichtsjahr beträgt der Anteil anderer erneuerbarer Energiequellen 90,8 MWh.</w:t>
      </w:r>
    </w:p>
    <w:p>
      <w:pPr>
        <w:pStyle w:val="Heading2"/>
      </w:pPr>
      <w:r>
        <w:t>E1-6 – Brutto Scopes 1, 2, 3 und Gesamtemissionen von Treibhausgasen</w:t>
      </w:r>
    </w:p>
    <w:p>
      <w:pPr>
        <w:pStyle w:val="Heading3"/>
      </w:pPr>
      <w:r>
        <w:t>44 – Angabe der Treibhausgasemissionen</w:t>
      </w:r>
    </w:p>
    <w:p>
      <w:pPr>
        <w:spacing w:before="0" w:after="80" w:line="276" w:lineRule="auto"/>
      </w:pPr>
      <w:r>
        <w:t>Die folgende Tabelle zeigt die Angaben zu den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0" w:after="80" w:line="276" w:lineRule="auto"/>
      </w:pPr>
      <w:r>
        <w:rPr>
          <w:rFonts w:ascii="Calibri" w:hAnsi="Calibri"/>
          <w:b w:val="0"/>
          <w:i w:val="0"/>
          <w:color w:val="1A1A1A"/>
          <w:sz w:val="21"/>
        </w:rPr>
        <w:t>Ergänzend ist festzuhalten: 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t>Die folgende Tabelle zeigt die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0" w:after="80" w:line="276" w:lineRule="auto"/>
      </w:pPr>
      <w:r>
        <w:rPr>
          <w:rFonts w:ascii="Calibri" w:hAnsi="Calibri"/>
          <w:b w:val="0"/>
          <w:i w:val="0"/>
          <w:color w:val="1A1A1A"/>
          <w:sz w:val="21"/>
        </w:rPr>
        <w:t>Ergänzend ist festzuhalten: 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t>Die folgende Tabelle zeigt die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0" w:after="80" w:line="276" w:lineRule="auto"/>
      </w:pPr>
      <w:r>
        <w:rPr>
          <w:rFonts w:ascii="Calibri" w:hAnsi="Calibri"/>
          <w:b w:val="0"/>
          <w:i w:val="0"/>
          <w:color w:val="1A1A1A"/>
          <w:sz w:val="21"/>
        </w:rPr>
        <w:t>Ergänzend ist festzuhalten: 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t>Die Primärdatenquote der Scope-3-THG-Bruttoemissionen beträgt im Berichtsjahr 17 %. 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spacing w:before="0" w:after="80" w:line="276" w:lineRule="auto"/>
      </w:pPr>
      <w:r>
        <w:t>Die folgende Tabelle zeigt die Zusammenstellung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explanation-driven]]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0" w:after="80" w:line="276" w:lineRule="auto"/>
      </w:pPr>
      <w: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t>Die Scope-1-THG-Bruttoemissionen belaufen sich im Berichtsjahr auf 1.331,3 t CO₂e; davon entfallen 9,8 t CO₂e auf Emissionen aus Emissionshandelssystemen.</w:t>
      </w:r>
    </w:p>
    <w:p>
      <w:pPr>
        <w:pStyle w:val="Heading3"/>
      </w:pPr>
      <w:r>
        <w:t>49 – Scope-2-THG-Bruttoemissionen</w:t>
      </w:r>
    </w:p>
    <w:p>
      <w:pPr>
        <w:spacing w:before="0" w:after="80" w:line="276" w:lineRule="auto"/>
      </w:pPr>
      <w:r>
        <w:t>Die standortbezogenen Scope-2-THG-Bruttoemissionen belaufen sich im Berichtsjahr auf 4.060,8 t CO₂e. Die standortbezogenen THG-Gesamtemissionen betragen 15.299,9 t CO₂e, die marktbezogenen Scope-2-THG-Bruttoemissionen 2.923,2 t CO₂e und die marktbezogenen THG-Gesamtemissionen 13.973,2 t CO₂e.</w:t>
      </w:r>
    </w:p>
    <w:p>
      <w:pPr>
        <w:spacing w:before="0" w:after="80" w:line="276" w:lineRule="auto"/>
      </w:pPr>
      <w:r>
        <w:rPr>
          <w:rFonts w:ascii="Calibri" w:hAnsi="Calibri"/>
          <w:b w:val="0"/>
          <w:i w:val="0"/>
          <w:color w:val="1A1A1A"/>
          <w:sz w:val="21"/>
        </w:rPr>
        <w:t>Ergänzend ist festzuhalten: 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0" w:after="80" w:line="276" w:lineRule="auto"/>
      </w:pPr>
      <w:r>
        <w:rPr>
          <w:rFonts w:ascii="Calibri" w:hAnsi="Calibri"/>
          <w:b w:val="0"/>
          <w:i w:val="0"/>
          <w:color w:val="1A1A1A"/>
          <w:sz w:val="21"/>
        </w:rPr>
        <w:t>Ergänzend ist festzuhalten: 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t>Die standortbezogenen THG-Gesamtemissionen belaufen sich im Berichtsjahr auf 15.299,9 t CO₂e; die marktbezogenen THG-Gesamtemissionen betragen 13.973,2 t CO₂e.</w:t>
      </w:r>
    </w:p>
    <w:p>
      <w:pPr>
        <w:spacing w:before="0" w:after="80" w:line="276" w:lineRule="auto"/>
      </w:pPr>
      <w:r>
        <w:rPr>
          <w:rFonts w:ascii="Calibri" w:hAnsi="Calibri"/>
          <w:b w:val="0"/>
          <w:i w:val="0"/>
          <w:color w:val="1A1A1A"/>
          <w:sz w:val="21"/>
        </w:rPr>
        <w:t>Ergänzend ist festzuhalten: 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0" w:after="80" w:line="276" w:lineRule="auto"/>
      </w:pPr>
      <w:r>
        <w:rPr>
          <w:rFonts w:ascii="Calibri" w:hAnsi="Calibri"/>
          <w:b w:val="0"/>
          <w:i w:val="0"/>
          <w:color w:val="1A1A1A"/>
          <w:sz w:val="21"/>
        </w:rPr>
        <w:t>Ergänzend ist festzuhalten: 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explanation-driven]]</w:t>
      </w:r>
    </w:p>
    <w:p>
      <w:pPr>
        <w:pStyle w:val="Heading3"/>
      </w:pPr>
      <w:r>
        <w:t>AR 45 – Informationen zu Scope-2-THG-Bruttoemissionen und Energieinstrumenten</w:t>
      </w:r>
    </w:p>
    <w:p>
      <w:pPr>
        <w:spacing w:before="0" w:after="80" w:line="276" w:lineRule="auto"/>
      </w:pPr>
      <w:r>
        <w:t>Der Anteil der durch vertragliche Instrumente (Herkunftsnachweise) gedeckten Scope-2-THG-Emissionen beträgt im Berichtszeitraum 21,9 %.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t>Der durch vertragliche Instrumente gedeckte Anteil des Scope-2-Energieverbrauchs beträgt 100 %. Methodik &amp; Anteile (AR 45d/e): Fröbel berechnet Scope-2-Emissionen gemäß GHG-Protocol Scope-2-Guidance (2015) sowohl market-based als auch location-based. 
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Informationen zu Scope-2-THG-Bruttoemissionen und Energieinstrumenten beläuft sich im Berichtszeitraum auf 21,9. 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0" w:after="80" w:line="276" w:lineRule="auto"/>
      </w:pPr>
      <w:r>
        <w:rPr>
          <w:rFonts w:ascii="Calibri" w:hAnsi="Calibri"/>
          <w:b w:val="0"/>
          <w:i w:val="0"/>
          <w:color w:val="1A1A1A"/>
          <w:sz w:val="21"/>
        </w:rPr>
        <w:t>Methodisch ist anzumerken: 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0" w:after="80" w:line="276" w:lineRule="auto"/>
      </w:pPr>
      <w:r>
        <w:rPr>
          <w:rFonts w:ascii="Calibri" w:hAnsi="Calibri"/>
          <w:b w:val="0"/>
          <w:i w:val="0"/>
          <w:color w:val="1A1A1A"/>
          <w:sz w:val="21"/>
        </w:rPr>
        <w:t>Methodisch ist anzumerken: 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t>Die folgende Tabelle zeigt die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0" w:after="80" w:line="276" w:lineRule="auto"/>
      </w:pPr>
      <w:r>
        <w:rPr>
          <w:rFonts w:ascii="Calibri" w:hAnsi="Calibri"/>
          <w:b w:val="0"/>
          <w:i w:val="0"/>
          <w:color w:val="1A1A1A"/>
          <w:sz w:val="21"/>
        </w:rPr>
        <w:t>Methodisch ist anzumerken: 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t>Die folgende Tabelle zeigt die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Methodisch ist anzumerken: 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t>Im Berichtsjahr wurden keine CO₂-Zertifikate außerhalb der Wertschöpfungskette gelöscht (0 t CO₂e); auch für die geplante Löschung von CO₂-Zertifikaten außerhalb der Wertschöpfungskette werden 0 t CO₂e ausgewiesen.</w:t>
      </w:r>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pStyle w:val="Heading2"/>
      </w:pPr>
      <w:r>
        <w:t>E1-8 – Interne CO2-Bepreisung</w:t>
      </w:r>
    </w:p>
    <w:p>
      <w:pPr>
        <w:pStyle w:val="Heading3"/>
      </w:pPr>
      <w:r>
        <w:t>62 – Internes CO2 Bepreisungssystem</w:t>
      </w:r>
    </w:p>
    <w:p>
      <w:pPr>
        <w:spacing w:before="0" w:after="80" w:line="276" w:lineRule="auto"/>
      </w:pPr>
      <w:r>
        <w:t>Fröbel wendet zur Zeit keine internen CO2-Bepreisungssysteme an.</w:t>
      </w:r>
    </w:p>
    <w:p>
      <w:pPr>
        <w:pStyle w:val="Heading3"/>
      </w:pPr>
      <w:r>
        <w:t>AR 65 – Beschreibung der Verwendung von internen CO2 Bepreisunssystemen</w:t>
      </w:r>
    </w:p>
    <w:p>
      <w:pPr>
        <w:spacing w:before="0" w:after="80" w:line="276" w:lineRule="auto"/>
      </w:pPr>
      <w: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Dies trifft auf FRÖBEL e.V. zu.</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Dies trifft auf FRÖBEL e.V. zu.</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nachfolgenden Tabellen geben einen Überblick über die Zusammensetzung der Belegschaft von FRÖBEL e.V. im Berichtsjahr 2024. Ausgewiesen werden Angaben nach Geschlecht, Beschäftigungsart sowie geografischer Verteilung. Die Daten wurden der Personalmanagement-Software entnommen. Die Angaben beziehen sich auf die Personenzahl; der Konsolidierungskreis der Nachhaltigkeitsberichterstattung weicht geringfügig vom handelsrechtlichen Konsolidierungskreis ab.</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nachfolgenden Tabellen stellen die demografische Zusammensetzung der Belegschaft von FRÖBEL e.V. dar. Ausgewiesen werden die Verteilung nach Geschlecht (Anzahl und Anteil an der obersten Führungsebene) sowie die Altersstruktur der Gesamtbelegschaft nach drei Altersgruppen.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Im Berichtsjahr 2024 weist FRÖBEL e.V. Vergütungskennzahlen differenziert nach den zwei maßgeblichen Vergütungsgruppen aus: außertarifliche Mitarbeitende (AT) sowie Mitarbeitende im Haustarifvertrag Fröbel (HTV).
Für die Lohngleichheit (Datenpunkt 97a) ergibt sich auf Basis der Ist-Werte: Der Anteil des mittleren Fraueneinkommens am mittleren Männereinkommen beträgt bei AT-Beschäftigten 70,4 % und bei HTV-Beschäftigten 75,02 %. Auf Vollzeit hochgerechnet liegen die entsprechenden Werte bei 1,1 % (AT) bzw. 5,4 % (HTV). Ein Wert von 100 % würde vollständige Lohngleichheit bedeuten; Werte unter 100 % zeigen an, dass das durchschnittliche Fraueneinkommen unter dem der Männer liegt.
Das Verhältnis der höchsten zur niedrigsten Gesamtvergütung im Unternehmen (Datenpunkt 97b) beträgt 535 % im Verhältnis zwischen AT- und HTV-Vergütungen zusammen. Hochgerechnet auf Vollzeitäquivalente beläuft sich der Wert auf 470 %.
Methodisch ist anzumerken, dass Auszubildende, geringfügig Beschäftigte sowie Mini-Jobber bei der Medianberechnung nicht berücksichtigt werden. Einbezogen werden nur Personen, die im gesamten Berichtsjahr beschäftigt waren.</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Richtlinien zur Bewältigung wesentlicher Auswirkungen, Risiken und Chancen im Zusammenhang mit Verbrauchern und/oder Endnutzern trifft zu.</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Strategien zum Schutz vor Vergeltungsmaßnahmen sind bei FRÖBEL e.V. verbindlich in den internen Melde-, Beschwerde- und Kinderschutzstrukturen verankert. Ziel ist es, sicherzustellen, dass Kinder, Familien sowie deren rechtmäßige Vertreter keine Nachteile, Sanktionen oder Benachteiligungen erfahren, wenn sie Anliegen, Beschwerden oder Hinweise äußern. Der Schutz vor Vergeltungsmaßnahmen wird durch klar geregelte Vertraulichkeits- und Datenschutzstandards im Umgang mit Hinweisen gewährleistet. Darüber hinaus besteht die Möglichkeit zur vertraulichen und – sofern vorgesehen – anonymen Meldung. Es gilt die verbindliche Vorgabe, dass eingebrachte Hinweise nicht zu Lasten der meldenden Person verwendet werden dürfen; definierte Rollen, Zuständigkeiten und Dokumentationspflichten rahmen die Bearbeitung von Anliegen verbindlich ein. 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und Transparenz der Entscheidungsprozesse sicherstellen. 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Dies trifft auf FRÖBEL e.V. zu.</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