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4D" w:rsidRDefault="00797E5E" w:rsidP="00797E5E">
      <w:pPr>
        <w:pStyle w:val="1"/>
        <w:ind w:leftChars="0" w:left="0"/>
        <w:jc w:val="center"/>
        <w:rPr>
          <w:rFonts w:ascii="標楷體" w:eastAsia="標楷體" w:hAnsi="標楷體" w:cs="標楷體"/>
          <w:b/>
          <w:sz w:val="32"/>
          <w:szCs w:val="32"/>
        </w:rPr>
      </w:pPr>
      <w:r w:rsidRPr="00797E5E">
        <w:rPr>
          <w:rFonts w:ascii="標楷體" w:eastAsia="標楷體" w:hAnsi="標楷體" w:cs="標楷體" w:hint="eastAsia"/>
          <w:b/>
          <w:sz w:val="32"/>
          <w:szCs w:val="32"/>
        </w:rPr>
        <w:t xml:space="preserve">第四章 </w:t>
      </w:r>
      <w:r w:rsidR="00DB774D">
        <w:rPr>
          <w:rFonts w:ascii="標楷體" w:eastAsia="標楷體" w:hAnsi="標楷體" w:cs="標楷體" w:hint="eastAsia"/>
          <w:b/>
          <w:sz w:val="32"/>
          <w:szCs w:val="32"/>
        </w:rPr>
        <w:t>研究結果與討論</w:t>
      </w:r>
    </w:p>
    <w:p w:rsidR="00DB774D" w:rsidRDefault="00DB774D" w:rsidP="001B20FC">
      <w:pPr>
        <w:pStyle w:val="1"/>
        <w:ind w:leftChars="0" w:left="0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 w:hint="eastAsia"/>
          <w:b/>
        </w:rPr>
        <w:t>一、 行動學習對學童</w:t>
      </w:r>
      <w:r w:rsidR="00693D35">
        <w:rPr>
          <w:rFonts w:ascii="標楷體" w:eastAsia="標楷體" w:hAnsi="標楷體" w:cs="標楷體" w:hint="eastAsia"/>
          <w:b/>
        </w:rPr>
        <w:t>「數與計算」學習成就</w:t>
      </w:r>
      <w:r>
        <w:rPr>
          <w:rFonts w:ascii="標楷體" w:eastAsia="標楷體" w:hAnsi="標楷體" w:cs="標楷體" w:hint="eastAsia"/>
          <w:b/>
        </w:rPr>
        <w:t>之影響</w:t>
      </w:r>
    </w:p>
    <w:p w:rsidR="00DB774D" w:rsidRPr="00985896" w:rsidRDefault="00E52123" w:rsidP="001B20FC">
      <w:pPr>
        <w:pStyle w:val="1"/>
        <w:ind w:leftChars="0" w:left="0" w:firstLine="480"/>
        <w:rPr>
          <w:rFonts w:ascii="Times New Roman" w:eastAsia="標楷體" w:hAnsi="Times New Roman" w:cs="Times New Roman"/>
        </w:rPr>
      </w:pPr>
      <w:r w:rsidRPr="00985896">
        <w:rPr>
          <w:rFonts w:ascii="Times New Roman" w:eastAsia="標楷體" w:hAnsi="Times New Roman" w:cs="Times New Roman"/>
        </w:rPr>
        <w:t>實驗組及控制組在</w:t>
      </w:r>
      <w:r w:rsidR="00693D35">
        <w:rPr>
          <w:rFonts w:ascii="Times New Roman" w:eastAsia="標楷體" w:hAnsi="Times New Roman" w:cs="Times New Roman"/>
        </w:rPr>
        <w:t>「數與計算」學習成就</w:t>
      </w:r>
      <w:r w:rsidRPr="00985896">
        <w:rPr>
          <w:rFonts w:ascii="Times New Roman" w:eastAsia="標楷體" w:hAnsi="Times New Roman" w:cs="Times New Roman"/>
        </w:rPr>
        <w:t>前、後測成績描述性統計結果如表</w:t>
      </w:r>
      <w:r w:rsidRPr="00985896">
        <w:rPr>
          <w:rFonts w:ascii="Times New Roman" w:eastAsia="標楷體" w:hAnsi="Times New Roman" w:cs="Times New Roman"/>
        </w:rPr>
        <w:t>4-1</w:t>
      </w:r>
      <w:r w:rsidRPr="00985896">
        <w:rPr>
          <w:rFonts w:ascii="Times New Roman" w:eastAsia="標楷體" w:hAnsi="Times New Roman" w:cs="Times New Roman"/>
        </w:rPr>
        <w:t>所示。</w:t>
      </w:r>
      <w:r w:rsidR="004D7AA5" w:rsidRPr="00985896">
        <w:rPr>
          <w:rFonts w:ascii="Times New Roman" w:eastAsia="標楷體" w:hAnsi="Times New Roman" w:cs="Times New Roman"/>
        </w:rPr>
        <w:t>由表</w:t>
      </w:r>
      <w:r w:rsidR="004D7AA5" w:rsidRPr="00693D35">
        <w:rPr>
          <w:rFonts w:ascii="Times New Roman" w:eastAsia="標楷體" w:hAnsi="Times New Roman" w:cs="Times New Roman"/>
          <w:color w:val="FF0000"/>
        </w:rPr>
        <w:t>4-1</w:t>
      </w:r>
      <w:r w:rsidR="004D7AA5" w:rsidRPr="00985896">
        <w:rPr>
          <w:rFonts w:ascii="Times New Roman" w:eastAsia="標楷體" w:hAnsi="Times New Roman" w:cs="Times New Roman"/>
        </w:rPr>
        <w:t>可知，</w:t>
      </w:r>
      <w:r w:rsidR="00574F52" w:rsidRPr="00985896">
        <w:rPr>
          <w:rFonts w:ascii="Times New Roman" w:eastAsia="標楷體" w:hAnsi="Times New Roman" w:cs="Times New Roman"/>
        </w:rPr>
        <w:t>實驗組後測平均數</w:t>
      </w:r>
      <w:r w:rsidR="00574F52" w:rsidRPr="00985896">
        <w:rPr>
          <w:rFonts w:ascii="Times New Roman" w:eastAsia="標楷體" w:hAnsi="Times New Roman" w:cs="Times New Roman"/>
        </w:rPr>
        <w:t>(</w:t>
      </w:r>
      <w:r w:rsidR="00B52EAF" w:rsidRPr="00985896">
        <w:rPr>
          <w:rFonts w:ascii="Times New Roman" w:eastAsia="標楷體" w:hAnsi="Times New Roman" w:cs="Times New Roman"/>
        </w:rPr>
        <w:t>M=</w:t>
      </w:r>
      <w:r w:rsidR="00447576" w:rsidRPr="00985896">
        <w:rPr>
          <w:rFonts w:ascii="Times New Roman" w:eastAsia="細明體" w:hAnsi="Times New Roman" w:cs="Times New Roman"/>
          <w:color w:val="000000"/>
          <w:kern w:val="0"/>
        </w:rPr>
        <w:t>14.74</w:t>
      </w:r>
      <w:r w:rsidR="00574F52" w:rsidRPr="00985896">
        <w:rPr>
          <w:rFonts w:ascii="Times New Roman" w:eastAsia="標楷體" w:hAnsi="Times New Roman" w:cs="Times New Roman"/>
        </w:rPr>
        <w:t>)</w:t>
      </w:r>
      <w:r w:rsidR="00447576" w:rsidRPr="00985896">
        <w:rPr>
          <w:rFonts w:ascii="Times New Roman" w:eastAsia="標楷體" w:hAnsi="Times New Roman" w:cs="Times New Roman"/>
        </w:rPr>
        <w:t>高於前測的平均數</w:t>
      </w:r>
      <w:r w:rsidR="00447576" w:rsidRPr="00985896">
        <w:rPr>
          <w:rFonts w:ascii="Times New Roman" w:eastAsia="標楷體" w:hAnsi="Times New Roman" w:cs="Times New Roman"/>
        </w:rPr>
        <w:t>(</w:t>
      </w:r>
      <w:r w:rsidR="00B52EAF" w:rsidRPr="00985896">
        <w:rPr>
          <w:rFonts w:ascii="Times New Roman" w:eastAsia="標楷體" w:hAnsi="Times New Roman" w:cs="Times New Roman"/>
        </w:rPr>
        <w:t>M=</w:t>
      </w:r>
      <w:r w:rsidR="00447576" w:rsidRPr="00985896">
        <w:rPr>
          <w:rFonts w:ascii="Times New Roman" w:eastAsia="標楷體" w:hAnsi="Times New Roman" w:cs="Times New Roman"/>
        </w:rPr>
        <w:t>13.75)</w:t>
      </w:r>
      <w:r w:rsidR="00B52EAF" w:rsidRPr="00985896">
        <w:rPr>
          <w:rFonts w:ascii="Times New Roman" w:eastAsia="標楷體" w:hAnsi="Times New Roman" w:cs="Times New Roman"/>
        </w:rPr>
        <w:t>，控制組後測平均數</w:t>
      </w:r>
      <w:r w:rsidR="00B52EAF" w:rsidRPr="00985896">
        <w:rPr>
          <w:rFonts w:ascii="Times New Roman" w:eastAsia="標楷體" w:hAnsi="Times New Roman" w:cs="Times New Roman"/>
        </w:rPr>
        <w:t>(M=15.33)</w:t>
      </w:r>
      <w:r w:rsidR="00B52EAF" w:rsidRPr="00985896">
        <w:rPr>
          <w:rFonts w:ascii="Times New Roman" w:eastAsia="標楷體" w:hAnsi="Times New Roman" w:cs="Times New Roman"/>
        </w:rPr>
        <w:t>高於前測的平均數</w:t>
      </w:r>
      <w:r w:rsidR="00B52EAF" w:rsidRPr="00985896">
        <w:rPr>
          <w:rFonts w:ascii="Times New Roman" w:eastAsia="標楷體" w:hAnsi="Times New Roman" w:cs="Times New Roman"/>
        </w:rPr>
        <w:t>(M=12.80)</w:t>
      </w:r>
      <w:r w:rsidR="00B52EAF" w:rsidRPr="00985896">
        <w:rPr>
          <w:rFonts w:ascii="Times New Roman" w:eastAsia="標楷體" w:hAnsi="Times New Roman" w:cs="Times New Roman"/>
        </w:rPr>
        <w:t>。</w:t>
      </w:r>
    </w:p>
    <w:p w:rsidR="00E52123" w:rsidRPr="00985896" w:rsidRDefault="00174C71" w:rsidP="001B20FC">
      <w:pPr>
        <w:pStyle w:val="1"/>
        <w:ind w:leftChars="0" w:left="0"/>
        <w:rPr>
          <w:rFonts w:ascii="Times New Roman" w:eastAsia="標楷體" w:hAnsi="Times New Roman" w:cs="Times New Roman"/>
        </w:rPr>
      </w:pPr>
      <w:r w:rsidRPr="00985896">
        <w:rPr>
          <w:rFonts w:ascii="Times New Roman" w:eastAsia="標楷體" w:hAnsi="Times New Roman" w:cs="Times New Roman"/>
          <w:bCs/>
          <w:color w:val="000000"/>
          <w:kern w:val="0"/>
        </w:rPr>
        <w:t>表</w:t>
      </w:r>
      <w:r w:rsidRPr="00985896">
        <w:rPr>
          <w:rFonts w:ascii="Times New Roman" w:eastAsia="標楷體" w:hAnsi="Times New Roman" w:cs="Times New Roman"/>
          <w:bCs/>
          <w:color w:val="000000"/>
          <w:kern w:val="0"/>
        </w:rPr>
        <w:t xml:space="preserve">4-1 </w:t>
      </w:r>
      <w:r w:rsidRPr="00985896">
        <w:rPr>
          <w:rFonts w:ascii="Times New Roman" w:eastAsia="標楷體" w:hAnsi="Times New Roman" w:cs="Times New Roman"/>
          <w:bCs/>
          <w:color w:val="000000"/>
          <w:kern w:val="0"/>
        </w:rPr>
        <w:t>實驗組及控制組在</w:t>
      </w:r>
      <w:r w:rsidR="00693D35">
        <w:rPr>
          <w:rFonts w:ascii="Times New Roman" w:eastAsia="標楷體" w:hAnsi="Times New Roman" w:cs="Times New Roman"/>
          <w:bCs/>
          <w:color w:val="000000"/>
          <w:kern w:val="0"/>
        </w:rPr>
        <w:t>「數與計算」學習成就</w:t>
      </w:r>
      <w:r w:rsidRPr="00985896">
        <w:rPr>
          <w:rFonts w:ascii="Times New Roman" w:eastAsia="標楷體" w:hAnsi="Times New Roman" w:cs="Times New Roman"/>
          <w:bCs/>
          <w:color w:val="000000"/>
          <w:kern w:val="0"/>
        </w:rPr>
        <w:t>前、後測成績描述性統計</w:t>
      </w:r>
    </w:p>
    <w:tbl>
      <w:tblPr>
        <w:tblW w:w="7796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1276"/>
        <w:gridCol w:w="1275"/>
        <w:gridCol w:w="1418"/>
        <w:gridCol w:w="1701"/>
      </w:tblGrid>
      <w:tr w:rsidR="00DB774D" w:rsidRPr="001B20FC" w:rsidTr="001B20FC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</w:t>
            </w:r>
            <w:r w:rsidR="00E52123"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測驗別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group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平均數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標準差</w:t>
            </w:r>
          </w:p>
        </w:tc>
      </w:tr>
      <w:tr w:rsidR="00DB774D" w:rsidRPr="001B20FC" w:rsidTr="001B20FC">
        <w:trPr>
          <w:cantSplit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693D35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</w:rPr>
              <w:t>「數與計算」學習成就</w:t>
            </w:r>
            <w:r w:rsidR="00DB774D"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前測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實驗組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13.75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2.381</w:t>
            </w:r>
          </w:p>
        </w:tc>
      </w:tr>
      <w:tr w:rsidR="00DB774D" w:rsidRPr="001B20FC" w:rsidTr="001B20FC">
        <w:trPr>
          <w:cantSplit/>
        </w:trPr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控制組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12.80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2.291</w:t>
            </w:r>
          </w:p>
        </w:tc>
      </w:tr>
      <w:tr w:rsidR="00DB774D" w:rsidRPr="001B20FC" w:rsidTr="001B20FC">
        <w:trPr>
          <w:cantSplit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693D35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</w:rPr>
              <w:t>「數與計算」學習成就</w:t>
            </w:r>
            <w:r w:rsidR="00DB774D"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後</w:t>
            </w: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實驗組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14.74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2.505</w:t>
            </w:r>
          </w:p>
        </w:tc>
      </w:tr>
      <w:tr w:rsidR="00DB774D" w:rsidRPr="001B20FC" w:rsidTr="001B20FC">
        <w:trPr>
          <w:cantSplit/>
        </w:trPr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控制組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15.33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1.882</w:t>
            </w:r>
          </w:p>
        </w:tc>
      </w:tr>
    </w:tbl>
    <w:p w:rsidR="00DB774D" w:rsidRDefault="00DB774D" w:rsidP="001B20FC">
      <w:pPr>
        <w:pStyle w:val="1"/>
        <w:ind w:leftChars="0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</w:r>
    </w:p>
    <w:p w:rsidR="00DB774D" w:rsidRDefault="00DB774D" w:rsidP="001B20FC">
      <w:pPr>
        <w:pStyle w:val="1"/>
        <w:ind w:leftChars="0" w:left="0" w:firstLine="480"/>
        <w:rPr>
          <w:rFonts w:ascii="Times New Roman" w:eastAsia="標楷體" w:hAnsi="Times New Roman" w:cs="Times New Roman"/>
        </w:rPr>
      </w:pPr>
      <w:r w:rsidRPr="00985896">
        <w:rPr>
          <w:rFonts w:ascii="Times New Roman" w:eastAsia="標楷體" w:hAnsi="Times New Roman" w:cs="Times New Roman"/>
        </w:rPr>
        <w:t>為瞭解</w:t>
      </w:r>
      <w:r w:rsidR="00E52123" w:rsidRPr="00985896">
        <w:rPr>
          <w:rFonts w:ascii="Times New Roman" w:eastAsia="標楷體" w:hAnsi="Times New Roman" w:cs="Times New Roman"/>
        </w:rPr>
        <w:t>不同教學法</w:t>
      </w:r>
      <w:r w:rsidR="004D7AA5" w:rsidRPr="00985896">
        <w:rPr>
          <w:rFonts w:ascii="Times New Roman" w:eastAsia="標楷體" w:hAnsi="Times New Roman" w:cs="Times New Roman"/>
        </w:rPr>
        <w:t>對二</w:t>
      </w:r>
      <w:r w:rsidRPr="00985896">
        <w:rPr>
          <w:rFonts w:ascii="Times New Roman" w:eastAsia="標楷體" w:hAnsi="Times New Roman" w:cs="Times New Roman"/>
        </w:rPr>
        <w:t>組學生在</w:t>
      </w:r>
      <w:r w:rsidR="00693D35">
        <w:rPr>
          <w:rFonts w:ascii="Times New Roman" w:eastAsia="標楷體" w:hAnsi="Times New Roman" w:cs="Times New Roman"/>
        </w:rPr>
        <w:t>「數與計算」學習成就</w:t>
      </w:r>
      <w:r w:rsidRPr="00985896">
        <w:rPr>
          <w:rFonts w:ascii="Times New Roman" w:eastAsia="標楷體" w:hAnsi="Times New Roman" w:cs="Times New Roman"/>
        </w:rPr>
        <w:t>之前</w:t>
      </w:r>
      <w:r w:rsidR="00E52123" w:rsidRPr="00985896">
        <w:rPr>
          <w:rFonts w:ascii="Times New Roman" w:eastAsia="標楷體" w:hAnsi="Times New Roman" w:cs="Times New Roman"/>
        </w:rPr>
        <w:t>、</w:t>
      </w:r>
      <w:r w:rsidRPr="00985896">
        <w:rPr>
          <w:rFonts w:ascii="Times New Roman" w:eastAsia="標楷體" w:hAnsi="Times New Roman" w:cs="Times New Roman"/>
        </w:rPr>
        <w:t>後測成績差異，因此採用獨立樣本</w:t>
      </w:r>
      <w:r w:rsidRPr="00985896">
        <w:rPr>
          <w:rFonts w:ascii="Times New Roman" w:eastAsia="標楷體" w:hAnsi="Times New Roman" w:cs="Times New Roman"/>
        </w:rPr>
        <w:t>t</w:t>
      </w:r>
      <w:r w:rsidRPr="00985896">
        <w:rPr>
          <w:rFonts w:ascii="Times New Roman" w:eastAsia="標楷體" w:hAnsi="Times New Roman" w:cs="Times New Roman"/>
        </w:rPr>
        <w:t>檢定進行統計分析，其結果如表</w:t>
      </w:r>
      <w:r w:rsidRPr="00985896">
        <w:rPr>
          <w:rFonts w:ascii="Times New Roman" w:eastAsia="標楷體" w:hAnsi="Times New Roman" w:cs="Times New Roman"/>
        </w:rPr>
        <w:t>4-2</w:t>
      </w:r>
      <w:r w:rsidRPr="00985896">
        <w:rPr>
          <w:rFonts w:ascii="Times New Roman" w:eastAsia="標楷體" w:hAnsi="Times New Roman" w:cs="Times New Roman"/>
        </w:rPr>
        <w:t>。</w:t>
      </w:r>
    </w:p>
    <w:p w:rsidR="00693D35" w:rsidRPr="00985896" w:rsidRDefault="00693D35" w:rsidP="001B20FC">
      <w:pPr>
        <w:pStyle w:val="1"/>
        <w:ind w:leftChars="0" w:left="0" w:firstLine="480"/>
        <w:rPr>
          <w:rFonts w:ascii="Times New Roman" w:eastAsia="標楷體" w:hAnsi="Times New Roman" w:cs="Times New Roman" w:hint="eastAsia"/>
        </w:rPr>
      </w:pPr>
    </w:p>
    <w:p w:rsidR="00DB774D" w:rsidRPr="00985896" w:rsidRDefault="00E52123" w:rsidP="001B20FC">
      <w:pPr>
        <w:pStyle w:val="1"/>
        <w:ind w:leftChars="0" w:left="0"/>
        <w:rPr>
          <w:rFonts w:ascii="Times New Roman" w:eastAsia="標楷體" w:hAnsi="Times New Roman" w:cs="Times New Roman"/>
        </w:rPr>
      </w:pPr>
      <w:r w:rsidRPr="00985896">
        <w:rPr>
          <w:rFonts w:ascii="Times New Roman" w:eastAsia="標楷體" w:hAnsi="Times New Roman" w:cs="Times New Roman"/>
          <w:bCs/>
          <w:color w:val="000000" w:themeColor="text1"/>
          <w:kern w:val="0"/>
        </w:rPr>
        <w:t>表</w:t>
      </w:r>
      <w:r w:rsidRPr="00985896">
        <w:rPr>
          <w:rFonts w:ascii="Times New Roman" w:eastAsia="標楷體" w:hAnsi="Times New Roman" w:cs="Times New Roman"/>
          <w:bCs/>
          <w:color w:val="000000" w:themeColor="text1"/>
          <w:kern w:val="0"/>
        </w:rPr>
        <w:t xml:space="preserve">4-2 </w:t>
      </w:r>
      <w:r w:rsidRPr="00985896">
        <w:rPr>
          <w:rFonts w:ascii="Times New Roman" w:eastAsia="標楷體" w:hAnsi="Times New Roman" w:cs="Times New Roman"/>
          <w:bCs/>
          <w:color w:val="000000"/>
          <w:kern w:val="0"/>
        </w:rPr>
        <w:t>實驗組及控制組在</w:t>
      </w:r>
      <w:r w:rsidR="00693D35">
        <w:rPr>
          <w:rFonts w:ascii="Times New Roman" w:eastAsia="標楷體" w:hAnsi="Times New Roman" w:cs="Times New Roman"/>
          <w:bCs/>
          <w:color w:val="000000"/>
          <w:kern w:val="0"/>
        </w:rPr>
        <w:t>「數與計算」學習成就</w:t>
      </w:r>
      <w:r w:rsidRPr="00985896">
        <w:rPr>
          <w:rFonts w:ascii="Times New Roman" w:eastAsia="標楷體" w:hAnsi="Times New Roman" w:cs="Times New Roman"/>
          <w:bCs/>
          <w:color w:val="000000"/>
          <w:kern w:val="0"/>
        </w:rPr>
        <w:t>前、後測</w:t>
      </w:r>
      <w:r w:rsidRPr="00985896">
        <w:rPr>
          <w:rFonts w:ascii="Times New Roman" w:eastAsia="標楷體" w:hAnsi="Times New Roman" w:cs="Times New Roman"/>
          <w:bCs/>
          <w:color w:val="000000" w:themeColor="text1"/>
          <w:kern w:val="0"/>
        </w:rPr>
        <w:t>之獨立樣本</w:t>
      </w:r>
      <w:r w:rsidRPr="00985896">
        <w:rPr>
          <w:rFonts w:ascii="Times New Roman" w:eastAsia="標楷體" w:hAnsi="Times New Roman" w:cs="Times New Roman"/>
          <w:bCs/>
          <w:color w:val="000000" w:themeColor="text1"/>
          <w:kern w:val="0"/>
        </w:rPr>
        <w:t>t</w:t>
      </w:r>
      <w:r w:rsidRPr="00985896">
        <w:rPr>
          <w:rFonts w:ascii="Times New Roman" w:eastAsia="標楷體" w:hAnsi="Times New Roman" w:cs="Times New Roman"/>
          <w:bCs/>
          <w:color w:val="000000" w:themeColor="text1"/>
          <w:kern w:val="0"/>
        </w:rPr>
        <w:t>檢定摘要</w:t>
      </w:r>
    </w:p>
    <w:tbl>
      <w:tblPr>
        <w:tblW w:w="8364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1667"/>
        <w:gridCol w:w="1168"/>
        <w:gridCol w:w="850"/>
        <w:gridCol w:w="709"/>
        <w:gridCol w:w="1843"/>
      </w:tblGrid>
      <w:tr w:rsidR="00174C71" w:rsidRPr="00E52123" w:rsidTr="001B20FC">
        <w:trPr>
          <w:cantSplit/>
          <w:trHeight w:val="20"/>
        </w:trPr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C71" w:rsidRPr="001B20FC" w:rsidRDefault="00174C71" w:rsidP="001B20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測驗別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C71" w:rsidRPr="001B20FC" w:rsidRDefault="00174C71" w:rsidP="001B20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 xml:space="preserve">Levene </w:t>
            </w:r>
            <w:r w:rsidRPr="001B20FC">
              <w:rPr>
                <w:rFonts w:ascii="Times New Roman" w:eastAsia="標楷體" w:hAnsi="Times New Roman" w:cs="Times New Roman"/>
              </w:rPr>
              <w:t>的變異數相等測試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C71" w:rsidRPr="001B20FC" w:rsidRDefault="00174C71" w:rsidP="001B20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針對平均值是否相等的</w:t>
            </w:r>
            <w:r w:rsidRPr="001B20FC">
              <w:rPr>
                <w:rFonts w:ascii="Times New Roman" w:eastAsia="標楷體" w:hAnsi="Times New Roman" w:cs="Times New Roman"/>
              </w:rPr>
              <w:t xml:space="preserve"> t </w:t>
            </w:r>
            <w:r w:rsidRPr="001B20FC">
              <w:rPr>
                <w:rFonts w:ascii="Times New Roman" w:eastAsia="標楷體" w:hAnsi="Times New Roman" w:cs="Times New Roman"/>
              </w:rPr>
              <w:t>測試</w:t>
            </w:r>
          </w:p>
        </w:tc>
      </w:tr>
      <w:tr w:rsidR="00174C71" w:rsidRPr="00E52123" w:rsidTr="001B20FC">
        <w:trPr>
          <w:cantSplit/>
          <w:trHeight w:val="309"/>
        </w:trPr>
        <w:tc>
          <w:tcPr>
            <w:tcW w:w="21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C71" w:rsidRPr="001B20FC" w:rsidRDefault="00174C71" w:rsidP="001B20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C71" w:rsidRPr="001B20FC" w:rsidRDefault="00174C71" w:rsidP="001B20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F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C71" w:rsidRPr="001B20FC" w:rsidRDefault="00174C71" w:rsidP="001B20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顯著性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C71" w:rsidRPr="001B20FC" w:rsidRDefault="00174C71" w:rsidP="001B20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C71" w:rsidRPr="001B20FC" w:rsidRDefault="00174C71" w:rsidP="001B20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C71" w:rsidRPr="001B20FC" w:rsidRDefault="00174C71" w:rsidP="001B20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顯著性（雙尾</w:t>
            </w:r>
            <w:r w:rsidRPr="001B20FC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174C71" w:rsidRPr="00E52123" w:rsidTr="001B20FC">
        <w:trPr>
          <w:cantSplit/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693D35" w:rsidP="001B20F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「數與計算」學習成就</w:t>
            </w:r>
            <w:r w:rsidR="00DB774D" w:rsidRPr="001B20FC">
              <w:rPr>
                <w:rFonts w:ascii="Times New Roman" w:eastAsia="標楷體" w:hAnsi="Times New Roman" w:cs="Times New Roman"/>
              </w:rPr>
              <w:t>前測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DB774D" w:rsidP="001B20FC">
            <w:pPr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採用相等變異數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.444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.509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1.358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.181</w:t>
            </w:r>
          </w:p>
        </w:tc>
      </w:tr>
      <w:tr w:rsidR="00174C71" w:rsidRPr="00E52123" w:rsidTr="001B20FC">
        <w:trPr>
          <w:cantSplit/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693D35" w:rsidP="001B20F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「數與計算」學習成就</w:t>
            </w:r>
            <w:r w:rsidR="00DB774D" w:rsidRPr="001B20FC">
              <w:rPr>
                <w:rFonts w:ascii="Times New Roman" w:eastAsia="標楷體" w:hAnsi="Times New Roman" w:cs="Times New Roman"/>
              </w:rPr>
              <w:t>後側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DB774D" w:rsidP="001B20FC">
            <w:pPr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採用相等變異數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.995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.323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-1.016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1B20FC">
              <w:rPr>
                <w:rFonts w:ascii="Times New Roman" w:eastAsia="標楷體" w:hAnsi="Times New Roman" w:cs="Times New Roman"/>
              </w:rPr>
              <w:t>.314</w:t>
            </w:r>
          </w:p>
        </w:tc>
      </w:tr>
    </w:tbl>
    <w:p w:rsidR="00DB774D" w:rsidRPr="001D19D2" w:rsidRDefault="00DB774D" w:rsidP="001B20FC">
      <w:pPr>
        <w:pStyle w:val="1"/>
        <w:ind w:leftChars="0"/>
        <w:rPr>
          <w:rFonts w:ascii="標楷體" w:eastAsia="標楷體" w:hAnsi="標楷體" w:cs="標楷體"/>
        </w:rPr>
      </w:pPr>
    </w:p>
    <w:p w:rsidR="00DB774D" w:rsidRDefault="001B20FC" w:rsidP="001B20FC">
      <w:pPr>
        <w:pStyle w:val="1"/>
        <w:ind w:leftChars="0" w:left="0" w:firstLine="480"/>
        <w:rPr>
          <w:rFonts w:ascii="Times New Roman" w:eastAsia="標楷體" w:hAnsi="Times New Roman" w:cs="Times New Roman"/>
        </w:rPr>
      </w:pPr>
      <w:r w:rsidRPr="00985896">
        <w:rPr>
          <w:rFonts w:ascii="Times New Roman" w:eastAsia="標楷體" w:hAnsi="Times New Roman" w:cs="Times New Roman"/>
        </w:rPr>
        <w:t>如</w:t>
      </w:r>
      <w:r w:rsidR="00DB774D" w:rsidRPr="00985896">
        <w:rPr>
          <w:rFonts w:ascii="Times New Roman" w:eastAsia="標楷體" w:hAnsi="Times New Roman" w:cs="Times New Roman"/>
        </w:rPr>
        <w:t>表</w:t>
      </w:r>
      <w:r w:rsidR="00DB774D" w:rsidRPr="00985896">
        <w:rPr>
          <w:rFonts w:ascii="Times New Roman" w:eastAsia="標楷體" w:hAnsi="Times New Roman" w:cs="Times New Roman"/>
        </w:rPr>
        <w:t>4-2</w:t>
      </w:r>
      <w:r w:rsidR="00DB774D" w:rsidRPr="00985896">
        <w:rPr>
          <w:rFonts w:ascii="Times New Roman" w:eastAsia="標楷體" w:hAnsi="Times New Roman" w:cs="Times New Roman"/>
        </w:rPr>
        <w:t>所示，</w:t>
      </w:r>
      <w:r w:rsidR="00E52123" w:rsidRPr="00985896">
        <w:rPr>
          <w:rFonts w:ascii="Times New Roman" w:eastAsia="標楷體" w:hAnsi="Times New Roman" w:cs="Times New Roman"/>
        </w:rPr>
        <w:t>在</w:t>
      </w:r>
      <w:r w:rsidR="00693D35">
        <w:rPr>
          <w:rFonts w:ascii="Times New Roman" w:eastAsia="標楷體" w:hAnsi="Times New Roman" w:cs="Times New Roman"/>
        </w:rPr>
        <w:t>「數與計算」學習成就</w:t>
      </w:r>
      <w:r w:rsidR="00DB774D" w:rsidRPr="00985896">
        <w:rPr>
          <w:rFonts w:ascii="Times New Roman" w:eastAsia="標楷體" w:hAnsi="Times New Roman" w:cs="Times New Roman"/>
        </w:rPr>
        <w:t>前測方面，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t=1.358</m:t>
        </m:r>
      </m:oMath>
      <w:r w:rsidR="00DB774D" w:rsidRPr="00985896">
        <w:rPr>
          <w:rFonts w:ascii="Times New Roman" w:eastAsia="標楷體" w:hAnsi="Times New Roman" w:cs="Times New Roman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df=43</m:t>
        </m:r>
      </m:oMath>
      <w:r w:rsidR="00DB774D" w:rsidRPr="00985896">
        <w:rPr>
          <w:rFonts w:ascii="Times New Roman" w:eastAsia="標楷體" w:hAnsi="Times New Roman" w:cs="Times New Roman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p=.181&gt;.05</m:t>
        </m:r>
      </m:oMath>
      <w:r w:rsidR="00DB774D" w:rsidRPr="00985896">
        <w:rPr>
          <w:rFonts w:ascii="Times New Roman" w:eastAsia="標楷體" w:hAnsi="Times New Roman" w:cs="Times New Roman"/>
        </w:rPr>
        <w:t>，</w:t>
      </w:r>
      <w:r w:rsidR="00DB774D" w:rsidRPr="00985896">
        <w:rPr>
          <w:rFonts w:ascii="Times New Roman" w:eastAsia="標楷體" w:hAnsi="Times New Roman" w:cs="Times New Roman"/>
          <w:color w:val="000000" w:themeColor="text1"/>
        </w:rPr>
        <w:t>未達顯</w:t>
      </w:r>
      <w:r w:rsidR="00DB774D" w:rsidRPr="00985896">
        <w:rPr>
          <w:rFonts w:ascii="Times New Roman" w:eastAsia="標楷體" w:hAnsi="Times New Roman" w:cs="Times New Roman"/>
        </w:rPr>
        <w:t>著差異，表示教學前測實驗組與控制組在</w:t>
      </w:r>
      <w:r w:rsidR="00693D35">
        <w:rPr>
          <w:rFonts w:ascii="Times New Roman" w:eastAsia="標楷體" w:hAnsi="Times New Roman" w:cs="Times New Roman"/>
        </w:rPr>
        <w:t>「數與計算」學習成就</w:t>
      </w:r>
      <w:r w:rsidR="00DB774D" w:rsidRPr="00985896">
        <w:rPr>
          <w:rFonts w:ascii="Times New Roman" w:eastAsia="標楷體" w:hAnsi="Times New Roman" w:cs="Times New Roman"/>
        </w:rPr>
        <w:t>是接近的</w:t>
      </w:r>
      <w:r w:rsidR="00174C71" w:rsidRPr="00985896">
        <w:rPr>
          <w:rFonts w:ascii="Times New Roman" w:eastAsia="標楷體" w:hAnsi="Times New Roman" w:cs="Times New Roman"/>
        </w:rPr>
        <w:t>；</w:t>
      </w:r>
      <w:r w:rsidR="00DB774D" w:rsidRPr="00985896">
        <w:rPr>
          <w:rFonts w:ascii="Times New Roman" w:eastAsia="標楷體" w:hAnsi="Times New Roman" w:cs="Times New Roman"/>
        </w:rPr>
        <w:t>在</w:t>
      </w:r>
      <w:r w:rsidR="00693D35">
        <w:rPr>
          <w:rFonts w:ascii="Times New Roman" w:eastAsia="標楷體" w:hAnsi="Times New Roman" w:cs="Times New Roman"/>
        </w:rPr>
        <w:t>「數與計算」學習成就</w:t>
      </w:r>
      <w:r w:rsidR="00DB774D" w:rsidRPr="00985896">
        <w:rPr>
          <w:rFonts w:ascii="Times New Roman" w:eastAsia="標楷體" w:hAnsi="Times New Roman" w:cs="Times New Roman"/>
        </w:rPr>
        <w:t>後測方面，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t=-1.016</m:t>
        </m:r>
      </m:oMath>
      <w:r w:rsidR="00DB774D" w:rsidRPr="00985896">
        <w:rPr>
          <w:rFonts w:ascii="Times New Roman" w:eastAsia="標楷體" w:hAnsi="Times New Roman" w:cs="Times New Roman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df=55</m:t>
        </m:r>
      </m:oMath>
      <w:r w:rsidR="00DB774D" w:rsidRPr="00985896">
        <w:rPr>
          <w:rFonts w:ascii="Times New Roman" w:eastAsia="標楷體" w:hAnsi="Times New Roman" w:cs="Times New Roman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p=.314&gt;.05</m:t>
        </m:r>
      </m:oMath>
      <w:r w:rsidR="00DB774D" w:rsidRPr="00985896">
        <w:rPr>
          <w:rFonts w:ascii="Times New Roman" w:eastAsia="標楷體" w:hAnsi="Times New Roman" w:cs="Times New Roman"/>
        </w:rPr>
        <w:t>，</w:t>
      </w:r>
      <w:r w:rsidR="00DB774D" w:rsidRPr="00985896">
        <w:rPr>
          <w:rFonts w:ascii="Times New Roman" w:eastAsia="標楷體" w:hAnsi="Times New Roman" w:cs="Times New Roman"/>
          <w:color w:val="000000" w:themeColor="text1"/>
        </w:rPr>
        <w:t>未達</w:t>
      </w:r>
      <w:r w:rsidR="00DB774D" w:rsidRPr="00985896">
        <w:rPr>
          <w:rFonts w:ascii="Times New Roman" w:eastAsia="標楷體" w:hAnsi="Times New Roman" w:cs="Times New Roman"/>
        </w:rPr>
        <w:t>顯著，顯示教學後，沒有差異，換言之，採用傳統教學方法或行動</w:t>
      </w:r>
      <w:r w:rsidR="00DB774D" w:rsidRPr="00985896">
        <w:rPr>
          <w:rFonts w:ascii="Times New Roman" w:eastAsia="標楷體" w:hAnsi="Times New Roman" w:cs="Times New Roman"/>
        </w:rPr>
        <w:t>APP</w:t>
      </w:r>
      <w:r w:rsidR="00DB774D" w:rsidRPr="00985896">
        <w:rPr>
          <w:rFonts w:ascii="Times New Roman" w:eastAsia="標楷體" w:hAnsi="Times New Roman" w:cs="Times New Roman"/>
        </w:rPr>
        <w:t>輔助學習方法其</w:t>
      </w:r>
      <w:r w:rsidR="00693D35">
        <w:rPr>
          <w:rFonts w:ascii="Times New Roman" w:eastAsia="標楷體" w:hAnsi="Times New Roman" w:cs="Times New Roman"/>
        </w:rPr>
        <w:t>「數與計算」</w:t>
      </w:r>
      <w:r w:rsidR="00DB774D" w:rsidRPr="00985896">
        <w:rPr>
          <w:rFonts w:ascii="Times New Roman" w:eastAsia="標楷體" w:hAnsi="Times New Roman" w:cs="Times New Roman"/>
        </w:rPr>
        <w:t>學習</w:t>
      </w:r>
      <w:r w:rsidR="00174C71" w:rsidRPr="00985896">
        <w:rPr>
          <w:rFonts w:ascii="Times New Roman" w:eastAsia="標楷體" w:hAnsi="Times New Roman" w:cs="Times New Roman"/>
        </w:rPr>
        <w:t>認知成就</w:t>
      </w:r>
      <w:r w:rsidR="00DB774D" w:rsidRPr="00985896">
        <w:rPr>
          <w:rFonts w:ascii="Times New Roman" w:eastAsia="標楷體" w:hAnsi="Times New Roman" w:cs="Times New Roman"/>
        </w:rPr>
        <w:t>是沒有差異的。</w:t>
      </w:r>
    </w:p>
    <w:p w:rsidR="00693D35" w:rsidRPr="00985896" w:rsidRDefault="00693D35" w:rsidP="001B20FC">
      <w:pPr>
        <w:pStyle w:val="1"/>
        <w:ind w:leftChars="0" w:left="0" w:firstLine="480"/>
        <w:rPr>
          <w:rFonts w:ascii="Times New Roman" w:eastAsia="標楷體" w:hAnsi="Times New Roman" w:cs="Times New Roman" w:hint="eastAsia"/>
        </w:rPr>
      </w:pPr>
    </w:p>
    <w:p w:rsidR="00693D35" w:rsidRPr="00693D35" w:rsidRDefault="00174C71" w:rsidP="00693D35">
      <w:pPr>
        <w:pStyle w:val="1"/>
        <w:ind w:leftChars="0" w:left="0"/>
        <w:rPr>
          <w:rFonts w:ascii="Times New Roman" w:eastAsia="標楷體" w:hAnsi="Times New Roman" w:cs="Times New Roman"/>
          <w:color w:val="FF0000"/>
        </w:rPr>
      </w:pPr>
      <w:r w:rsidRPr="00693D35">
        <w:rPr>
          <w:rFonts w:ascii="Times New Roman" w:eastAsia="標楷體" w:hAnsi="Times New Roman" w:cs="Times New Roman"/>
          <w:bCs/>
          <w:color w:val="FF0000"/>
          <w:kern w:val="0"/>
        </w:rPr>
        <w:t>表</w:t>
      </w:r>
      <w:r w:rsidRPr="00693D35">
        <w:rPr>
          <w:rFonts w:ascii="Times New Roman" w:eastAsia="標楷體" w:hAnsi="Times New Roman" w:cs="Times New Roman"/>
          <w:bCs/>
          <w:color w:val="FF0000"/>
          <w:kern w:val="0"/>
        </w:rPr>
        <w:t xml:space="preserve">4-3 </w:t>
      </w:r>
    </w:p>
    <w:p w:rsidR="00DB774D" w:rsidRPr="00985896" w:rsidRDefault="00DB774D" w:rsidP="001B20FC">
      <w:pPr>
        <w:pStyle w:val="1"/>
        <w:ind w:leftChars="0" w:left="0" w:firstLine="480"/>
        <w:rPr>
          <w:rFonts w:ascii="Times New Roman" w:eastAsia="標楷體" w:hAnsi="Times New Roman" w:cs="Times New Roman"/>
        </w:rPr>
      </w:pPr>
    </w:p>
    <w:p w:rsidR="00DB774D" w:rsidRDefault="00693D35" w:rsidP="007C5F12">
      <w:pPr>
        <w:pStyle w:val="1"/>
        <w:ind w:leftChars="0" w:left="0"/>
        <w:rPr>
          <w:rFonts w:ascii="標楷體" w:eastAsia="標楷體" w:hAnsi="標楷體" w:cs="細明體"/>
          <w:bCs/>
          <w:color w:val="000000"/>
          <w:kern w:val="0"/>
        </w:rPr>
      </w:pPr>
      <w:r w:rsidRPr="00BB69D7">
        <w:rPr>
          <w:rFonts w:ascii="標楷體" w:eastAsia="標楷體" w:hAnsi="標楷體" w:cs="細明體" w:hint="eastAsia"/>
          <w:bCs/>
          <w:color w:val="000000"/>
          <w:kern w:val="0"/>
        </w:rPr>
        <w:t>表4-4</w:t>
      </w:r>
    </w:p>
    <w:p w:rsidR="00693D35" w:rsidRDefault="00693D35" w:rsidP="00693D35">
      <w:pPr>
        <w:pStyle w:val="1"/>
        <w:ind w:leftChars="0" w:left="0"/>
        <w:rPr>
          <w:rFonts w:ascii="標楷體" w:eastAsia="標楷體" w:hAnsi="標楷體" w:cs="細明體"/>
          <w:bCs/>
          <w:color w:val="000000"/>
          <w:kern w:val="0"/>
        </w:rPr>
      </w:pPr>
    </w:p>
    <w:p w:rsidR="00693D35" w:rsidRDefault="00693D35" w:rsidP="00693D35">
      <w:pPr>
        <w:pStyle w:val="1"/>
        <w:ind w:leftChars="0" w:left="0"/>
        <w:rPr>
          <w:rFonts w:ascii="標楷體" w:eastAsia="標楷體" w:hAnsi="標楷體" w:cs="細明體"/>
          <w:bCs/>
          <w:color w:val="000000"/>
          <w:kern w:val="0"/>
        </w:rPr>
      </w:pPr>
      <w:r w:rsidRPr="00BB69D7">
        <w:rPr>
          <w:rFonts w:ascii="標楷體" w:eastAsia="標楷體" w:hAnsi="標楷體" w:cs="細明體" w:hint="eastAsia"/>
          <w:bCs/>
          <w:color w:val="000000"/>
          <w:kern w:val="0"/>
        </w:rPr>
        <w:t>表4-</w:t>
      </w:r>
      <w:r>
        <w:rPr>
          <w:rFonts w:ascii="標楷體" w:eastAsia="標楷體" w:hAnsi="標楷體" w:cs="細明體"/>
          <w:bCs/>
          <w:color w:val="000000"/>
          <w:kern w:val="0"/>
        </w:rPr>
        <w:t>5</w:t>
      </w:r>
    </w:p>
    <w:p w:rsidR="00693D35" w:rsidRDefault="00693D35" w:rsidP="007C5F12">
      <w:pPr>
        <w:pStyle w:val="1"/>
        <w:ind w:leftChars="0" w:left="0"/>
        <w:rPr>
          <w:rFonts w:ascii="標楷體" w:eastAsia="標楷體" w:hAnsi="標楷體" w:cs="標楷體"/>
        </w:rPr>
      </w:pPr>
    </w:p>
    <w:p w:rsidR="00DB774D" w:rsidRDefault="00DB774D" w:rsidP="001B20FC">
      <w:pPr>
        <w:pStyle w:val="1"/>
        <w:ind w:leftChars="0" w:left="0"/>
        <w:rPr>
          <w:rFonts w:ascii="標楷體" w:eastAsia="標楷體" w:hAnsi="標楷體" w:cs="標楷體"/>
          <w:b/>
        </w:rPr>
      </w:pPr>
      <w:r w:rsidRPr="00035440">
        <w:rPr>
          <w:rFonts w:ascii="標楷體" w:eastAsia="標楷體" w:hAnsi="標楷體" w:cs="標楷體" w:hint="eastAsia"/>
          <w:b/>
        </w:rPr>
        <w:t>二、</w:t>
      </w:r>
      <w:r>
        <w:rPr>
          <w:rFonts w:ascii="標楷體" w:eastAsia="標楷體" w:hAnsi="標楷體" w:cs="標楷體" w:hint="eastAsia"/>
          <w:b/>
        </w:rPr>
        <w:t>行動學習對學童</w:t>
      </w:r>
      <w:r w:rsidR="000D0CE6">
        <w:rPr>
          <w:rFonts w:ascii="標楷體" w:eastAsia="標楷體" w:hAnsi="標楷體" w:cs="標楷體" w:hint="eastAsia"/>
          <w:b/>
        </w:rPr>
        <w:t>「數與計算」</w:t>
      </w:r>
      <w:r>
        <w:rPr>
          <w:rFonts w:ascii="標楷體" w:eastAsia="標楷體" w:hAnsi="標楷體" w:cs="標楷體" w:hint="eastAsia"/>
          <w:b/>
        </w:rPr>
        <w:t>學習態度之影響</w:t>
      </w:r>
      <w:r w:rsidRPr="00035440">
        <w:rPr>
          <w:rFonts w:ascii="標楷體" w:eastAsia="標楷體" w:hAnsi="標楷體" w:cs="標楷體" w:hint="eastAsia"/>
          <w:b/>
        </w:rPr>
        <w:t xml:space="preserve"> </w:t>
      </w:r>
    </w:p>
    <w:p w:rsidR="00BC1BBF" w:rsidRDefault="00BB69D7" w:rsidP="00BC1BBF">
      <w:pPr>
        <w:pStyle w:val="1"/>
        <w:ind w:leftChars="0" w:left="0" w:firstLine="480"/>
        <w:rPr>
          <w:rFonts w:ascii="標楷體" w:eastAsia="標楷體" w:hAnsi="標楷體" w:cs="標楷體"/>
        </w:rPr>
      </w:pPr>
      <w:r w:rsidRPr="00BB69D7">
        <w:rPr>
          <w:rFonts w:ascii="標楷體" w:eastAsia="標楷體" w:hAnsi="標楷體" w:cs="細明體" w:hint="eastAsia"/>
          <w:bCs/>
          <w:color w:val="000000"/>
          <w:kern w:val="0"/>
        </w:rPr>
        <w:t>實驗組及控制組在</w:t>
      </w:r>
      <w:r w:rsidR="000D0CE6">
        <w:rPr>
          <w:rFonts w:ascii="標楷體" w:eastAsia="標楷體" w:hAnsi="標楷體" w:cs="細明體" w:hint="eastAsia"/>
          <w:bCs/>
          <w:color w:val="FF0000"/>
          <w:kern w:val="0"/>
        </w:rPr>
        <w:t>「數與計算」</w:t>
      </w:r>
      <w:r w:rsidRPr="00BB69D7">
        <w:rPr>
          <w:rFonts w:ascii="標楷體" w:eastAsia="標楷體" w:hAnsi="標楷體" w:cs="細明體" w:hint="eastAsia"/>
          <w:bCs/>
          <w:color w:val="000000"/>
          <w:kern w:val="0"/>
        </w:rPr>
        <w:t>學習態度前、後測成績描述性統計如表4-</w:t>
      </w:r>
      <w:r w:rsidR="00693D35">
        <w:rPr>
          <w:rFonts w:ascii="標楷體" w:eastAsia="標楷體" w:hAnsi="標楷體" w:cs="細明體"/>
          <w:bCs/>
          <w:color w:val="000000"/>
          <w:kern w:val="0"/>
        </w:rPr>
        <w:t>8</w:t>
      </w:r>
      <w:r w:rsidRPr="00BB69D7">
        <w:rPr>
          <w:rFonts w:ascii="標楷體" w:eastAsia="標楷體" w:hAnsi="標楷體" w:cs="細明體" w:hint="eastAsia"/>
          <w:bCs/>
          <w:color w:val="000000"/>
          <w:kern w:val="0"/>
        </w:rPr>
        <w:t>，</w:t>
      </w:r>
      <w:r w:rsidR="00BC1BBF">
        <w:rPr>
          <w:rFonts w:ascii="標楷體" w:eastAsia="標楷體" w:hAnsi="標楷體" w:cs="標楷體" w:hint="eastAsia"/>
        </w:rPr>
        <w:t>由表4-</w:t>
      </w:r>
      <w:r w:rsidR="00693D35">
        <w:rPr>
          <w:rFonts w:ascii="標楷體" w:eastAsia="標楷體" w:hAnsi="標楷體" w:cs="標楷體"/>
        </w:rPr>
        <w:t>8</w:t>
      </w:r>
      <w:r w:rsidR="00BC1BBF">
        <w:rPr>
          <w:rFonts w:ascii="標楷體" w:eastAsia="標楷體" w:hAnsi="標楷體" w:cs="標楷體" w:hint="eastAsia"/>
        </w:rPr>
        <w:t>可知，實驗組後測平均數</w:t>
      </w:r>
      <w:r w:rsidR="00BC1BBF" w:rsidRPr="00447576">
        <w:rPr>
          <w:rFonts w:ascii="標楷體" w:eastAsia="標楷體" w:hAnsi="標楷體" w:cs="標楷體" w:hint="eastAsia"/>
        </w:rPr>
        <w:t>(</w:t>
      </w:r>
      <w:r w:rsidR="00BC1BBF">
        <w:rPr>
          <w:rFonts w:ascii="標楷體" w:eastAsia="標楷體" w:hAnsi="標楷體" w:cs="標楷體" w:hint="eastAsia"/>
        </w:rPr>
        <w:t>M=</w:t>
      </w:r>
      <w:r w:rsidR="00BC1BBF" w:rsidRPr="001B20FC">
        <w:rPr>
          <w:rFonts w:ascii="Times New Roman" w:eastAsia="標楷體" w:hAnsi="Times New Roman" w:cs="Times New Roman"/>
          <w:color w:val="000000"/>
          <w:kern w:val="0"/>
        </w:rPr>
        <w:t>87.4444</w:t>
      </w:r>
      <w:r w:rsidR="00BC1BBF">
        <w:rPr>
          <w:rFonts w:ascii="標楷體" w:eastAsia="標楷體" w:hAnsi="標楷體" w:cs="標楷體" w:hint="eastAsia"/>
        </w:rPr>
        <w:t>)高於前測的平均數(M=</w:t>
      </w:r>
      <w:r w:rsidR="00BC1BBF" w:rsidRPr="001B20FC">
        <w:rPr>
          <w:rFonts w:ascii="Times New Roman" w:eastAsia="標楷體" w:hAnsi="Times New Roman" w:cs="Times New Roman"/>
          <w:color w:val="000000"/>
          <w:kern w:val="0"/>
        </w:rPr>
        <w:t>83.7895</w:t>
      </w:r>
      <w:r w:rsidR="00BC1BBF">
        <w:rPr>
          <w:rFonts w:ascii="標楷體" w:eastAsia="標楷體" w:hAnsi="標楷體" w:cs="標楷體" w:hint="eastAsia"/>
        </w:rPr>
        <w:t>)，控制組後測平均數(M=</w:t>
      </w:r>
      <w:r w:rsidR="00BC1BBF" w:rsidRPr="001B20FC">
        <w:rPr>
          <w:rFonts w:ascii="Times New Roman" w:eastAsia="標楷體" w:hAnsi="Times New Roman" w:cs="Times New Roman"/>
          <w:color w:val="000000"/>
          <w:kern w:val="0"/>
        </w:rPr>
        <w:t>88.5517</w:t>
      </w:r>
      <w:r w:rsidR="00BC1BBF">
        <w:rPr>
          <w:rFonts w:ascii="標楷體" w:eastAsia="標楷體" w:hAnsi="標楷體" w:cs="標楷體" w:hint="eastAsia"/>
        </w:rPr>
        <w:t>)高於前測的平均數(M=</w:t>
      </w:r>
      <w:r w:rsidR="00BC1BBF" w:rsidRPr="001B20FC">
        <w:rPr>
          <w:rFonts w:ascii="Times New Roman" w:eastAsia="標楷體" w:hAnsi="Times New Roman" w:cs="Times New Roman"/>
          <w:color w:val="000000"/>
          <w:kern w:val="0"/>
        </w:rPr>
        <w:t>83.9200</w:t>
      </w:r>
      <w:r w:rsidR="00BC1BBF">
        <w:rPr>
          <w:rFonts w:ascii="標楷體" w:eastAsia="標楷體" w:hAnsi="標楷體" w:cs="標楷體" w:hint="eastAsia"/>
        </w:rPr>
        <w:t>)。</w:t>
      </w:r>
    </w:p>
    <w:p w:rsidR="00BB69D7" w:rsidRPr="00BB69D7" w:rsidRDefault="00BB69D7" w:rsidP="00BC1BBF">
      <w:pPr>
        <w:pStyle w:val="1"/>
        <w:ind w:leftChars="0" w:left="0"/>
        <w:rPr>
          <w:rFonts w:ascii="標楷體" w:eastAsia="標楷體" w:hAnsi="標楷體" w:cs="標楷體"/>
        </w:rPr>
      </w:pPr>
    </w:p>
    <w:p w:rsidR="00BB69D7" w:rsidRPr="001B20FC" w:rsidRDefault="00BB69D7" w:rsidP="001B20FC">
      <w:pPr>
        <w:pStyle w:val="1"/>
        <w:ind w:leftChars="0" w:left="0"/>
        <w:rPr>
          <w:rFonts w:ascii="標楷體" w:eastAsia="標楷體" w:hAnsi="標楷體" w:cs="標楷體"/>
        </w:rPr>
      </w:pPr>
      <w:r w:rsidRPr="001B20FC">
        <w:rPr>
          <w:rFonts w:ascii="標楷體" w:eastAsia="標楷體" w:hAnsi="標楷體" w:cs="細明體" w:hint="eastAsia"/>
          <w:bCs/>
          <w:color w:val="000000"/>
          <w:kern w:val="0"/>
        </w:rPr>
        <w:t>表4-</w:t>
      </w:r>
      <w:r w:rsidR="00693D35">
        <w:rPr>
          <w:rFonts w:ascii="標楷體" w:eastAsia="標楷體" w:hAnsi="標楷體" w:cs="細明體"/>
          <w:bCs/>
          <w:color w:val="000000"/>
          <w:kern w:val="0"/>
        </w:rPr>
        <w:t>8</w:t>
      </w:r>
      <w:r w:rsidRPr="001B20FC">
        <w:rPr>
          <w:rFonts w:ascii="標楷體" w:eastAsia="標楷體" w:hAnsi="標楷體" w:cs="細明體" w:hint="eastAsia"/>
          <w:bCs/>
          <w:color w:val="000000"/>
          <w:kern w:val="0"/>
        </w:rPr>
        <w:t xml:space="preserve"> 實驗組及控制組在</w:t>
      </w:r>
      <w:r w:rsidR="000D0CE6">
        <w:rPr>
          <w:rFonts w:ascii="標楷體" w:eastAsia="標楷體" w:hAnsi="標楷體" w:cs="細明體" w:hint="eastAsia"/>
          <w:bCs/>
          <w:color w:val="000000"/>
          <w:kern w:val="0"/>
        </w:rPr>
        <w:t>「數與計算」</w:t>
      </w:r>
      <w:r w:rsidRPr="001B20FC">
        <w:rPr>
          <w:rFonts w:ascii="標楷體" w:eastAsia="標楷體" w:hAnsi="標楷體" w:cs="細明體" w:hint="eastAsia"/>
          <w:bCs/>
          <w:color w:val="000000"/>
          <w:kern w:val="0"/>
        </w:rPr>
        <w:t>學習態度前、後測成績描述性統計</w:t>
      </w:r>
    </w:p>
    <w:tbl>
      <w:tblPr>
        <w:tblpPr w:leftFromText="180" w:rightFromText="180" w:vertAnchor="text" w:tblpX="-10" w:tblpY="1"/>
        <w:tblOverlap w:val="never"/>
        <w:tblW w:w="6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1134"/>
        <w:gridCol w:w="993"/>
        <w:gridCol w:w="1275"/>
        <w:gridCol w:w="1560"/>
      </w:tblGrid>
      <w:tr w:rsidR="001B20FC" w:rsidRPr="001B20FC" w:rsidTr="001B20FC">
        <w:trPr>
          <w:cantSplit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測驗別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平均數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標準差</w:t>
            </w:r>
          </w:p>
        </w:tc>
      </w:tr>
      <w:tr w:rsidR="001B20FC" w:rsidRPr="001B20FC" w:rsidTr="001B20FC">
        <w:trPr>
          <w:cantSplit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學習態度前測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實驗組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83.7895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10.911</w:t>
            </w:r>
            <w:r w:rsidRPr="000D0CE6">
              <w:rPr>
                <w:rFonts w:ascii="Times New Roman" w:eastAsia="標楷體" w:hAnsi="Times New Roman" w:cs="Times New Roman"/>
                <w:color w:val="FF0000"/>
                <w:kern w:val="0"/>
              </w:rPr>
              <w:t>66</w:t>
            </w:r>
          </w:p>
        </w:tc>
      </w:tr>
      <w:tr w:rsidR="001B20FC" w:rsidRPr="001B20FC" w:rsidTr="001B20FC">
        <w:trPr>
          <w:cantSplit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控制組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83.9200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10.07025</w:t>
            </w:r>
          </w:p>
        </w:tc>
      </w:tr>
      <w:tr w:rsidR="001B20FC" w:rsidRPr="001B20FC" w:rsidTr="001B20FC">
        <w:trPr>
          <w:cantSplit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學習態度後測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實驗組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27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87.4444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9.83062</w:t>
            </w:r>
          </w:p>
        </w:tc>
      </w:tr>
      <w:tr w:rsidR="001B20FC" w:rsidRPr="001B20FC" w:rsidTr="001B20FC">
        <w:trPr>
          <w:cantSplit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控制組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88.5517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0FC" w:rsidRPr="001B20FC" w:rsidRDefault="001B20FC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B20FC">
              <w:rPr>
                <w:rFonts w:ascii="Times New Roman" w:eastAsia="標楷體" w:hAnsi="Times New Roman" w:cs="Times New Roman"/>
                <w:color w:val="000000"/>
                <w:kern w:val="0"/>
              </w:rPr>
              <w:t>14.41623</w:t>
            </w:r>
          </w:p>
        </w:tc>
      </w:tr>
    </w:tbl>
    <w:p w:rsidR="00DB774D" w:rsidRDefault="00DB774D" w:rsidP="001B20FC">
      <w:pPr>
        <w:pStyle w:val="1"/>
        <w:ind w:leftChars="0" w:left="0"/>
        <w:rPr>
          <w:rFonts w:ascii="標楷體" w:eastAsia="標楷體" w:hAnsi="標楷體" w:cs="標楷體"/>
        </w:rPr>
      </w:pPr>
    </w:p>
    <w:p w:rsidR="001B20FC" w:rsidRDefault="001B20FC" w:rsidP="001B20FC">
      <w:pPr>
        <w:pStyle w:val="1"/>
        <w:ind w:leftChars="0" w:left="0"/>
        <w:rPr>
          <w:rFonts w:ascii="標楷體" w:eastAsia="標楷體" w:hAnsi="標楷體" w:cs="標楷體"/>
        </w:rPr>
      </w:pPr>
    </w:p>
    <w:p w:rsidR="001B20FC" w:rsidRDefault="001B20FC" w:rsidP="001B20FC">
      <w:pPr>
        <w:pStyle w:val="1"/>
        <w:ind w:leftChars="0" w:left="0"/>
        <w:rPr>
          <w:rFonts w:ascii="標楷體" w:eastAsia="標楷體" w:hAnsi="標楷體" w:cs="標楷體"/>
        </w:rPr>
      </w:pPr>
    </w:p>
    <w:p w:rsidR="001B20FC" w:rsidRDefault="001B20FC" w:rsidP="001B20FC">
      <w:pPr>
        <w:pStyle w:val="1"/>
        <w:ind w:leftChars="0" w:left="0"/>
        <w:rPr>
          <w:rFonts w:ascii="標楷體" w:eastAsia="標楷體" w:hAnsi="標楷體" w:cs="標楷體"/>
        </w:rPr>
      </w:pPr>
    </w:p>
    <w:p w:rsidR="001B20FC" w:rsidRDefault="001B20FC" w:rsidP="001B20FC">
      <w:pPr>
        <w:pStyle w:val="1"/>
        <w:ind w:leftChars="0" w:left="0"/>
        <w:rPr>
          <w:rFonts w:ascii="標楷體" w:eastAsia="標楷體" w:hAnsi="標楷體" w:cs="標楷體"/>
        </w:rPr>
      </w:pPr>
    </w:p>
    <w:p w:rsidR="001B20FC" w:rsidRDefault="001B20FC" w:rsidP="001B20FC">
      <w:pPr>
        <w:pStyle w:val="1"/>
        <w:ind w:leftChars="0" w:left="0"/>
        <w:rPr>
          <w:rFonts w:ascii="標楷體" w:eastAsia="標楷體" w:hAnsi="標楷體" w:cs="標楷體"/>
        </w:rPr>
      </w:pPr>
    </w:p>
    <w:p w:rsidR="001B20FC" w:rsidRDefault="001B20FC" w:rsidP="001B20FC">
      <w:pPr>
        <w:pStyle w:val="1"/>
        <w:ind w:leftChars="0" w:left="0"/>
        <w:rPr>
          <w:rFonts w:ascii="標楷體" w:eastAsia="標楷體" w:hAnsi="標楷體" w:cs="標楷體"/>
        </w:rPr>
      </w:pPr>
    </w:p>
    <w:p w:rsidR="00BB69D7" w:rsidRDefault="00574F52" w:rsidP="001B20FC">
      <w:pPr>
        <w:pStyle w:val="1"/>
        <w:ind w:leftChars="0" w:left="0"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為瞭解不同教學法對二組學生在</w:t>
      </w:r>
      <w:r w:rsidR="000D0CE6">
        <w:rPr>
          <w:rFonts w:ascii="標楷體" w:eastAsia="標楷體" w:hAnsi="標楷體" w:cs="標楷體" w:hint="eastAsia"/>
        </w:rPr>
        <w:t>「數與計算」</w:t>
      </w:r>
      <w:r>
        <w:rPr>
          <w:rFonts w:ascii="標楷體" w:eastAsia="標楷體" w:hAnsi="標楷體" w:cs="標楷體" w:hint="eastAsia"/>
        </w:rPr>
        <w:t>學習</w:t>
      </w:r>
      <w:r>
        <w:rPr>
          <w:rFonts w:ascii="標楷體" w:eastAsia="標楷體" w:hAnsi="標楷體" w:cs="標楷體" w:hint="eastAsia"/>
          <w:b/>
        </w:rPr>
        <w:t>態度</w:t>
      </w:r>
      <w:r>
        <w:rPr>
          <w:rFonts w:ascii="標楷體" w:eastAsia="標楷體" w:hAnsi="標楷體" w:cs="標楷體" w:hint="eastAsia"/>
        </w:rPr>
        <w:t>之前、後測差異，因此採用獨立樣本t檢定進行統計分析，其結果如表4-</w:t>
      </w:r>
      <w:r w:rsidR="000D0CE6">
        <w:rPr>
          <w:rFonts w:ascii="標楷體" w:eastAsia="標楷體" w:hAnsi="標楷體" w:cs="標楷體"/>
        </w:rPr>
        <w:t>9</w:t>
      </w:r>
      <w:r>
        <w:rPr>
          <w:rFonts w:ascii="標楷體" w:eastAsia="標楷體" w:hAnsi="標楷體" w:cs="標楷體" w:hint="eastAsia"/>
        </w:rPr>
        <w:t>。</w:t>
      </w:r>
      <w:r w:rsidR="00EC7CD3">
        <w:rPr>
          <w:rFonts w:ascii="標楷體" w:eastAsia="標楷體" w:hAnsi="標楷體" w:cs="標楷體" w:hint="eastAsia"/>
        </w:rPr>
        <w:t>表4-</w:t>
      </w:r>
      <w:r w:rsidR="000D0CE6">
        <w:rPr>
          <w:rFonts w:ascii="標楷體" w:eastAsia="標楷體" w:hAnsi="標楷體" w:cs="標楷體"/>
        </w:rPr>
        <w:t>9</w:t>
      </w:r>
      <w:r w:rsidR="00EC7CD3">
        <w:rPr>
          <w:rFonts w:ascii="標楷體" w:eastAsia="標楷體" w:hAnsi="標楷體" w:cs="標楷體" w:hint="eastAsia"/>
        </w:rPr>
        <w:t>所示，</w:t>
      </w:r>
      <w:r w:rsidR="00EC7CD3" w:rsidRPr="00E52123">
        <w:rPr>
          <w:rFonts w:ascii="標楷體" w:eastAsia="標楷體" w:hAnsi="標楷體" w:cs="標楷體" w:hint="eastAsia"/>
        </w:rPr>
        <w:t>在</w:t>
      </w:r>
      <w:r w:rsidR="000D0CE6">
        <w:rPr>
          <w:rFonts w:ascii="標楷體" w:eastAsia="標楷體" w:hAnsi="標楷體" w:cs="標楷體" w:hint="eastAsia"/>
        </w:rPr>
        <w:t>「數與計算」</w:t>
      </w:r>
      <w:r w:rsidR="00EC7CD3" w:rsidRPr="00E52123">
        <w:rPr>
          <w:rFonts w:ascii="標楷體" w:eastAsia="標楷體" w:hAnsi="標楷體" w:cs="標楷體" w:hint="eastAsia"/>
        </w:rPr>
        <w:t>學習</w:t>
      </w:r>
      <w:r w:rsidR="00EC7CD3">
        <w:rPr>
          <w:rFonts w:ascii="標楷體" w:eastAsia="標楷體" w:hAnsi="標楷體" w:cs="標楷體" w:hint="eastAsia"/>
          <w:b/>
        </w:rPr>
        <w:t>態度</w:t>
      </w:r>
      <w:r w:rsidR="00EC7CD3">
        <w:rPr>
          <w:rFonts w:ascii="標楷體" w:eastAsia="標楷體" w:hAnsi="標楷體" w:cs="標楷體" w:hint="eastAsia"/>
        </w:rPr>
        <w:t>前測方面，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t=</m:t>
        </m:r>
        <m:r>
          <m:rPr>
            <m:sty m:val="p"/>
          </m:rPr>
          <w:rPr>
            <w:rFonts w:ascii="Cambria Math" w:eastAsia="細明體" w:hAnsi="Cambria Math" w:cs="細明體"/>
            <w:color w:val="000000" w:themeColor="text1"/>
            <w:kern w:val="0"/>
          </w:rPr>
          <m:t>-.041</m:t>
        </m:r>
      </m:oMath>
      <w:r w:rsidR="00EC7CD3">
        <w:rPr>
          <w:rFonts w:ascii="標楷體" w:eastAsia="標楷體" w:hAnsi="標楷體" w:cs="標楷體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df=42</m:t>
        </m:r>
      </m:oMath>
      <w:r w:rsidR="00EC7CD3">
        <w:rPr>
          <w:rFonts w:ascii="標楷體" w:eastAsia="標楷體" w:hAnsi="標楷體" w:cs="標楷體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p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=</m:t>
        </m:r>
        <m:r>
          <m:rPr>
            <m:sty m:val="p"/>
          </m:rPr>
          <w:rPr>
            <w:rFonts w:ascii="Cambria Math" w:eastAsia="細明體" w:hAnsi="Cambria Math" w:cs="細明體"/>
            <w:color w:val="000000" w:themeColor="text1"/>
            <w:kern w:val="0"/>
          </w:rPr>
          <m:t>.967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&gt;.05</m:t>
        </m:r>
      </m:oMath>
      <w:r w:rsidR="00EC7CD3">
        <w:rPr>
          <w:rFonts w:ascii="標楷體" w:eastAsia="標楷體" w:hAnsi="標楷體" w:cs="標楷體" w:hint="eastAsia"/>
        </w:rPr>
        <w:t>，</w:t>
      </w:r>
      <w:r w:rsidR="00EC7CD3" w:rsidRPr="00C02C11">
        <w:rPr>
          <w:rFonts w:ascii="標楷體" w:eastAsia="標楷體" w:hAnsi="標楷體" w:cs="標楷體" w:hint="eastAsia"/>
          <w:color w:val="000000" w:themeColor="text1"/>
        </w:rPr>
        <w:t>未達顯</w:t>
      </w:r>
      <w:r w:rsidR="00EC7CD3">
        <w:rPr>
          <w:rFonts w:ascii="標楷體" w:eastAsia="標楷體" w:hAnsi="標楷體" w:cs="標楷體" w:hint="eastAsia"/>
        </w:rPr>
        <w:t>著差異，表示教學前測實驗組與控制組在</w:t>
      </w:r>
      <w:r w:rsidR="000D0CE6">
        <w:rPr>
          <w:rFonts w:ascii="標楷體" w:eastAsia="標楷體" w:hAnsi="標楷體" w:cs="標楷體" w:hint="eastAsia"/>
        </w:rPr>
        <w:t>「數與計算」</w:t>
      </w:r>
      <w:r w:rsidR="00EC7CD3">
        <w:rPr>
          <w:rFonts w:ascii="標楷體" w:eastAsia="標楷體" w:hAnsi="標楷體" w:cs="標楷體" w:hint="eastAsia"/>
        </w:rPr>
        <w:t>學習</w:t>
      </w:r>
      <w:r w:rsidR="00EC7CD3">
        <w:rPr>
          <w:rFonts w:ascii="標楷體" w:eastAsia="標楷體" w:hAnsi="標楷體" w:cs="標楷體" w:hint="eastAsia"/>
          <w:b/>
        </w:rPr>
        <w:t>態度</w:t>
      </w:r>
      <w:r w:rsidR="00EC7CD3">
        <w:rPr>
          <w:rFonts w:ascii="標楷體" w:eastAsia="標楷體" w:hAnsi="標楷體" w:cs="標楷體" w:hint="eastAsia"/>
        </w:rPr>
        <w:t>是接近的；在</w:t>
      </w:r>
      <w:r w:rsidR="000D0CE6">
        <w:rPr>
          <w:rFonts w:ascii="標楷體" w:eastAsia="標楷體" w:hAnsi="標楷體" w:cs="標楷體" w:hint="eastAsia"/>
        </w:rPr>
        <w:t>「數與計算」</w:t>
      </w:r>
      <w:r w:rsidR="00EC7CD3" w:rsidRPr="00E52123">
        <w:rPr>
          <w:rFonts w:ascii="標楷體" w:eastAsia="標楷體" w:hAnsi="標楷體" w:cs="標楷體" w:hint="eastAsia"/>
        </w:rPr>
        <w:t>學習</w:t>
      </w:r>
      <w:r w:rsidR="00EC7CD3">
        <w:rPr>
          <w:rFonts w:ascii="標楷體" w:eastAsia="標楷體" w:hAnsi="標楷體" w:cs="標楷體" w:hint="eastAsia"/>
          <w:b/>
        </w:rPr>
        <w:t>態度</w:t>
      </w:r>
      <w:r w:rsidR="00EC7CD3">
        <w:rPr>
          <w:rFonts w:ascii="標楷體" w:eastAsia="標楷體" w:hAnsi="標楷體" w:cs="標楷體" w:hint="eastAsia"/>
        </w:rPr>
        <w:t>後測方面，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t=</m:t>
        </m:r>
        <m:r>
          <m:rPr>
            <m:sty m:val="p"/>
          </m:rPr>
          <w:rPr>
            <w:rFonts w:ascii="Cambria Math" w:eastAsia="標楷體" w:hAnsi="Cambria Math" w:cs="細明體"/>
            <w:color w:val="000000" w:themeColor="text1"/>
            <w:kern w:val="0"/>
          </w:rPr>
          <m:t>-.333</m:t>
        </m:r>
      </m:oMath>
      <w:r w:rsidR="00EC7CD3">
        <w:rPr>
          <w:rFonts w:ascii="標楷體" w:eastAsia="標楷體" w:hAnsi="標楷體" w:cs="標楷體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df=</m:t>
        </m:r>
        <m:r>
          <m:rPr>
            <m:sty m:val="p"/>
          </m:rPr>
          <w:rPr>
            <w:rFonts w:ascii="Cambria Math" w:eastAsia="標楷體" w:hAnsi="Cambria Math" w:cs="細明體"/>
            <w:color w:val="000000" w:themeColor="text1"/>
            <w:kern w:val="0"/>
          </w:rPr>
          <m:t>54</m:t>
        </m:r>
      </m:oMath>
      <w:r w:rsidR="00EC7CD3">
        <w:rPr>
          <w:rFonts w:ascii="標楷體" w:eastAsia="標楷體" w:hAnsi="標楷體" w:cs="標楷體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p=</m:t>
        </m:r>
        <m:r>
          <m:rPr>
            <m:sty m:val="p"/>
          </m:rPr>
          <w:rPr>
            <w:rFonts w:ascii="Cambria Math" w:eastAsia="標楷體" w:hAnsi="Cambria Math" w:cs="細明體"/>
            <w:color w:val="000000" w:themeColor="text1"/>
            <w:kern w:val="0"/>
          </w:rPr>
          <m:t>.740</m:t>
        </m:r>
        <m:r>
          <m:rPr>
            <m:sty m:val="p"/>
          </m:rPr>
          <w:rPr>
            <w:rFonts w:ascii="Cambria Math" w:eastAsia="標楷體" w:hAnsi="Cambria Math" w:cs="標楷體"/>
          </w:rPr>
          <m:t>&gt;.05</m:t>
        </m:r>
      </m:oMath>
      <w:r w:rsidR="00EC7CD3">
        <w:rPr>
          <w:rFonts w:ascii="標楷體" w:eastAsia="標楷體" w:hAnsi="標楷體" w:cs="標楷體" w:hint="eastAsia"/>
        </w:rPr>
        <w:t>，</w:t>
      </w:r>
      <w:r w:rsidR="00EC7CD3" w:rsidRPr="00C02C11">
        <w:rPr>
          <w:rFonts w:ascii="標楷體" w:eastAsia="標楷體" w:hAnsi="標楷體" w:cs="標楷體" w:hint="eastAsia"/>
          <w:color w:val="000000" w:themeColor="text1"/>
        </w:rPr>
        <w:t>未達</w:t>
      </w:r>
      <w:r w:rsidR="00EC7CD3">
        <w:rPr>
          <w:rFonts w:ascii="標楷體" w:eastAsia="標楷體" w:hAnsi="標楷體" w:cs="標楷體" w:hint="eastAsia"/>
        </w:rPr>
        <w:t>顯著，顯示教學後，沒有差異，換言之，採用傳統教學方法或行動APP輔助學習方法其</w:t>
      </w:r>
      <w:r w:rsidR="000D0CE6">
        <w:rPr>
          <w:rFonts w:ascii="標楷體" w:eastAsia="標楷體" w:hAnsi="標楷體" w:cs="標楷體" w:hint="eastAsia"/>
        </w:rPr>
        <w:t>「數與計算」</w:t>
      </w:r>
      <w:r w:rsidR="00EC7CD3">
        <w:rPr>
          <w:rFonts w:ascii="標楷體" w:eastAsia="標楷體" w:hAnsi="標楷體" w:cs="標楷體" w:hint="eastAsia"/>
        </w:rPr>
        <w:t>學習</w:t>
      </w:r>
      <w:r w:rsidR="00EC7CD3">
        <w:rPr>
          <w:rFonts w:ascii="標楷體" w:eastAsia="標楷體" w:hAnsi="標楷體" w:cs="標楷體" w:hint="eastAsia"/>
          <w:b/>
        </w:rPr>
        <w:t>態度</w:t>
      </w:r>
      <w:r w:rsidR="00EC7CD3">
        <w:rPr>
          <w:rFonts w:ascii="標楷體" w:eastAsia="標楷體" w:hAnsi="標楷體" w:cs="標楷體" w:hint="eastAsia"/>
        </w:rPr>
        <w:t>是沒有差異的。</w:t>
      </w:r>
    </w:p>
    <w:p w:rsidR="00BB69D7" w:rsidRPr="00703E1D" w:rsidRDefault="00BB69D7" w:rsidP="001B20FC">
      <w:pPr>
        <w:pStyle w:val="1"/>
        <w:ind w:leftChars="0" w:left="0"/>
        <w:rPr>
          <w:rFonts w:ascii="標楷體" w:eastAsia="標楷體" w:hAnsi="標楷體" w:cs="標楷體"/>
        </w:rPr>
      </w:pPr>
      <w:r w:rsidRPr="00703E1D">
        <w:rPr>
          <w:rFonts w:ascii="標楷體" w:eastAsia="標楷體" w:hAnsi="標楷體" w:cs="細明體" w:hint="eastAsia"/>
          <w:bCs/>
          <w:color w:val="000000"/>
          <w:kern w:val="0"/>
        </w:rPr>
        <w:t>表4-</w:t>
      </w:r>
      <w:r w:rsidR="000D0CE6">
        <w:rPr>
          <w:rFonts w:ascii="標楷體" w:eastAsia="標楷體" w:hAnsi="標楷體" w:cs="細明體"/>
          <w:bCs/>
          <w:color w:val="000000"/>
          <w:kern w:val="0"/>
        </w:rPr>
        <w:t>9</w:t>
      </w:r>
      <w:r w:rsidRPr="00703E1D">
        <w:rPr>
          <w:rFonts w:ascii="標楷體" w:eastAsia="標楷體" w:hAnsi="標楷體" w:cs="細明體" w:hint="eastAsia"/>
          <w:bCs/>
          <w:color w:val="000000"/>
          <w:kern w:val="0"/>
        </w:rPr>
        <w:t xml:space="preserve"> 實驗組及控制組在</w:t>
      </w:r>
      <w:r w:rsidR="000D0CE6">
        <w:rPr>
          <w:rFonts w:ascii="標楷體" w:eastAsia="標楷體" w:hAnsi="標楷體" w:cs="細明體" w:hint="eastAsia"/>
          <w:bCs/>
          <w:color w:val="000000"/>
          <w:kern w:val="0"/>
        </w:rPr>
        <w:t>「數與計算」</w:t>
      </w:r>
      <w:r w:rsidRPr="00703E1D">
        <w:rPr>
          <w:rFonts w:ascii="標楷體" w:eastAsia="標楷體" w:hAnsi="標楷體" w:cs="細明體" w:hint="eastAsia"/>
          <w:bCs/>
          <w:color w:val="000000"/>
          <w:kern w:val="0"/>
        </w:rPr>
        <w:t>學習態度前、後測</w:t>
      </w:r>
      <w:r w:rsidRPr="00703E1D">
        <w:rPr>
          <w:rFonts w:ascii="標楷體" w:eastAsia="標楷體" w:hAnsi="標楷體" w:cs="細明體" w:hint="eastAsia"/>
          <w:bCs/>
          <w:color w:val="000000" w:themeColor="text1"/>
          <w:kern w:val="0"/>
        </w:rPr>
        <w:t>之獨立樣本t檢定摘要</w:t>
      </w:r>
    </w:p>
    <w:tbl>
      <w:tblPr>
        <w:tblW w:w="8505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560"/>
        <w:gridCol w:w="1417"/>
        <w:gridCol w:w="851"/>
        <w:gridCol w:w="708"/>
        <w:gridCol w:w="1701"/>
      </w:tblGrid>
      <w:tr w:rsidR="00BB69D7" w:rsidRPr="001B20FC" w:rsidTr="001B20FC">
        <w:trPr>
          <w:cantSplit/>
        </w:trPr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9D7" w:rsidRPr="001B20FC" w:rsidRDefault="00BB69D7" w:rsidP="001B20FC">
            <w:pPr>
              <w:jc w:val="center"/>
              <w:rPr>
                <w:rFonts w:ascii="標楷體" w:eastAsia="標楷體" w:hAnsi="標楷體"/>
              </w:rPr>
            </w:pPr>
            <w:r w:rsidRPr="001B20FC">
              <w:rPr>
                <w:rFonts w:ascii="標楷體" w:eastAsia="標楷體" w:hAnsi="標楷體" w:cs="細明體" w:hint="eastAsia"/>
                <w:color w:val="000000"/>
                <w:kern w:val="0"/>
              </w:rPr>
              <w:t>測驗別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B69D7" w:rsidRPr="001B20FC" w:rsidRDefault="00BB69D7" w:rsidP="001B20FC">
            <w:pPr>
              <w:jc w:val="both"/>
              <w:rPr>
                <w:rFonts w:ascii="標楷體" w:eastAsia="標楷體" w:hAnsi="標楷體"/>
              </w:rPr>
            </w:pPr>
            <w:r w:rsidRPr="001B20FC">
              <w:rPr>
                <w:rFonts w:ascii="標楷體" w:eastAsia="標楷體" w:hAnsi="標楷體"/>
              </w:rPr>
              <w:t xml:space="preserve">Levene </w:t>
            </w:r>
            <w:r w:rsidRPr="001B20FC">
              <w:rPr>
                <w:rFonts w:ascii="標楷體" w:eastAsia="標楷體" w:hAnsi="標楷體" w:hint="eastAsia"/>
              </w:rPr>
              <w:t>的變異數相等測試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B69D7" w:rsidRPr="001B20FC" w:rsidRDefault="00BB69D7" w:rsidP="001B20FC">
            <w:pPr>
              <w:jc w:val="both"/>
              <w:rPr>
                <w:rFonts w:ascii="標楷體" w:eastAsia="標楷體" w:hAnsi="標楷體"/>
              </w:rPr>
            </w:pPr>
            <w:r w:rsidRPr="001B20FC">
              <w:rPr>
                <w:rFonts w:ascii="標楷體" w:eastAsia="標楷體" w:hAnsi="標楷體" w:hint="eastAsia"/>
              </w:rPr>
              <w:t>針對平均值是否相等的</w:t>
            </w:r>
            <w:r w:rsidRPr="001B20FC">
              <w:rPr>
                <w:rFonts w:ascii="標楷體" w:eastAsia="標楷體" w:hAnsi="標楷體"/>
              </w:rPr>
              <w:t xml:space="preserve"> t </w:t>
            </w:r>
            <w:r w:rsidRPr="001B20FC">
              <w:rPr>
                <w:rFonts w:ascii="標楷體" w:eastAsia="標楷體" w:hAnsi="標楷體" w:hint="eastAsia"/>
              </w:rPr>
              <w:t>測試</w:t>
            </w:r>
          </w:p>
        </w:tc>
      </w:tr>
      <w:tr w:rsidR="00BB69D7" w:rsidRPr="001B20FC" w:rsidTr="001B20FC">
        <w:trPr>
          <w:cantSplit/>
          <w:trHeight w:val="60"/>
        </w:trPr>
        <w:tc>
          <w:tcPr>
            <w:tcW w:w="22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9D7" w:rsidRPr="001B20FC" w:rsidRDefault="00BB69D7" w:rsidP="001B20F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9D7" w:rsidRPr="001B20FC" w:rsidRDefault="00BB69D7" w:rsidP="001B20FC">
            <w:pPr>
              <w:jc w:val="center"/>
              <w:rPr>
                <w:rFonts w:ascii="標楷體" w:eastAsia="標楷體" w:hAnsi="標楷體"/>
              </w:rPr>
            </w:pPr>
            <w:r w:rsidRPr="001B20FC">
              <w:rPr>
                <w:rFonts w:ascii="標楷體" w:eastAsia="標楷體" w:hAnsi="標楷體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9D7" w:rsidRPr="001B20FC" w:rsidRDefault="00BB69D7" w:rsidP="001B20FC">
            <w:pPr>
              <w:jc w:val="center"/>
              <w:rPr>
                <w:rFonts w:ascii="標楷體" w:eastAsia="標楷體" w:hAnsi="標楷體"/>
              </w:rPr>
            </w:pPr>
            <w:r w:rsidRPr="001B20FC">
              <w:rPr>
                <w:rFonts w:ascii="標楷體" w:eastAsia="標楷體" w:hAnsi="標楷體" w:hint="eastAsia"/>
              </w:rPr>
              <w:t>顯著性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9D7" w:rsidRPr="001B20FC" w:rsidRDefault="00BB69D7" w:rsidP="001B20FC">
            <w:pPr>
              <w:jc w:val="center"/>
              <w:rPr>
                <w:rFonts w:ascii="標楷體" w:eastAsia="標楷體" w:hAnsi="標楷體"/>
              </w:rPr>
            </w:pPr>
            <w:r w:rsidRPr="001B20FC">
              <w:rPr>
                <w:rFonts w:ascii="標楷體" w:eastAsia="標楷體" w:hAnsi="標楷體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9D7" w:rsidRPr="001B20FC" w:rsidRDefault="00BB69D7" w:rsidP="001B20FC">
            <w:pPr>
              <w:jc w:val="center"/>
              <w:rPr>
                <w:rFonts w:ascii="標楷體" w:eastAsia="標楷體" w:hAnsi="標楷體"/>
              </w:rPr>
            </w:pPr>
            <w:r w:rsidRPr="001B20FC">
              <w:rPr>
                <w:rFonts w:ascii="標楷體" w:eastAsia="標楷體" w:hAnsi="標楷體"/>
              </w:rPr>
              <w:t>df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9D7" w:rsidRPr="001B20FC" w:rsidRDefault="00BB69D7" w:rsidP="001B20FC">
            <w:pPr>
              <w:jc w:val="center"/>
              <w:rPr>
                <w:rFonts w:ascii="標楷體" w:eastAsia="標楷體" w:hAnsi="標楷體"/>
              </w:rPr>
            </w:pPr>
            <w:r w:rsidRPr="001B20FC">
              <w:rPr>
                <w:rFonts w:ascii="標楷體" w:eastAsia="標楷體" w:hAnsi="標楷體" w:hint="eastAsia"/>
              </w:rPr>
              <w:t>顯著性（雙尾</w:t>
            </w:r>
            <w:r w:rsidRPr="001B20FC">
              <w:rPr>
                <w:rFonts w:ascii="標楷體" w:eastAsia="標楷體" w:hAnsi="標楷體"/>
              </w:rPr>
              <w:t>）</w:t>
            </w:r>
          </w:p>
        </w:tc>
      </w:tr>
      <w:tr w:rsidR="00DB774D" w:rsidRPr="001B20FC" w:rsidTr="001B20FC">
        <w:trPr>
          <w:cantSplit/>
          <w:trHeight w:val="45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BB69D7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/>
                <w:kern w:val="0"/>
              </w:rPr>
              <w:t>學習態度前測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 w:themeColor="text1"/>
                <w:kern w:val="0"/>
              </w:rPr>
              <w:t>採用相等變異數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.043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.837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-.041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.967</w:t>
            </w:r>
          </w:p>
        </w:tc>
      </w:tr>
      <w:tr w:rsidR="00DB774D" w:rsidRPr="001B20FC" w:rsidTr="001B20FC">
        <w:trPr>
          <w:cantSplit/>
          <w:trHeight w:val="39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BB69D7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/>
                <w:kern w:val="0"/>
              </w:rPr>
              <w:t>學習態度後測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 w:themeColor="text1"/>
                <w:kern w:val="0"/>
              </w:rPr>
              <w:t>採用相等變異數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.103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.750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-.333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.740</w:t>
            </w:r>
          </w:p>
        </w:tc>
      </w:tr>
    </w:tbl>
    <w:p w:rsidR="00DB774D" w:rsidRDefault="00DB774D" w:rsidP="001B20FC">
      <w:pPr>
        <w:pStyle w:val="1"/>
        <w:ind w:leftChars="0" w:left="0"/>
        <w:rPr>
          <w:rFonts w:ascii="標楷體" w:eastAsia="標楷體" w:hAnsi="標楷體" w:cs="標楷體"/>
        </w:rPr>
      </w:pPr>
    </w:p>
    <w:p w:rsidR="001B20FC" w:rsidRPr="00176700" w:rsidRDefault="00B52EAF" w:rsidP="00176700">
      <w:pPr>
        <w:pStyle w:val="1"/>
        <w:ind w:leftChars="0" w:left="0"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為探討二種不同教學方法對學童</w:t>
      </w:r>
      <w:r w:rsidR="000D0CE6">
        <w:rPr>
          <w:rFonts w:ascii="標楷體" w:eastAsia="標楷體" w:hAnsi="標楷體" w:cs="標楷體" w:hint="eastAsia"/>
        </w:rPr>
        <w:t>「數與計算」</w:t>
      </w:r>
      <w:r>
        <w:rPr>
          <w:rFonts w:ascii="標楷體" w:eastAsia="標楷體" w:hAnsi="標楷體" w:cs="標楷體" w:hint="eastAsia"/>
        </w:rPr>
        <w:t>學習態度之改變情形，因此採用相依樣本t檢定進行分析，其結果如表4-</w:t>
      </w:r>
      <w:r w:rsidR="000D0CE6">
        <w:rPr>
          <w:rFonts w:ascii="標楷體" w:eastAsia="標楷體" w:hAnsi="標楷體" w:cs="標楷體"/>
        </w:rPr>
        <w:t>10</w:t>
      </w:r>
      <w:r>
        <w:rPr>
          <w:rFonts w:ascii="標楷體" w:eastAsia="標楷體" w:hAnsi="標楷體" w:cs="標楷體" w:hint="eastAsia"/>
        </w:rPr>
        <w:t>所示，其中實驗組在前、後測相依樣本t檢定結果，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t=-1.769</m:t>
        </m:r>
      </m:oMath>
      <w:r>
        <w:rPr>
          <w:rFonts w:ascii="標楷體" w:eastAsia="標楷體" w:hAnsi="標楷體" w:cs="標楷體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df=17</m:t>
        </m:r>
      </m:oMath>
      <w:r>
        <w:rPr>
          <w:rFonts w:ascii="標楷體" w:eastAsia="標楷體" w:hAnsi="標楷體" w:cs="標楷體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p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=.095&gt;.05</m:t>
        </m:r>
      </m:oMath>
      <w:r>
        <w:rPr>
          <w:rFonts w:ascii="標楷體" w:eastAsia="標楷體" w:hAnsi="標楷體" w:cs="標楷體" w:hint="eastAsia"/>
        </w:rPr>
        <w:t>，</w:t>
      </w:r>
      <w:r w:rsidR="001B20FC">
        <w:rPr>
          <w:rFonts w:ascii="標楷體" w:eastAsia="標楷體" w:hAnsi="標楷體" w:cs="標楷體" w:hint="eastAsia"/>
        </w:rPr>
        <w:t>未達顯著差異</w:t>
      </w:r>
      <w:r>
        <w:rPr>
          <w:rFonts w:ascii="標楷體" w:eastAsia="標楷體" w:hAnsi="標楷體" w:cs="標楷體" w:hint="eastAsia"/>
        </w:rPr>
        <w:t>；控制組在前後測相依樣本t檢定結果，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t=</m:t>
        </m:r>
        <m:r>
          <m:rPr>
            <m:sty m:val="p"/>
          </m:rPr>
          <w:rPr>
            <w:rFonts w:ascii="Cambria Math" w:eastAsia="細明體" w:hAnsi="Cambria Math" w:cs="細明體"/>
            <w:color w:val="000000" w:themeColor="text1"/>
            <w:kern w:val="0"/>
          </w:rPr>
          <m:t>-1.403</m:t>
        </m:r>
      </m:oMath>
      <w:r>
        <w:rPr>
          <w:rFonts w:ascii="標楷體" w:eastAsia="標楷體" w:hAnsi="標楷體" w:cs="標楷體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df=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21</m:t>
        </m:r>
      </m:oMath>
      <w:r>
        <w:rPr>
          <w:rFonts w:ascii="標楷體" w:eastAsia="標楷體" w:hAnsi="標楷體" w:cs="標楷體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 w:cs="標楷體"/>
          </w:rPr>
          <m:t>p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=</m:t>
        </m:r>
        <m:r>
          <m:rPr>
            <m:sty m:val="p"/>
          </m:rPr>
          <w:rPr>
            <w:rFonts w:ascii="Cambria Math" w:eastAsia="標楷體" w:hAnsi="Cambria Math" w:cs="標楷體"/>
          </w:rPr>
          <m:t>.175</m:t>
        </m:r>
        <m:r>
          <m:rPr>
            <m:sty m:val="p"/>
          </m:rPr>
          <w:rPr>
            <w:rFonts w:ascii="Cambria Math" w:eastAsia="標楷體" w:hAnsi="Cambria Math" w:cs="標楷體" w:hint="eastAsia"/>
          </w:rPr>
          <m:t>&gt;05</m:t>
        </m:r>
      </m:oMath>
      <w:r>
        <w:rPr>
          <w:rFonts w:ascii="標楷體" w:eastAsia="標楷體" w:hAnsi="標楷體" w:cs="標楷體" w:hint="eastAsia"/>
        </w:rPr>
        <w:t>，</w:t>
      </w:r>
      <w:r w:rsidR="001B20FC">
        <w:rPr>
          <w:rFonts w:ascii="標楷體" w:eastAsia="標楷體" w:hAnsi="標楷體" w:cs="標楷體" w:hint="eastAsia"/>
        </w:rPr>
        <w:t>未</w:t>
      </w:r>
      <w:r>
        <w:rPr>
          <w:rFonts w:ascii="標楷體" w:eastAsia="標楷體" w:hAnsi="標楷體" w:cs="標楷體" w:hint="eastAsia"/>
        </w:rPr>
        <w:t>達顯著差異，表示</w:t>
      </w:r>
      <w:r w:rsidRPr="00707ED3">
        <w:rPr>
          <w:rFonts w:ascii="標楷體" w:eastAsia="標楷體" w:hAnsi="標楷體" w:cs="標楷體" w:hint="eastAsia"/>
        </w:rPr>
        <w:t>採用傳統教學方法</w:t>
      </w:r>
      <w:r w:rsidR="00707ED3">
        <w:rPr>
          <w:rFonts w:ascii="標楷體" w:eastAsia="標楷體" w:hAnsi="標楷體" w:cs="標楷體" w:hint="eastAsia"/>
        </w:rPr>
        <w:t>或行動APP輔助學習方法其</w:t>
      </w:r>
      <w:r w:rsidR="000D0CE6">
        <w:rPr>
          <w:rFonts w:ascii="標楷體" w:eastAsia="標楷體" w:hAnsi="標楷體" w:cs="標楷體" w:hint="eastAsia"/>
        </w:rPr>
        <w:t>「數與計算」</w:t>
      </w:r>
      <w:r w:rsidR="00707ED3">
        <w:rPr>
          <w:rFonts w:ascii="標楷體" w:eastAsia="標楷體" w:hAnsi="標楷體" w:cs="標楷體" w:hint="eastAsia"/>
        </w:rPr>
        <w:t>學習</w:t>
      </w:r>
      <w:r w:rsidR="00707ED3" w:rsidRPr="00707ED3">
        <w:rPr>
          <w:rFonts w:ascii="標楷體" w:eastAsia="標楷體" w:hAnsi="標楷體" w:cs="標楷體" w:hint="eastAsia"/>
        </w:rPr>
        <w:t>態度之無</w:t>
      </w:r>
      <w:r w:rsidR="00707ED3">
        <w:rPr>
          <w:rFonts w:ascii="標楷體" w:eastAsia="標楷體" w:hAnsi="標楷體" w:cs="標楷體" w:hint="eastAsia"/>
        </w:rPr>
        <w:t>顯著</w:t>
      </w:r>
      <w:r w:rsidR="00707ED3" w:rsidRPr="00707ED3">
        <w:rPr>
          <w:rFonts w:ascii="標楷體" w:eastAsia="標楷體" w:hAnsi="標楷體" w:cs="標楷體" w:hint="eastAsia"/>
        </w:rPr>
        <w:t>進步情形。</w:t>
      </w:r>
    </w:p>
    <w:p w:rsidR="00703E1D" w:rsidRDefault="00703E1D" w:rsidP="001B20FC">
      <w:pPr>
        <w:pStyle w:val="1"/>
        <w:ind w:leftChars="0" w:left="0"/>
        <w:rPr>
          <w:rFonts w:ascii="標楷體" w:eastAsia="標楷體" w:hAnsi="標楷體" w:cs="細明體"/>
          <w:bCs/>
          <w:color w:val="000000" w:themeColor="text1"/>
          <w:kern w:val="0"/>
        </w:rPr>
      </w:pPr>
    </w:p>
    <w:p w:rsidR="000D0CE6" w:rsidRPr="000D0CE6" w:rsidRDefault="000D0CE6" w:rsidP="001B20FC">
      <w:pPr>
        <w:pStyle w:val="1"/>
        <w:ind w:leftChars="0" w:left="0"/>
        <w:rPr>
          <w:rFonts w:ascii="標楷體" w:eastAsia="標楷體" w:hAnsi="標楷體" w:cs="細明體"/>
          <w:bCs/>
          <w:color w:val="000000" w:themeColor="text1"/>
          <w:kern w:val="0"/>
        </w:rPr>
      </w:pPr>
    </w:p>
    <w:p w:rsidR="00BB69D7" w:rsidRPr="001B20FC" w:rsidRDefault="00BB69D7" w:rsidP="001B20FC">
      <w:pPr>
        <w:pStyle w:val="1"/>
        <w:ind w:leftChars="0" w:left="0"/>
        <w:rPr>
          <w:rFonts w:ascii="標楷體" w:eastAsia="標楷體" w:hAnsi="標楷體" w:cs="標楷體"/>
        </w:rPr>
      </w:pPr>
      <w:r w:rsidRPr="001B20FC">
        <w:rPr>
          <w:rFonts w:ascii="標楷體" w:eastAsia="標楷體" w:hAnsi="標楷體" w:cs="細明體" w:hint="eastAsia"/>
          <w:bCs/>
          <w:color w:val="000000" w:themeColor="text1"/>
          <w:kern w:val="0"/>
        </w:rPr>
        <w:lastRenderedPageBreak/>
        <w:t>表4-</w:t>
      </w:r>
      <w:r w:rsidR="000D0CE6">
        <w:rPr>
          <w:rFonts w:ascii="標楷體" w:eastAsia="標楷體" w:hAnsi="標楷體" w:cs="細明體"/>
          <w:bCs/>
          <w:color w:val="000000" w:themeColor="text1"/>
          <w:kern w:val="0"/>
        </w:rPr>
        <w:t>10</w:t>
      </w:r>
      <w:r w:rsidRPr="001B20FC">
        <w:rPr>
          <w:rFonts w:ascii="標楷體" w:eastAsia="標楷體" w:hAnsi="標楷體" w:cs="細明體" w:hint="eastAsia"/>
          <w:bCs/>
          <w:color w:val="000000" w:themeColor="text1"/>
          <w:kern w:val="0"/>
        </w:rPr>
        <w:t xml:space="preserve"> </w:t>
      </w:r>
      <w:r w:rsidRPr="001B20FC">
        <w:rPr>
          <w:rFonts w:ascii="標楷體" w:eastAsia="標楷體" w:hAnsi="標楷體" w:cs="細明體" w:hint="eastAsia"/>
          <w:bCs/>
          <w:color w:val="000000"/>
          <w:kern w:val="0"/>
        </w:rPr>
        <w:t>實驗組及控制組在</w:t>
      </w:r>
      <w:r w:rsidR="000D0CE6">
        <w:rPr>
          <w:rFonts w:ascii="標楷體" w:eastAsia="標楷體" w:hAnsi="標楷體" w:cs="細明體" w:hint="eastAsia"/>
          <w:bCs/>
          <w:color w:val="000000"/>
          <w:kern w:val="0"/>
        </w:rPr>
        <w:t>「數與計算」</w:t>
      </w:r>
      <w:r w:rsidRPr="001B20FC">
        <w:rPr>
          <w:rFonts w:ascii="標楷體" w:eastAsia="標楷體" w:hAnsi="標楷體" w:cs="細明體" w:hint="eastAsia"/>
          <w:bCs/>
          <w:color w:val="000000"/>
          <w:kern w:val="0"/>
        </w:rPr>
        <w:t>學習態度前、後測</w:t>
      </w:r>
      <w:r w:rsidRPr="001B20FC">
        <w:rPr>
          <w:rFonts w:ascii="標楷體" w:eastAsia="標楷體" w:hAnsi="標楷體" w:cs="細明體" w:hint="eastAsia"/>
          <w:bCs/>
          <w:color w:val="000000" w:themeColor="text1"/>
          <w:kern w:val="0"/>
        </w:rPr>
        <w:t>成對樣本t檢定</w:t>
      </w:r>
    </w:p>
    <w:tbl>
      <w:tblPr>
        <w:tblW w:w="8222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2694"/>
        <w:gridCol w:w="1559"/>
        <w:gridCol w:w="850"/>
        <w:gridCol w:w="1985"/>
      </w:tblGrid>
      <w:tr w:rsidR="00DB774D" w:rsidRPr="001B20FC" w:rsidTr="00F07578">
        <w:trPr>
          <w:cantSplit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1B20FC" w:rsidRDefault="00E2507E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 w:themeColor="text1"/>
                <w:kern w:val="0"/>
              </w:rPr>
              <w:t>組別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df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 w:themeColor="text1"/>
                <w:kern w:val="0"/>
              </w:rPr>
              <w:t>顯著性（雙尾）</w:t>
            </w:r>
          </w:p>
        </w:tc>
      </w:tr>
      <w:tr w:rsidR="00DB774D" w:rsidRPr="001B20FC" w:rsidTr="00F07578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F075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 w:themeColor="text1"/>
                <w:kern w:val="0"/>
              </w:rPr>
              <w:t>控制組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69D7" w:rsidRPr="001B20FC" w:rsidRDefault="00BB69D7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標楷體" w:eastAsia="標楷體" w:hAnsi="標楷體" w:cs="細明體"/>
                <w:color w:val="000000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/>
                <w:kern w:val="0"/>
              </w:rPr>
              <w:t>學習態度前測-</w:t>
            </w:r>
          </w:p>
          <w:p w:rsidR="00DB774D" w:rsidRPr="001B20FC" w:rsidRDefault="00BB69D7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/>
                <w:kern w:val="0"/>
              </w:rPr>
              <w:t>學習態度後測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-1.403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.175</w:t>
            </w:r>
          </w:p>
        </w:tc>
      </w:tr>
      <w:tr w:rsidR="00DB774D" w:rsidRPr="001B20FC" w:rsidTr="00F07578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F075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 w:themeColor="text1"/>
                <w:kern w:val="0"/>
              </w:rPr>
              <w:t>實驗組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69D7" w:rsidRPr="001B20FC" w:rsidRDefault="00BB69D7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標楷體" w:eastAsia="標楷體" w:hAnsi="標楷體" w:cs="細明體"/>
                <w:color w:val="000000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/>
                <w:kern w:val="0"/>
              </w:rPr>
              <w:t>學習態度前測</w:t>
            </w:r>
            <w:r w:rsidR="00BA240F">
              <w:rPr>
                <w:rFonts w:ascii="標楷體" w:eastAsia="標楷體" w:hAnsi="標楷體" w:cs="細明體" w:hint="eastAsia"/>
                <w:color w:val="000000"/>
                <w:kern w:val="0"/>
              </w:rPr>
              <w:t>-</w:t>
            </w:r>
          </w:p>
          <w:p w:rsidR="00DB774D" w:rsidRPr="001B20FC" w:rsidRDefault="00BB69D7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 w:hint="eastAsia"/>
                <w:color w:val="000000"/>
                <w:kern w:val="0"/>
              </w:rPr>
              <w:t>學習態度後測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-1.769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17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1B20FC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</w:rPr>
            </w:pPr>
            <w:r w:rsidRPr="001B20FC">
              <w:rPr>
                <w:rFonts w:ascii="標楷體" w:eastAsia="標楷體" w:hAnsi="標楷體" w:cs="細明體"/>
                <w:color w:val="000000" w:themeColor="text1"/>
                <w:kern w:val="0"/>
              </w:rPr>
              <w:t>.095</w:t>
            </w:r>
          </w:p>
        </w:tc>
      </w:tr>
    </w:tbl>
    <w:p w:rsidR="00CD6C9A" w:rsidRDefault="001C45D7" w:rsidP="00CD6C9A">
      <w:pPr>
        <w:pStyle w:val="1"/>
        <w:ind w:leftChars="0" w:left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雖然沒有顯著差異，但經教學實驗後訪談實驗組學生結果顯示，</w:t>
      </w:r>
    </w:p>
    <w:p w:rsidR="007C73D9" w:rsidRDefault="007C73D9" w:rsidP="00CD6C9A">
      <w:pPr>
        <w:pStyle w:val="1"/>
        <w:ind w:leftChars="0" w:left="0"/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()</w:t>
      </w:r>
      <w:r>
        <w:rPr>
          <w:rFonts w:ascii="標楷體" w:eastAsia="標楷體" w:hAnsi="標楷體" w:cs="標楷體"/>
        </w:rPr>
        <w:t xml:space="preserve">      </w:t>
      </w:r>
    </w:p>
    <w:p w:rsidR="00CD6C9A" w:rsidRDefault="007C73D9" w:rsidP="007C73D9">
      <w:pPr>
        <w:pStyle w:val="1"/>
        <w:ind w:leftChars="0" w:left="0" w:firstLineChars="100" w:firstLine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“</w:t>
      </w:r>
      <w:r>
        <w:rPr>
          <w:rFonts w:ascii="標楷體" w:eastAsia="標楷體" w:hAnsi="標楷體" w:cs="標楷體" w:hint="eastAsia"/>
        </w:rPr>
        <w:t xml:space="preserve">  </w:t>
      </w:r>
      <w:r>
        <w:rPr>
          <w:rFonts w:ascii="標楷體" w:eastAsia="標楷體" w:hAnsi="標楷體" w:cs="標楷體"/>
        </w:rPr>
        <w:t>“(50402)</w:t>
      </w:r>
    </w:p>
    <w:p w:rsidR="007C73D9" w:rsidRDefault="007C73D9" w:rsidP="00CD6C9A">
      <w:pPr>
        <w:pStyle w:val="1"/>
        <w:ind w:leftChars="0" w:left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“   “</w:t>
      </w:r>
      <w:r>
        <w:rPr>
          <w:rFonts w:ascii="標楷體" w:eastAsia="標楷體" w:hAnsi="標楷體" w:cs="標楷體"/>
        </w:rPr>
        <w:t>(5040</w:t>
      </w:r>
      <w:r>
        <w:rPr>
          <w:rFonts w:ascii="標楷體" w:eastAsia="標楷體" w:hAnsi="標楷體" w:cs="標楷體"/>
        </w:rPr>
        <w:t>8</w:t>
      </w:r>
      <w:r>
        <w:rPr>
          <w:rFonts w:ascii="標楷體" w:eastAsia="標楷體" w:hAnsi="標楷體" w:cs="標楷體"/>
        </w:rPr>
        <w:t>)</w:t>
      </w:r>
      <w:bookmarkStart w:id="0" w:name="_GoBack"/>
      <w:bookmarkEnd w:id="0"/>
    </w:p>
    <w:p w:rsidR="007C73D9" w:rsidRDefault="007C73D9" w:rsidP="00CD6C9A">
      <w:pPr>
        <w:pStyle w:val="1"/>
        <w:ind w:leftChars="0" w:left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()</w:t>
      </w:r>
    </w:p>
    <w:p w:rsidR="007C73D9" w:rsidRDefault="007C73D9" w:rsidP="00CD6C9A">
      <w:pPr>
        <w:pStyle w:val="1"/>
        <w:ind w:leftChars="0" w:left="0"/>
        <w:rPr>
          <w:rFonts w:ascii="標楷體" w:eastAsia="標楷體" w:hAnsi="標楷體" w:cs="標楷體" w:hint="eastAsia"/>
        </w:rPr>
      </w:pPr>
    </w:p>
    <w:p w:rsidR="00DB774D" w:rsidRPr="00707ED3" w:rsidRDefault="00DB774D" w:rsidP="00CD6C9A">
      <w:pPr>
        <w:pStyle w:val="1"/>
        <w:ind w:leftChars="0" w:left="0"/>
        <w:rPr>
          <w:rFonts w:ascii="標楷體" w:eastAsia="標楷體" w:hAnsi="標楷體" w:cs="標楷體"/>
          <w:b/>
          <w:color w:val="FF0000"/>
        </w:rPr>
      </w:pPr>
      <w:r w:rsidRPr="00707ED3">
        <w:rPr>
          <w:rFonts w:ascii="標楷體" w:eastAsia="標楷體" w:hAnsi="標楷體" w:cs="標楷體" w:hint="eastAsia"/>
          <w:b/>
          <w:color w:val="FF0000"/>
        </w:rPr>
        <w:t>三、 行動學習系統及APP之專家評估</w:t>
      </w:r>
    </w:p>
    <w:p w:rsidR="00CD6C9A" w:rsidRPr="00707ED3" w:rsidRDefault="00CD6C9A" w:rsidP="00E6660E">
      <w:pPr>
        <w:pStyle w:val="1"/>
        <w:ind w:leftChars="0" w:left="0"/>
        <w:rPr>
          <w:rFonts w:ascii="標楷體" w:eastAsia="標楷體" w:hAnsi="標楷體" w:cs="標楷體"/>
          <w:color w:val="FF0000"/>
        </w:rPr>
      </w:pPr>
    </w:p>
    <w:p w:rsidR="00CD6C9A" w:rsidRPr="00707ED3" w:rsidRDefault="00CD6C9A" w:rsidP="00E6660E">
      <w:pPr>
        <w:pStyle w:val="1"/>
        <w:ind w:leftChars="0" w:left="0"/>
        <w:rPr>
          <w:rFonts w:ascii="標楷體" w:eastAsia="標楷體" w:hAnsi="標楷體" w:cs="標楷體"/>
          <w:color w:val="FF0000"/>
        </w:rPr>
      </w:pPr>
    </w:p>
    <w:p w:rsidR="00D27F5E" w:rsidRPr="00707ED3" w:rsidRDefault="005E1336" w:rsidP="00E6660E">
      <w:pPr>
        <w:pStyle w:val="1"/>
        <w:ind w:leftChars="0" w:left="0"/>
        <w:rPr>
          <w:rFonts w:ascii="標楷體" w:eastAsia="標楷體" w:hAnsi="標楷體" w:cs="標楷體"/>
          <w:color w:val="FF0000"/>
        </w:rPr>
      </w:pPr>
      <w:r w:rsidRPr="00707ED3">
        <w:rPr>
          <w:rFonts w:ascii="標楷體" w:eastAsia="標楷體" w:hAnsi="標楷體" w:cs="標楷體" w:hint="eastAsia"/>
          <w:color w:val="FF0000"/>
        </w:rPr>
        <w:t>各題之</w:t>
      </w:r>
      <w:r w:rsidR="00D27F5E" w:rsidRPr="00707ED3">
        <w:rPr>
          <w:rFonts w:ascii="標楷體" w:eastAsia="標楷體" w:hAnsi="標楷體" w:cs="標楷體" w:hint="eastAsia"/>
          <w:color w:val="FF0000"/>
        </w:rPr>
        <w:t>平均數介於3.82~4.18</w:t>
      </w:r>
      <w:r w:rsidRPr="00707ED3">
        <w:rPr>
          <w:rFonts w:ascii="標楷體" w:eastAsia="標楷體" w:hAnsi="標楷體" w:cs="標楷體" w:hint="eastAsia"/>
          <w:color w:val="FF0000"/>
        </w:rPr>
        <w:t xml:space="preserve">之間，總平均為3.93(介於沒意見與同意之間) </w:t>
      </w:r>
    </w:p>
    <w:p w:rsidR="00CD6C9A" w:rsidRPr="00707ED3" w:rsidRDefault="00CD6C9A" w:rsidP="00D27F5E">
      <w:pPr>
        <w:pStyle w:val="1"/>
        <w:ind w:leftChars="0" w:left="0"/>
        <w:rPr>
          <w:rFonts w:ascii="標楷體" w:eastAsia="標楷體" w:hAnsi="標楷體" w:cs="標楷體"/>
          <w:color w:val="FF0000"/>
        </w:rPr>
      </w:pPr>
    </w:p>
    <w:p w:rsidR="00CD6C9A" w:rsidRPr="00707ED3" w:rsidRDefault="00CD6C9A" w:rsidP="00D27F5E">
      <w:pPr>
        <w:pStyle w:val="1"/>
        <w:ind w:leftChars="0" w:left="0"/>
        <w:rPr>
          <w:rFonts w:ascii="標楷體" w:eastAsia="標楷體" w:hAnsi="標楷體" w:cs="標楷體"/>
          <w:color w:val="FF0000"/>
        </w:rPr>
      </w:pPr>
    </w:p>
    <w:p w:rsidR="00D27F5E" w:rsidRPr="00707ED3" w:rsidRDefault="00CD6C9A" w:rsidP="00D27F5E">
      <w:pPr>
        <w:pStyle w:val="1"/>
        <w:ind w:leftChars="0" w:left="0"/>
        <w:rPr>
          <w:rFonts w:ascii="標楷體" w:eastAsia="標楷體" w:hAnsi="標楷體" w:cs="標楷體"/>
          <w:color w:val="FF0000"/>
        </w:rPr>
      </w:pPr>
      <w:r w:rsidRPr="00707ED3">
        <w:rPr>
          <w:rFonts w:ascii="標楷體" w:eastAsia="標楷體" w:hAnsi="標楷體" w:cs="標楷體" w:hint="eastAsia"/>
          <w:color w:val="FF0000"/>
        </w:rPr>
        <w:t>各題之</w:t>
      </w:r>
      <w:r w:rsidR="00D27F5E" w:rsidRPr="00707ED3">
        <w:rPr>
          <w:rFonts w:ascii="標楷體" w:eastAsia="標楷體" w:hAnsi="標楷體" w:cs="標楷體" w:hint="eastAsia"/>
          <w:color w:val="FF0000"/>
        </w:rPr>
        <w:t>平均數介於3.73~4.55，</w:t>
      </w:r>
      <w:r w:rsidR="005E1336" w:rsidRPr="00707ED3">
        <w:rPr>
          <w:rFonts w:ascii="標楷體" w:eastAsia="標楷體" w:hAnsi="標楷體" w:cs="標楷體" w:hint="eastAsia"/>
          <w:color w:val="FF0000"/>
        </w:rPr>
        <w:t>總平均為4.21(介於同意與</w:t>
      </w:r>
      <w:r w:rsidRPr="00707ED3">
        <w:rPr>
          <w:rFonts w:ascii="標楷體" w:eastAsia="標楷體" w:hAnsi="標楷體" w:cs="標楷體" w:hint="eastAsia"/>
          <w:color w:val="FF0000"/>
        </w:rPr>
        <w:t>很同意之間)</w:t>
      </w:r>
      <w:r w:rsidR="005E1336" w:rsidRPr="00707ED3">
        <w:rPr>
          <w:rFonts w:ascii="標楷體" w:eastAsia="標楷體" w:hAnsi="標楷體" w:cs="標楷體" w:hint="eastAsia"/>
          <w:color w:val="FF0000"/>
        </w:rPr>
        <w:t>，</w:t>
      </w:r>
      <w:r w:rsidR="00D27F5E" w:rsidRPr="00707ED3">
        <w:rPr>
          <w:rFonts w:ascii="標楷體" w:eastAsia="標楷體" w:hAnsi="標楷體" w:cs="標楷體" w:hint="eastAsia"/>
          <w:color w:val="FF0000"/>
        </w:rPr>
        <w:t>顯示專家認為</w:t>
      </w:r>
    </w:p>
    <w:p w:rsidR="005E1336" w:rsidRPr="00707ED3" w:rsidRDefault="005E1336" w:rsidP="001B20FC">
      <w:pPr>
        <w:pStyle w:val="1"/>
        <w:ind w:leftChars="0" w:left="0"/>
        <w:rPr>
          <w:rFonts w:ascii="標楷體" w:eastAsia="標楷體" w:hAnsi="標楷體" w:cs="標楷體"/>
          <w:color w:val="FF0000"/>
        </w:rPr>
      </w:pP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795"/>
        <w:gridCol w:w="750"/>
        <w:gridCol w:w="660"/>
        <w:gridCol w:w="615"/>
        <w:gridCol w:w="723"/>
        <w:gridCol w:w="709"/>
        <w:gridCol w:w="709"/>
        <w:gridCol w:w="1134"/>
      </w:tblGrid>
      <w:tr w:rsidR="00707ED3" w:rsidRPr="00707ED3" w:rsidTr="00D27F5E">
        <w:trPr>
          <w:cantSplit/>
        </w:trPr>
        <w:tc>
          <w:tcPr>
            <w:tcW w:w="822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B774D" w:rsidRPr="00707ED3" w:rsidRDefault="00DB774D" w:rsidP="00BA240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</w:rPr>
            </w:pPr>
            <w:r w:rsidRPr="00707ED3">
              <w:rPr>
                <w:rFonts w:ascii="細明體" w:eastAsia="細明體" w:hAnsi="Times New Roman" w:cs="細明體" w:hint="eastAsia"/>
                <w:b/>
                <w:bCs/>
                <w:color w:val="FF0000"/>
                <w:kern w:val="0"/>
              </w:rPr>
              <w:t>表4-</w:t>
            </w:r>
            <w:r w:rsidR="000D0CE6">
              <w:rPr>
                <w:rFonts w:ascii="細明體" w:eastAsia="細明體" w:hAnsi="Times New Roman" w:cs="細明體"/>
                <w:b/>
                <w:bCs/>
                <w:color w:val="FF0000"/>
                <w:kern w:val="0"/>
              </w:rPr>
              <w:t>11</w:t>
            </w:r>
            <w:r w:rsidRPr="00707ED3">
              <w:rPr>
                <w:rFonts w:ascii="細明體" w:eastAsia="細明體" w:hAnsi="Times New Roman" w:cs="細明體" w:hint="eastAsia"/>
                <w:b/>
                <w:bCs/>
                <w:color w:val="FF0000"/>
                <w:kern w:val="0"/>
              </w:rPr>
              <w:t xml:space="preserve"> 專家評估結果之描述性統計及單一樣本t檢定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707ED3" w:rsidRPr="00707ED3" w:rsidTr="00D27F5E">
        <w:trPr>
          <w:cantSplit/>
          <w:trHeight w:val="72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很同意</w:t>
            </w:r>
          </w:p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(</w:t>
            </w: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%)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同意</w:t>
            </w:r>
          </w:p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(</w:t>
            </w: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%)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沒意見(</w:t>
            </w: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%)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不同意(</w:t>
            </w: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%)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很不同意(</w:t>
            </w: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平均數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標準差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E6660E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t</w:t>
            </w:r>
          </w:p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(檢定值=3)</w:t>
            </w:r>
          </w:p>
        </w:tc>
      </w:tr>
      <w:tr w:rsidR="00707ED3" w:rsidRPr="00707ED3" w:rsidTr="00D27F5E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707ED3" w:rsidRPr="00707ED3" w:rsidTr="00D27F5E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spacing w:line="320" w:lineRule="atLeast"/>
              <w:ind w:left="60" w:right="6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707ED3" w:rsidRPr="00707ED3" w:rsidTr="00D27F5E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spacing w:line="320" w:lineRule="atLeast"/>
              <w:ind w:left="60" w:right="6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707ED3" w:rsidRPr="00707ED3" w:rsidTr="00D27F5E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707ED3" w:rsidRPr="00707ED3" w:rsidTr="00D27F5E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spacing w:line="320" w:lineRule="atLeast"/>
              <w:ind w:left="60" w:right="6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707ED3" w:rsidRPr="00707ED3" w:rsidTr="00D27F5E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707ED3" w:rsidRPr="00707ED3" w:rsidTr="00D27F5E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74D" w:rsidRPr="00707ED3" w:rsidRDefault="00DB774D" w:rsidP="001B20F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</w:tbl>
    <w:p w:rsidR="00DB774D" w:rsidRPr="00707ED3" w:rsidRDefault="00DB774D" w:rsidP="001B20F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color w:val="FF0000"/>
          <w:kern w:val="0"/>
        </w:rPr>
      </w:pPr>
      <w:r w:rsidRPr="00707ED3">
        <w:rPr>
          <w:rFonts w:ascii="Times New Roman" w:hAnsi="Times New Roman" w:cs="Times New Roman" w:hint="eastAsia"/>
          <w:color w:val="FF0000"/>
          <w:kern w:val="0"/>
        </w:rPr>
        <w:t>*p&lt;.05, **p&lt;.01</w:t>
      </w:r>
      <w:r w:rsidRPr="00707ED3">
        <w:rPr>
          <w:rFonts w:ascii="Times New Roman" w:hAnsi="Times New Roman" w:cs="Times New Roman"/>
          <w:color w:val="FF0000"/>
          <w:kern w:val="0"/>
        </w:rPr>
        <w:t>, ***p&lt;.001</w:t>
      </w:r>
    </w:p>
    <w:p w:rsidR="00D84827" w:rsidRDefault="00292246" w:rsidP="001B20FC"/>
    <w:p w:rsidR="000D0CE6" w:rsidRDefault="000D0CE6" w:rsidP="001B20FC"/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795"/>
        <w:gridCol w:w="750"/>
        <w:gridCol w:w="660"/>
        <w:gridCol w:w="615"/>
        <w:gridCol w:w="723"/>
        <w:gridCol w:w="709"/>
        <w:gridCol w:w="709"/>
        <w:gridCol w:w="1134"/>
      </w:tblGrid>
      <w:tr w:rsidR="000D0CE6" w:rsidRPr="00707ED3" w:rsidTr="00177F11">
        <w:trPr>
          <w:cantSplit/>
        </w:trPr>
        <w:tc>
          <w:tcPr>
            <w:tcW w:w="822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</w:rPr>
            </w:pPr>
            <w:r w:rsidRPr="00707ED3">
              <w:rPr>
                <w:rFonts w:ascii="細明體" w:eastAsia="細明體" w:hAnsi="Times New Roman" w:cs="細明體" w:hint="eastAsia"/>
                <w:b/>
                <w:bCs/>
                <w:color w:val="FF0000"/>
                <w:kern w:val="0"/>
              </w:rPr>
              <w:t>表4-</w:t>
            </w:r>
            <w:r>
              <w:rPr>
                <w:rFonts w:ascii="細明體" w:eastAsia="細明體" w:hAnsi="Times New Roman" w:cs="細明體"/>
                <w:b/>
                <w:bCs/>
                <w:color w:val="FF0000"/>
                <w:kern w:val="0"/>
              </w:rPr>
              <w:t>1</w:t>
            </w:r>
            <w:r>
              <w:rPr>
                <w:rFonts w:ascii="細明體" w:eastAsia="細明體" w:hAnsi="Times New Roman" w:cs="細明體"/>
                <w:b/>
                <w:bCs/>
                <w:color w:val="FF0000"/>
                <w:kern w:val="0"/>
              </w:rPr>
              <w:t>2</w:t>
            </w:r>
            <w:r w:rsidRPr="00707ED3">
              <w:rPr>
                <w:rFonts w:ascii="細明體" w:eastAsia="細明體" w:hAnsi="Times New Roman" w:cs="細明體" w:hint="eastAsia"/>
                <w:b/>
                <w:bCs/>
                <w:color w:val="FF0000"/>
                <w:kern w:val="0"/>
              </w:rPr>
              <w:t xml:space="preserve"> </w:t>
            </w:r>
            <w:r>
              <w:rPr>
                <w:rFonts w:ascii="細明體" w:eastAsia="細明體" w:hAnsi="Times New Roman" w:cs="細明體" w:hint="eastAsia"/>
                <w:b/>
                <w:bCs/>
                <w:color w:val="FF0000"/>
                <w:kern w:val="0"/>
              </w:rPr>
              <w:t>實驗組兒童使用APP後之評估結果</w:t>
            </w:r>
            <w:r w:rsidRPr="00707ED3">
              <w:rPr>
                <w:rFonts w:ascii="細明體" w:eastAsia="細明體" w:hAnsi="Times New Roman" w:cs="細明體" w:hint="eastAsia"/>
                <w:b/>
                <w:bCs/>
                <w:color w:val="FF0000"/>
                <w:kern w:val="0"/>
              </w:rPr>
              <w:t>描述性統計及單一樣本t檢定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0D0CE6" w:rsidRPr="00707ED3" w:rsidTr="00177F11">
        <w:trPr>
          <w:cantSplit/>
          <w:trHeight w:val="72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kern w:val="0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很同意</w:t>
            </w:r>
          </w:p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(</w:t>
            </w: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%)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同意</w:t>
            </w:r>
          </w:p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(</w:t>
            </w: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%)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沒意見(</w:t>
            </w: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%)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不同意(</w:t>
            </w: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%)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很不同意(</w:t>
            </w: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平均數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標準差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  <w:t>t</w:t>
            </w:r>
          </w:p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  <w:r w:rsidRPr="00707ED3">
              <w:rPr>
                <w:rFonts w:ascii="細明體" w:eastAsia="細明體" w:hAnsi="Times New Roman" w:cs="細明體" w:hint="eastAsia"/>
                <w:color w:val="FF0000"/>
                <w:kern w:val="0"/>
                <w:sz w:val="18"/>
                <w:szCs w:val="18"/>
              </w:rPr>
              <w:t>(檢定值=3)</w:t>
            </w:r>
          </w:p>
        </w:tc>
      </w:tr>
      <w:tr w:rsidR="000D0CE6" w:rsidRPr="00707ED3" w:rsidTr="00177F11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0D0CE6" w:rsidRPr="00707ED3" w:rsidTr="00177F11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spacing w:line="320" w:lineRule="atLeast"/>
              <w:ind w:left="60" w:right="6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0D0CE6" w:rsidRPr="00707ED3" w:rsidTr="00177F11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spacing w:line="320" w:lineRule="atLeast"/>
              <w:ind w:left="60" w:right="6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0D0CE6" w:rsidRPr="00707ED3" w:rsidTr="00177F11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0D0CE6" w:rsidRPr="00707ED3" w:rsidTr="00177F11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spacing w:line="320" w:lineRule="atLeast"/>
              <w:ind w:left="60" w:right="6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0D0CE6" w:rsidRPr="00707ED3" w:rsidTr="00177F11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  <w:tr w:rsidR="000D0CE6" w:rsidRPr="00707ED3" w:rsidTr="00177F11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E6" w:rsidRPr="00707ED3" w:rsidRDefault="000D0CE6" w:rsidP="00177F1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FF0000"/>
                <w:kern w:val="0"/>
                <w:sz w:val="18"/>
                <w:szCs w:val="18"/>
              </w:rPr>
            </w:pPr>
          </w:p>
        </w:tc>
      </w:tr>
    </w:tbl>
    <w:p w:rsidR="000D0CE6" w:rsidRDefault="000D0CE6" w:rsidP="001B20FC">
      <w:pPr>
        <w:rPr>
          <w:rFonts w:hint="eastAsia"/>
        </w:rPr>
      </w:pPr>
    </w:p>
    <w:sectPr w:rsidR="000D0C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246" w:rsidRDefault="00292246" w:rsidP="00DB774D">
      <w:r>
        <w:separator/>
      </w:r>
    </w:p>
  </w:endnote>
  <w:endnote w:type="continuationSeparator" w:id="0">
    <w:p w:rsidR="00292246" w:rsidRDefault="00292246" w:rsidP="00DB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246" w:rsidRDefault="00292246" w:rsidP="00DB774D">
      <w:r>
        <w:separator/>
      </w:r>
    </w:p>
  </w:footnote>
  <w:footnote w:type="continuationSeparator" w:id="0">
    <w:p w:rsidR="00292246" w:rsidRDefault="00292246" w:rsidP="00DB7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699D5"/>
    <w:multiLevelType w:val="multilevel"/>
    <w:tmpl w:val="504E148C"/>
    <w:lvl w:ilvl="0">
      <w:start w:val="1"/>
      <w:numFmt w:val="chineseLegalSimplified"/>
      <w:lvlText w:val="%1、"/>
      <w:lvlJc w:val="left"/>
      <w:pPr>
        <w:ind w:left="480" w:hanging="480"/>
      </w:pPr>
      <w:rPr>
        <w:rFonts w:ascii="標楷體" w:eastAsia="標楷體" w:hAnsi="標楷體" w:cs="SimSun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F3"/>
    <w:rsid w:val="000D0CE6"/>
    <w:rsid w:val="000D60F3"/>
    <w:rsid w:val="00174C71"/>
    <w:rsid w:val="00176700"/>
    <w:rsid w:val="001B20FC"/>
    <w:rsid w:val="001C45D7"/>
    <w:rsid w:val="00292246"/>
    <w:rsid w:val="00447576"/>
    <w:rsid w:val="004D7AA5"/>
    <w:rsid w:val="005172A2"/>
    <w:rsid w:val="00574F52"/>
    <w:rsid w:val="005E1336"/>
    <w:rsid w:val="00652540"/>
    <w:rsid w:val="00693D35"/>
    <w:rsid w:val="00703E1D"/>
    <w:rsid w:val="00707ED3"/>
    <w:rsid w:val="00713CB7"/>
    <w:rsid w:val="00797E5E"/>
    <w:rsid w:val="007C5F12"/>
    <w:rsid w:val="007C73D9"/>
    <w:rsid w:val="00985896"/>
    <w:rsid w:val="00A035D4"/>
    <w:rsid w:val="00B52EAF"/>
    <w:rsid w:val="00BA240F"/>
    <w:rsid w:val="00BB69D7"/>
    <w:rsid w:val="00BC1BBF"/>
    <w:rsid w:val="00BE33B5"/>
    <w:rsid w:val="00CD6C9A"/>
    <w:rsid w:val="00D27F5E"/>
    <w:rsid w:val="00DB774D"/>
    <w:rsid w:val="00E2507E"/>
    <w:rsid w:val="00E52123"/>
    <w:rsid w:val="00E6660E"/>
    <w:rsid w:val="00EC7CD3"/>
    <w:rsid w:val="00F07578"/>
    <w:rsid w:val="00F456A0"/>
    <w:rsid w:val="00F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9BE24"/>
  <w15:chartTrackingRefBased/>
  <w15:docId w15:val="{754847C2-4F15-44A3-860C-D38620F7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774D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77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7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774D"/>
    <w:rPr>
      <w:sz w:val="20"/>
      <w:szCs w:val="20"/>
    </w:rPr>
  </w:style>
  <w:style w:type="paragraph" w:customStyle="1" w:styleId="1">
    <w:name w:val="清單段落1"/>
    <w:basedOn w:val="a"/>
    <w:uiPriority w:val="34"/>
    <w:qFormat/>
    <w:rsid w:val="00DB77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lab506</cp:lastModifiedBy>
  <cp:revision>20</cp:revision>
  <dcterms:created xsi:type="dcterms:W3CDTF">2017-03-28T08:19:00Z</dcterms:created>
  <dcterms:modified xsi:type="dcterms:W3CDTF">2017-03-29T03:03:00Z</dcterms:modified>
</cp:coreProperties>
</file>