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Feb 2</w:t>
      </w:r>
      <w:r>
        <w:rPr>
          <w:rFonts w:hint="eastAsia"/>
          <w:vertAlign w:val="superscript"/>
          <w:lang w:val="en-US" w:eastAsia="zh-CN"/>
        </w:rPr>
        <w:t>nd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 the code and repeat the process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Upload record and weekly plan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Write down every thing when read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For interaction:Developing prediction models for clinical use using logistic regression: </w:t>
      </w:r>
      <w:r>
        <w:rPr>
          <w:rFonts w:hint="eastAsia"/>
          <w:lang w:val="en-US" w:eastAsia="zh-CN"/>
        </w:rPr>
        <w:tab/>
        <w:t>an overview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Similar topic as van Smeden: Adequate sample size for developing prediction models is not simply related to events per variable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ultinomial</w:t>
      </w:r>
      <w:r>
        <w:rPr>
          <w:rFonts w:hint="eastAsia"/>
          <w:lang w:val="en-US" w:eastAsia="zh-CN"/>
        </w:rPr>
        <w:t>: Sample size considerations and predictive performance of multinomial logistic prediction models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Another Riley: Calculating the sample size required for developing a clinical prediction model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Report from Github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NeueLTPro-B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dvPSA88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TwoText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EF23F4"/>
    <w:multiLevelType w:val="singleLevel"/>
    <w:tmpl w:val="26EF23F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BA584A"/>
    <w:rsid w:val="40BA584A"/>
    <w:rsid w:val="7984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2022-02-05T06:55:00Z</dcterms:created>
  <dc:creator>Eva</dc:creator>
  <cp:lastModifiedBy>Eva</cp:lastModifiedBy>
  <dcterms:modified xsi:type="dcterms:W3CDTF">2022-02-05T07:02:09Z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765F624BB86E44A8BBE2B77085E86E0F</vt:lpwstr>
  </property>
</Properties>
</file>