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BB109" w14:textId="1730E52B" w:rsidR="0027521C" w:rsidRDefault="0027521C" w:rsidP="0027521C">
      <w:pPr>
        <w:spacing w:after="0"/>
        <w:ind w:firstLine="720"/>
        <w:jc w:val="both"/>
        <w:textAlignment w:val="baseline"/>
      </w:pPr>
      <w:bookmarkStart w:id="0" w:name="_Hlk61256457"/>
      <w:r>
        <w:t xml:space="preserve">Manganese (hydro-)oxideshave received significant attention because of their, potentially dominating, control on Ni ocean concentrations </w:t>
      </w:r>
      <w:r>
        <w:fldChar w:fldCharType="begin" w:fldLock="1"/>
      </w:r>
      <w:r>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2007a)","plainTextFormattedCitation":"(Peacock and Sherman, 2007a)","previouslyFormattedCitation":"(Peacock and Sherman, 2007a)"},"properties":{"noteIndex":0},"schema":"https://github.com/citation-style-language/schema/raw/master/csl-citation.json"}</w:instrText>
      </w:r>
      <w:r>
        <w:fldChar w:fldCharType="separate"/>
      </w:r>
      <w:r w:rsidRPr="008D603A">
        <w:rPr>
          <w:noProof/>
        </w:rPr>
        <w:t>(Peacock and Sherman, 2007a)</w:t>
      </w:r>
      <w:r>
        <w:fldChar w:fldCharType="end"/>
      </w:r>
      <w:r>
        <w:t>.</w:t>
      </w:r>
      <w:r w:rsidR="00CA7B39">
        <w:t xml:space="preserve"> Hexagonal birnessite is thought to be representative of the poorly crystalline phyllomangates found in the deep ocean. </w:t>
      </w:r>
      <w:r>
        <w:t xml:space="preserve">Nickel sorbs as a surface complex and can become structurally incorporated into vacancy sites. Using their sorption complexation model of Ni-bearing hexagonal birnessite, Peacock et al., 2007 calculated the concentration of dissolved Ni in seawater in equilibrium with birnessite to be approximately 7.2 nM at pH 8.2 </w:t>
      </w:r>
      <w:r>
        <w:fldChar w:fldCharType="begin" w:fldLock="1"/>
      </w:r>
      <w:r>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Pr>
          <w:rFonts w:ascii="Cambria Math" w:hAnsi="Cambria Math" w:cs="Cambria Math"/>
        </w:rPr>
        <w:instrText>∼</w:instrText>
      </w:r>
      <w:r>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2007b)","plainTextFormattedCitation":"(Peacock and Sherman, 2007b)","previouslyFormattedCitation":"(Peacock and Sherman, 2007b)"},"properties":{"noteIndex":0},"schema":"https://github.com/citation-style-language/schema/raw/master/csl-citation.json"}</w:instrText>
      </w:r>
      <w:r>
        <w:fldChar w:fldCharType="separate"/>
      </w:r>
      <w:r w:rsidRPr="008D603A">
        <w:rPr>
          <w:noProof/>
        </w:rPr>
        <w:t>(Peacock and Sherman, 2007b)</w:t>
      </w:r>
      <w:r>
        <w:fldChar w:fldCharType="end"/>
      </w:r>
      <w:r>
        <w:t xml:space="preserve">. This is in good agreement with observed concentrations of Ni in seawater(ca. 3-12 nM)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oceans","type":"article-journal","volume":"128"},"uris":["http://www.mendeley.com/documents/?uuid=28c16f23-e94c-3072-9f3d-90736d46299c"]}],"mendeley":{"formattedCitation":"(Cameron and Vance, 2014; Sclater et al., 1976)","manualFormatting":"(e.g., Cameron and Vance, 2014; Sclater et al., 1976)","plainTextFormattedCitation":"(Cameron and Vance, 2014; Sclater et al., 1976)","previouslyFormattedCitation":"(Cameron and Vance, 2014; Sclater et al., 1976)"},"properties":{"noteIndex":0},"schema":"https://github.com/citation-style-language/schema/raw/master/csl-citation.json"}</w:instrText>
      </w:r>
      <w:r>
        <w:fldChar w:fldCharType="separate"/>
      </w:r>
      <w:r w:rsidRPr="0004437C">
        <w:rPr>
          <w:noProof/>
        </w:rPr>
        <w:t>(</w:t>
      </w:r>
      <w:r>
        <w:rPr>
          <w:noProof/>
        </w:rPr>
        <w:t xml:space="preserve">e.g., </w:t>
      </w:r>
      <w:r w:rsidRPr="0004437C">
        <w:rPr>
          <w:noProof/>
        </w:rPr>
        <w:t>Cameron and Vance, 2014; Sclater et al., 1976)</w:t>
      </w:r>
      <w:r>
        <w:fldChar w:fldCharType="end"/>
      </w:r>
      <w:r>
        <w:t xml:space="preserve"> and suggests that birnessite, or a similar Mn oxide phase, may be the dominate buffer of seawater Ni concentrations. Our knowledge of Ni’s retention or remobilization, and these processes’ isotopic fractionations, within Mn oxides is becoming increasingly complicated. </w:t>
      </w:r>
    </w:p>
    <w:p w14:paraId="483364D6" w14:textId="77777777" w:rsidR="0027521C" w:rsidRDefault="0027521C" w:rsidP="0027521C">
      <w:pPr>
        <w:spacing w:after="0"/>
        <w:ind w:firstLine="720"/>
        <w:jc w:val="both"/>
        <w:textAlignment w:val="baseline"/>
      </w:pPr>
      <w:r>
        <w:t xml:space="preserve">Gall et al., 2013 measured 24 surface scrapings of Fe-Mn crusts across the globe and found a variable isotopic range from </w:t>
      </w:r>
      <w:r w:rsidRPr="003F7266">
        <w:t>0</w:t>
      </w:r>
      <w:r>
        <w:t>.</w:t>
      </w:r>
      <w:r w:rsidRPr="003F7266">
        <w:t xml:space="preserve">9 </w:t>
      </w:r>
      <w:r>
        <w:t>to</w:t>
      </w:r>
      <w:r w:rsidRPr="003F7266">
        <w:t xml:space="preserve"> 2</w:t>
      </w:r>
      <w:r>
        <w:t>.</w:t>
      </w:r>
      <w:r w:rsidRPr="003F7266">
        <w:t>5‰</w:t>
      </w:r>
      <w:r>
        <w:t xml:space="preserve"> with an average of </w:t>
      </w:r>
      <w:r w:rsidRPr="00386DE8">
        <w:t>1</w:t>
      </w:r>
      <w:r>
        <w:t>.</w:t>
      </w:r>
      <w:r w:rsidRPr="00386DE8">
        <w:t>67</w:t>
      </w:r>
      <w:r>
        <w:t>±0.</w:t>
      </w:r>
      <w:r w:rsidRPr="00386DE8">
        <w:t>8‰</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fldChar w:fldCharType="separate"/>
      </w:r>
      <w:r w:rsidRPr="006C0A99">
        <w:rPr>
          <w:noProof/>
        </w:rPr>
        <w:t>(Gall et al., 2013)</w:t>
      </w:r>
      <w:r>
        <w:fldChar w:fldCharType="end"/>
      </w:r>
      <w:r>
        <w:t>. They did not observe any strong correlation between δ</w:t>
      </w:r>
      <w:r w:rsidRPr="004874FA">
        <w:rPr>
          <w:vertAlign w:val="superscript"/>
        </w:rPr>
        <w:t>60</w:t>
      </w:r>
      <w:r>
        <w:t>Ni and ocean basin, oxygen saturation or Ni concentration (Fig xx), but there was a correlation between δ</w:t>
      </w:r>
      <w:r w:rsidRPr="004874FA">
        <w:rPr>
          <w:vertAlign w:val="superscript"/>
        </w:rPr>
        <w:t>60</w:t>
      </w:r>
      <w:r>
        <w:t>Ni and distance to continental shelf, likely reflecting the contribution of isotopically lighter continental sediments. This presented the isotopic imbalance and suggested there was no isotopic fractionation associated with Ni sorption on Mn oxides. Gueguen et al., 2016 observed generally similar trends; of the four North and South Pacific Fe-Mn crusts they analyzed, they all generally overlapped with the values found in Gall et al., 2013. (</w:t>
      </w:r>
      <w:r w:rsidRPr="001F5B4B">
        <w:t xml:space="preserve">1.79 ± 0.21‰ 2sd, n = 31 </w:t>
      </w:r>
      <w:r>
        <w:t xml:space="preserve">for North Pacific </w:t>
      </w:r>
      <w:r w:rsidRPr="001F5B4B">
        <w:t xml:space="preserve">and 1.73 ± 0.21‰ 2sd, n = 21 </w:t>
      </w:r>
      <w:r>
        <w:t xml:space="preserve">for South Pacific) </w:t>
      </w:r>
      <w:r>
        <w:fldChar w:fldCharType="begin" w:fldLock="1"/>
      </w:r>
      <w:r>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fldChar w:fldCharType="separate"/>
      </w:r>
      <w:r w:rsidRPr="001F5B4B">
        <w:rPr>
          <w:noProof/>
        </w:rPr>
        <w:t>(Gueguen et al., 2016)</w:t>
      </w:r>
      <w:r>
        <w:fldChar w:fldCharType="end"/>
      </w:r>
      <w:r>
        <w:t>. In addition, they measured every 1 to 2 mm into the crust for ca. 20 mm and, for three of the cores, there was little isotopic variation down core. One core from the South Pacific had a systematic and dramatic drop in δ</w:t>
      </w:r>
      <w:r w:rsidRPr="004874FA">
        <w:rPr>
          <w:vertAlign w:val="superscript"/>
        </w:rPr>
        <w:t>60</w:t>
      </w:r>
      <w:r>
        <w:t>Ni downcore (from 1.89 to 0.25</w:t>
      </w:r>
      <w:r w:rsidRPr="001F5B4B">
        <w:t>‰</w:t>
      </w:r>
      <w:r>
        <w:t>) associated with lower Mn/Ni, suggesting that post-depositional processes associated with Mn-oxide phases may lead to alteration of the primary δ</w:t>
      </w:r>
      <w:r w:rsidRPr="004874FA">
        <w:rPr>
          <w:vertAlign w:val="superscript"/>
        </w:rPr>
        <w:t>60</w:t>
      </w:r>
      <w:r>
        <w:t xml:space="preserve">Ni signature. Overall, Fe-Mn crust, and therefore Ni associated with Mn-oxides, appeared to isotopically reflect seawater. </w:t>
      </w:r>
    </w:p>
    <w:p w14:paraId="76B032EA" w14:textId="4C31AFBA" w:rsidR="0027521C" w:rsidRDefault="0027521C" w:rsidP="0027521C">
      <w:pPr>
        <w:spacing w:after="0"/>
        <w:ind w:firstLine="720"/>
        <w:jc w:val="both"/>
        <w:textAlignment w:val="baseline"/>
      </w:pPr>
      <w:r>
        <w:t xml:space="preserve">In contrast, Vance et al., 2016 observed light Ni isotopic compositions associated with Mn oxides in water columns sampled within the Black Sea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834B04">
        <w:rPr>
          <w:noProof/>
        </w:rPr>
        <w:t>(Vance et al., 2016)</w:t>
      </w:r>
      <w:r>
        <w:fldChar w:fldCharType="end"/>
      </w:r>
      <w:r>
        <w:t>. Across the oxygen minimum, (i.e., where Mn oxide particles dissolve) the Ni isotopic composition of the water decreased significantly from ca. 1.2 to 0.8</w:t>
      </w:r>
      <w:r w:rsidRPr="001F5B4B">
        <w:t>‰</w:t>
      </w:r>
      <w:r>
        <w:t xml:space="preserve"> while the [Ni] increased which they calculate is associated with an</w:t>
      </w:r>
      <w:r w:rsidRPr="00E3156F">
        <w:t xml:space="preserve"> isotop</w:t>
      </w:r>
      <w:r>
        <w:t>ic</w:t>
      </w:r>
      <w:r w:rsidRPr="00E3156F">
        <w:t xml:space="preserve"> fractionation of </w:t>
      </w:r>
      <w:r>
        <w:t>ca.</w:t>
      </w:r>
      <w:r w:rsidRPr="00E3156F">
        <w:t xml:space="preserve"> </w:t>
      </w:r>
      <w:r>
        <w:t>-</w:t>
      </w:r>
      <w:r w:rsidRPr="00E3156F">
        <w:t>4‰</w:t>
      </w:r>
      <w:r>
        <w:t xml:space="preserve">. They attribute this to Ni sorbed on Mn oxide being released back into the water column upon oxide </w:t>
      </w:r>
      <w:commentRangeStart w:id="1"/>
      <w:r>
        <w:t xml:space="preserve">dissolution at the oxygen minimum. </w:t>
      </w:r>
      <w:commentRangeEnd w:id="1"/>
      <w:r>
        <w:rPr>
          <w:rStyle w:val="CommentReference"/>
        </w:rPr>
        <w:commentReference w:id="1"/>
      </w:r>
      <w:r>
        <w:t xml:space="preserve"> This clearly contradicts the findings of Gueguen et al., 2016 and Gall et al., 2013. A subsequent study measured a mix of hydrogenetic Fe-Mn crusts and hydrothermal Fe-Mn deposits </w:t>
      </w:r>
      <w:r w:rsidR="00AE1E1C">
        <w:t xml:space="preserve">and found both isotopically heavy and light Ni </w:t>
      </w:r>
      <w:r>
        <w:fldChar w:fldCharType="begin" w:fldLock="1"/>
      </w:r>
      <w:r>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fldChar w:fldCharType="separate"/>
      </w:r>
      <w:r w:rsidRPr="000C14C0">
        <w:rPr>
          <w:noProof/>
        </w:rPr>
        <w:t>(Gueguen et al., 2020)</w:t>
      </w:r>
      <w:r>
        <w:fldChar w:fldCharType="end"/>
      </w:r>
      <w:r>
        <w:t xml:space="preserve">. </w:t>
      </w:r>
      <w:r w:rsidR="00AE1E1C">
        <w:t>T</w:t>
      </w:r>
      <w:r>
        <w:t>he hydrogenetic Fe-Mn crusts were isotopically similar to seawater (</w:t>
      </w:r>
      <w:r w:rsidRPr="00B833F3">
        <w:t>0.8 to 1.8‰</w:t>
      </w:r>
      <w:r>
        <w:t>)</w:t>
      </w:r>
      <w:r w:rsidR="00AE1E1C" w:rsidRPr="00AE1E1C">
        <w:t xml:space="preserve"> </w:t>
      </w:r>
      <w:r>
        <w:t>but hydrothermal deposits have a generally wider, isotopically lighter range (-1.5</w:t>
      </w:r>
      <w:r w:rsidRPr="00A940FF">
        <w:t xml:space="preserve"> to 1.</w:t>
      </w:r>
      <w:r>
        <w:t>1</w:t>
      </w:r>
      <w:r w:rsidRPr="00A940FF">
        <w:t>‰</w:t>
      </w:r>
      <w:r>
        <w:t>). Finally, Little et al., 2020 analyzed the Ni isotopic composition of Mn rich crusts in the Eastern Pacific, where measured Fe-Mn crust samples in that region were +1.6</w:t>
      </w:r>
      <w:r w:rsidRPr="005C7D41">
        <w:t>‰</w:t>
      </w:r>
      <w:r>
        <w:t>, and predominately found isotopically light sediments (</w:t>
      </w:r>
      <w:r w:rsidRPr="0093240D">
        <w:t>−0.8</w:t>
      </w:r>
      <w:r>
        <w:t xml:space="preserve"> to </w:t>
      </w:r>
      <w:r w:rsidRPr="0093240D">
        <w:t>−0.2</w:t>
      </w:r>
      <w:r w:rsidRPr="005C7D41">
        <w:t>‰</w:t>
      </w:r>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4C71EC">
        <w:rPr>
          <w:noProof/>
        </w:rPr>
        <w:t>(Little et al., 2020)</w:t>
      </w:r>
      <w:r>
        <w:fldChar w:fldCharType="end"/>
      </w:r>
      <w:r>
        <w:t xml:space="preserve">. </w:t>
      </w:r>
    </w:p>
    <w:p w14:paraId="5F6641F0" w14:textId="77777777" w:rsidR="000700E6" w:rsidRDefault="000700E6" w:rsidP="000700E6">
      <w:pPr>
        <w:spacing w:after="0"/>
        <w:ind w:firstLine="720"/>
        <w:jc w:val="both"/>
        <w:textAlignment w:val="baseline"/>
      </w:pPr>
      <w:r>
        <w:t xml:space="preserve">A number of mechanisms have been evoked to explain these variations. Vance et al., 2016 </w:t>
      </w:r>
    </w:p>
    <w:p w14:paraId="292F5DC2" w14:textId="304F37C6" w:rsidR="000700E6" w:rsidRDefault="000700E6" w:rsidP="008C2563">
      <w:pPr>
        <w:spacing w:after="0"/>
        <w:jc w:val="both"/>
        <w:textAlignment w:val="baseline"/>
      </w:pPr>
    </w:p>
    <w:p w14:paraId="7C3B999C" w14:textId="77777777" w:rsidR="00F9141A" w:rsidRDefault="0027521C" w:rsidP="0027521C">
      <w:pPr>
        <w:spacing w:after="0"/>
        <w:ind w:firstLine="720"/>
        <w:jc w:val="both"/>
        <w:textAlignment w:val="baseline"/>
      </w:pPr>
      <w:r>
        <w:lastRenderedPageBreak/>
        <w:t xml:space="preserve">Experiments exploring Ni sorption and/or incorporation into Fe oxides and Mn oxides have indicated that the solid will sorb and/or incorporate isotopically light Ni relative to solution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tracers","type":"article-journal","volume":"481"},"uris":["http://www.mendeley.com/documents/?uuid=8cf17ead-c08d-3220-945e-63ba6312f7a7"]},{"id":"ITEM-3","itemData":{"abstract":"Recent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2019","id":"ITEM-3","issued":{"date-parts":[["2019"]]},"page":"2019","title":"Ionic strength strongly affects Ni isotope fractionation between solution and Mn oxyhydroxide","type":"article-journal"},"uris":["http://www.mendeley.com/documents/?uuid=1a35eba6-19dc-4e6b-b334-e079e58ded36"]},{"id":"ITEM-4","itemData":{"DOI":"10.1016/j.chemgeo.2020.119481","ISSN":"00092541","abstract":"Manganese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Geology","id":"ITEM-4","issue":"October 2019","issued":{"date-parts":[["2020"]]},"title":"Large nickel isotope fractionation caused by surface complexation reactions with hexagonal birnessite","type":"article-journal","volume":"537"},"uris":["http://www.mendeley.com/documents/?uuid=056c7e25-af00-4cb6-8f5b-0576e0b1990b"]}],"mendeley":{"formattedCitation":"(Gueguen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B6301D">
        <w:rPr>
          <w:noProof/>
        </w:rPr>
        <w:t>(Gueguen et al., 2018; Sorensen et al., 2020; Wasylenki et al., 2019, 2015)</w:t>
      </w:r>
      <w:r>
        <w:fldChar w:fldCharType="end"/>
      </w:r>
      <w:r>
        <w:t xml:space="preserve">. Sorption onto Fe oxides such as ferrihydrite and goethite have moderate fractionations of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rsidRPr="0051481A">
        <w:t>=</w:t>
      </w:r>
      <w:r>
        <w:t xml:space="preserve"> -</w:t>
      </w:r>
      <w:r w:rsidRPr="0051481A">
        <w:t xml:space="preserve">0.35 ± 0.08‰ </w:t>
      </w:r>
      <w:r>
        <w:t xml:space="preserve"> (2sd) and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rsidRPr="0051481A">
        <w:t>=</w:t>
      </w:r>
      <w:r>
        <w:t xml:space="preserve"> -</w:t>
      </w:r>
      <w:r w:rsidRPr="0051481A">
        <w:t>0.77 ± 0.23‰</w:t>
      </w:r>
      <w:r>
        <w:t xml:space="preserve"> (2sd), respectively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fldChar w:fldCharType="separate"/>
      </w:r>
      <w:r w:rsidRPr="008B0FBB">
        <w:rPr>
          <w:noProof/>
        </w:rPr>
        <w:t>(Gueguen et al., 2018)</w:t>
      </w:r>
      <w:r>
        <w:fldChar w:fldCharType="end"/>
      </w:r>
      <w:r>
        <w:t xml:space="preserve">. Nickel sorption onto </w:t>
      </w:r>
      <w:r w:rsidR="00DC5F5B">
        <w:t>birnessite</w:t>
      </w:r>
      <w:r>
        <w:t xml:space="preserve"> </w:t>
      </w:r>
      <w:r w:rsidR="00DC5F5B">
        <w:t>appears to have a</w:t>
      </w:r>
      <w:r>
        <w:t xml:space="preserve"> surprisingly large fractionation factor, considering there is no change in coordination environment or valence</w:t>
      </w:r>
      <w:r w:rsidR="00DC5F5B">
        <w:t>. Low ionic strength</w:t>
      </w:r>
      <w:r w:rsidR="00B20092">
        <w:t xml:space="preserve">, 24h </w:t>
      </w:r>
      <w:r w:rsidR="00DC5F5B">
        <w:t xml:space="preserve"> benchtop sorption experiments </w:t>
      </w:r>
      <w:r w:rsidR="00B20092">
        <w:t>measured</w:t>
      </w:r>
      <w:r w:rsidR="00DC5F5B">
        <w:t xml:space="preserve">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rsidR="00B20092">
        <w:t xml:space="preserve">values </w:t>
      </w:r>
      <w:r w:rsidR="00DC5F5B">
        <w:t xml:space="preserve">from </w:t>
      </w:r>
      <w:r w:rsidRPr="00BF6843">
        <w:t>−2.76‰</w:t>
      </w:r>
      <w:r>
        <w:t xml:space="preserve"> </w:t>
      </w:r>
      <w:r w:rsidRPr="00BF6843">
        <w:t>to −3.35‰</w:t>
      </w:r>
      <w:r>
        <w:t xml:space="preserve"> </w:t>
      </w:r>
      <w:r w:rsidR="00664C91">
        <w:t>depending on pH</w:t>
      </w:r>
      <w:r w:rsidR="00DC5F5B">
        <w:t xml:space="preserve">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BA68AE">
        <w:rPr>
          <w:noProof/>
        </w:rPr>
        <w:t>(Sorensen et al., 2020)</w:t>
      </w:r>
      <w:r>
        <w:fldChar w:fldCharType="end"/>
      </w:r>
      <w:r w:rsidR="00DC5F5B">
        <w:t xml:space="preserve">. </w:t>
      </w:r>
      <w:r w:rsidR="00B20092" w:rsidRPr="00B00649">
        <w:t xml:space="preserve">They attributed the range to differing proportions of incorporated </w:t>
      </w:r>
      <w:r w:rsidR="006104A3">
        <w:t>and</w:t>
      </w:r>
      <w:r w:rsidR="00B20092" w:rsidRPr="00B00649">
        <w:t xml:space="preserve"> sorbed Ni</w:t>
      </w:r>
      <w:r w:rsidR="00B20092">
        <w:t xml:space="preserve"> (Fig. XX)</w:t>
      </w:r>
      <w:r w:rsidR="00664C91">
        <w:t>. These values cannot explain the isotopically heavy Fe-Mn crust values found, but</w:t>
      </w:r>
      <w:r w:rsidR="006104A3">
        <w:t xml:space="preserve"> roughly corroborate the isotopically light Ni associated with manganese oxide dissolution in the black sea. </w:t>
      </w:r>
    </w:p>
    <w:p w14:paraId="609E3EA8" w14:textId="72192431" w:rsidR="0027521C" w:rsidRDefault="00F9141A" w:rsidP="0027521C">
      <w:pPr>
        <w:spacing w:after="0"/>
        <w:ind w:firstLine="720"/>
        <w:jc w:val="both"/>
        <w:textAlignment w:val="baseline"/>
      </w:pPr>
      <w:r>
        <w:t xml:space="preserve">What about high ionic strength solutions? </w:t>
      </w:r>
      <w:r w:rsidRPr="00F9141A">
        <w:t>Perhaps the high salinity in seawater has an important effect on Δ</w:t>
      </w:r>
      <w:r w:rsidRPr="00F9141A">
        <w:rPr>
          <w:vertAlign w:val="superscript"/>
        </w:rPr>
        <w:t>60/58</w:t>
      </w:r>
      <w:r w:rsidRPr="00F9141A">
        <w:t>Ni</w:t>
      </w:r>
      <w:r w:rsidRPr="00F9141A">
        <w:rPr>
          <w:vertAlign w:val="subscript"/>
        </w:rPr>
        <w:t>mineral-aqueous</w:t>
      </w:r>
      <w:r>
        <w:t xml:space="preserve"> </w:t>
      </w:r>
      <w:r w:rsidRPr="00F9141A">
        <w:t>as it does for other isotopic systems</w:t>
      </w:r>
      <w:r>
        <w:t xml:space="preserve"> </w:t>
      </w:r>
      <w:r>
        <w:fldChar w:fldCharType="begin" w:fldLock="1"/>
      </w:r>
      <w:r>
        <w:instrText>ADDIN CSL_CITATION {"citationItems":[{"id":"ITEM-1","itemData":{"DOI":"10.1016/j.epsl.2011.10.004","ISSN":"0012821X","abstract":"Cadmium mimics the distribution of the macronutrient phosphate in the oceans, and has uses as a palaeoproxy of past ocean circulation and nutrient utilization. Isotopic analyses of dissolved Cd in modern seawater show potential as a new tool for disentangling phytoplankton utilization of Cd from abiotic processes, such as ocean mixing. Extending this information into the past requires the Cd isotope signal to be captured and faithfully preserved in a suitable sedimentary archive. However, the role that environmental factors, such as temperature, may play in controlling Cd isotope fractionation into such archives has not been assessed. To this end, we have performed controlled inorganic CaCO3 precipitation experiments in artificial seawater solutions. We grew calcite under different precipitation rates, temperatures, salinities, and ambient [Mg2+], before measuring Cd isotopic compositions by double spike MC-ICPMS. We find that the isotopic (αCaCO3-Cdaq) in seawater is always less than one (i.e. light isotopes of Cd are preferred in calcite). The fractionation factor has a value of 0.99955±0.00012 and shows no response to temperature, [Mg2+], or precipitation rate across the range studied. The constancy of this fractionation in seawater suggests that marine calcites may provide a record of the local seawater composition, without the need to correct for effects due to environmental variables. We also performed CaCO3 growth in freshwater and, in contrast to calcite precipitated from artificial seawater solutions, no isotopic offset was recorded between the growth solution and calcite (αCaCO3-Cdaq=1.0000±0.0001). Cadmium isotope fractionation during calcite growth can be explained by a kinetic isotope effect during the largely unidirectional incorporation of Cd at the mineral surface. Further, the rate of Cd uptake and isotopic fractionation can be modulated by increased ion blocking of crystal surface sites at high salinity. The fractionation of Cd isotopes observed during precipitation of calcite has the same direction and similar magnitude to that implicated for Cd removal from the surface ocean by seawater measurements. However, flux calculations show that CaCO3 precipitation is unlikely to play a significant role in setting the Cd isotope composition in seawater, compared to Cd utilization in phytoplankton soft tissue. Marine carbonates therefore record seawater Cd isotope chemistry - with potential as a palaeoceanographic proxy - rather than drive oce…","author":[{"dropping-particle":"","family":"Horner","given":"Tristan J.","non-dropping-particle":"","parse-names":false,"suffix":""},{"dropping-particle":"","family":"Rickaby","given":"Rosalind E.M.","non-dropping-particle":"","parse-names":false,"suffix":""},{"dropping-particle":"","family":"Henderson","given":"Gideon M.","non-dropping-particle":"","parse-names":false,"suffix":""}],"container-title":"Earth and Planetary Science Letters","id":"ITEM-1","issue":"1-2","issued":{"date-parts":[["2011"]]},"page":"243-253","publisher":"Elsevier B.V.","title":"Isotopic fractionation of cadmium into calcite","type":"article-journal","volume":"312"},"uris":["http://www.mendeley.com/documents/?uuid=584d93f4-15cf-419b-8773-a3a5b559303e"]},{"id":"ITEM-2","itemData":{"DOI":"10.1016/j.gca.2014.05.007","ISSN":"00167037","abstract":"We report results of experiments conducted to quantify the sense and magnitude of cadmium stable isotope fractionation during sorption to synthetic birnessite (Mn oxyhydroxide) and to constrain the molecular mechanism responsible for fractionation in this system. Ferromanganese crusts have recently been proposed as a possible archive of the cadmium isotopic composition of seawater over the last few tens of millions of years (Horner et al., 2010), and this archive can potentially yield information about biological use of Cd by diatoms over the Cenozoic Era. Cd isotopes may also be useful for determining the extent to which sorption to mineral substrates attenuates Cd transport in contaminated aquifers. At low ionic strength, we found a small fractionation effect (δ114/112Cdfluid-solid=+0.12±0.06‰, 1sd; equivalent to +2.4 in terms of ε114/110Cd) that was constant as a function of the fraction of total Cd sorbed, indicating a reversible equilibrium isotope effect. At high ionic strength we observed a fractionation averaging (δ114/112Cdfluid-solid=+0.27±0.07‰ (1sd; equivalent to +5.4 in terms of ε114/110Cd). A time series conducted at high ionic strength revealed that the magnitude of isotopic fractionation decreases gradually over time, from δ114/112Cdfluid-solid of nearly +0.4‰ after 1h to +0.2‰ after 24h and +0.1‰ after 912h. Furthermore, the percentage of Cd sorbed to birnessite increases over this interval from 27% to 58%. We hypothesize that this shift results from either changes over time in the structure and crystallinity of birnessite and/or a change in the molecular mechanism of sorption of cadmium on birnessite. Our result is encouraging for application of Cd isotopes in ferromanganese crusts to reconstruction of the Cd isotopic composition of coexisting seawater, given the very slow accumulation rates of such sediments. © 2014 Elsevier Ltd.","author":[{"dropping-particle":"","family":"Wasylenki","given":"Laura E.","non-dropping-particle":"","parse-names":false,"suffix":""},{"dropping-particle":"","family":"Swihart","given":"Jared W.","non-dropping-particle":"","parse-names":false,"suffix":""},{"dropping-particle":"","family":"Romaniello","given":"Stephen J.","non-dropping-particle":"","parse-names":false,"suffix":""}],"container-title":"Geochimica et Cosmochimica Acta","id":"ITEM-2","issued":{"date-parts":[["2014","9","1"]]},"page":"212-226","publisher":"Elsevier Ltd","title":"Cadmium isotope fractionation during adsorption to Mn oxyhydroxide at low and high ionic strength","type":"article-journal","volume":"140"},"uris":["http://www.mendeley.com/documents/?uuid=fc062fd3-6cf9-393f-be5f-fe6c79ef0187"]},{"id":"ITEM-3","itemData":{"DOI":"10.1016/j.chemgeo.2016.10.031","ISSN":"0009-2541","author":[{"dropping-particle":"","family":"Dong","given":"Shuofei","non-dropping-particle":"","parse-names":false,"suffix":""},{"dropping-particle":"","family":"Wasylenki","given":"Laura E","non-dropping-particle":"","parse-names":false,"suffix":""}],"container-title":"Chemical Geology","id":"ITEM-3","issue":"January 2018","issued":{"date-parts":[["2016"]]},"page":"70-78","publisher":"Elsevier B.V.","title":"Zinc isotope fractionation during adsorption to calcite at high and low ionic strength Zinc isotope fractionation during adsorption to calcite at high and low ionic strength","type":"article-journal","volume":"447"},"uris":["http://www.mendeley.com/documents/?uuid=d113ca5f-f94c-4bdd-8860-ca1ca41b1996"]}],"mendeley":{"formattedCitation":"(Horner et al., 2011; Wasylenki et al., 2014; Dong and Wasylenki, 2016)","plainTextFormattedCitation":"(Horner et al., 2011; Wasylenki et al., 2014; Dong and Wasylenki, 2016)","previouslyFormattedCitation":"(Horner et al., 2011; Wasylenki et al., 2014; Dong and Wasylenki, 2016)"},"properties":{"noteIndex":0},"schema":"https://github.com/citation-style-language/schema/raw/master/csl-citation.json"}</w:instrText>
      </w:r>
      <w:r>
        <w:fldChar w:fldCharType="separate"/>
      </w:r>
      <w:r w:rsidRPr="000724AC">
        <w:rPr>
          <w:noProof/>
        </w:rPr>
        <w:t>(Horner et al., 2011; Wasylenki et al., 2014; Dong and Wasylenki, 2016)</w:t>
      </w:r>
      <w:r>
        <w:fldChar w:fldCharType="end"/>
      </w:r>
      <w:r w:rsidRPr="00B00649">
        <w:t>.</w:t>
      </w:r>
      <w:r w:rsidRPr="00F9141A">
        <w:t xml:space="preserve"> </w:t>
      </w:r>
      <w:r w:rsidR="00B20092" w:rsidRPr="00B00649">
        <w:t>High ionic strength experiments allowed to equilibrate for 67 hours had a Δ</w:t>
      </w:r>
      <w:r w:rsidR="00B20092" w:rsidRPr="00B00649">
        <w:rPr>
          <w:vertAlign w:val="superscript"/>
        </w:rPr>
        <w:t>60/58</w:t>
      </w:r>
      <w:r w:rsidR="00B20092" w:rsidRPr="00B00649">
        <w:t>Ni</w:t>
      </w:r>
      <w:r w:rsidR="00B20092" w:rsidRPr="00B00649">
        <w:rPr>
          <w:vertAlign w:val="subscript"/>
        </w:rPr>
        <w:t>aqueous-sorbed</w:t>
      </w:r>
      <w:r w:rsidR="00B20092" w:rsidRPr="00B00649">
        <w:t xml:space="preserve"> up to </w:t>
      </w:r>
      <w:r w:rsidR="00B20092">
        <w:t>~</w:t>
      </w:r>
      <w:r w:rsidR="00B20092" w:rsidRPr="00B00649">
        <w:t>4.0‰</w:t>
      </w:r>
      <w:r w:rsidR="00B20092">
        <w:t xml:space="preserve"> </w:t>
      </w:r>
      <w:r w:rsidR="0027521C">
        <w:fldChar w:fldCharType="begin" w:fldLock="1"/>
      </w:r>
      <w:r w:rsidR="0027521C">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2019","id":"ITEM-1","issued":{"date-parts":[["2019"]]},"page":"2019","title":"Ionic strength strongly affects Ni isotope fractionation between solution and Mn oxyhydroxide","type":"article-journal"},"uris":["http://www.mendeley.com/documents/?uuid=1a35eba6-19dc-4e6b-b334-e079e58ded36"]}],"mendeley":{"formattedCitation":"(Wasylenki et al., 2019)","plainTextFormattedCitation":"(Wasylenki et al., 2019)","previouslyFormattedCitation":"(Wasylenki et al., 2019)"},"properties":{"noteIndex":0},"schema":"https://github.com/citation-style-language/schema/raw/master/csl-citation.json"}</w:instrText>
      </w:r>
      <w:r w:rsidR="0027521C">
        <w:fldChar w:fldCharType="separate"/>
      </w:r>
      <w:r w:rsidR="0027521C" w:rsidRPr="00BA68AE">
        <w:rPr>
          <w:noProof/>
        </w:rPr>
        <w:t>(Wasylenki et al., 2019)</w:t>
      </w:r>
      <w:r w:rsidR="0027521C">
        <w:fldChar w:fldCharType="end"/>
      </w:r>
      <w:r w:rsidR="0027521C">
        <w:t xml:space="preserve"> which exactly matches the calculated </w:t>
      </w:r>
      <w:r w:rsidR="00664C91">
        <w:t xml:space="preserve">Ni isotope </w:t>
      </w:r>
      <w:r w:rsidR="0027521C">
        <w:t>fractionation f</w:t>
      </w:r>
      <w:r w:rsidR="00664C91">
        <w:t>rom</w:t>
      </w:r>
      <w:r w:rsidR="0027521C">
        <w:t xml:space="preserve"> Mn oxide dissolution in the Black Sea water column </w:t>
      </w:r>
      <w:r w:rsidR="0027521C">
        <w:fldChar w:fldCharType="begin" w:fldLock="1"/>
      </w:r>
      <w:r w:rsidR="0027521C">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27521C">
        <w:fldChar w:fldCharType="separate"/>
      </w:r>
      <w:r w:rsidR="0027521C" w:rsidRPr="00BA68AE">
        <w:rPr>
          <w:noProof/>
        </w:rPr>
        <w:t>(Vance et al., 2016)</w:t>
      </w:r>
      <w:r w:rsidR="0027521C">
        <w:fldChar w:fldCharType="end"/>
      </w:r>
      <w:r w:rsidR="0027521C">
        <w:t>. However, Wasylenki et al., 2019 observed decreasing fractionation</w:t>
      </w:r>
      <w:r w:rsidR="00B20092">
        <w:t xml:space="preserve"> factors</w:t>
      </w:r>
      <w:r w:rsidR="0027521C">
        <w:t xml:space="preserve"> in longer duration (ca. 1 month) experiments </w:t>
      </w:r>
      <w:r w:rsidR="00DC5F5B">
        <w:t xml:space="preserve">which suggests shorter experiments </w:t>
      </w:r>
      <w:r w:rsidR="00B20092">
        <w:t>may have</w:t>
      </w:r>
      <w:r w:rsidR="00DC5F5B" w:rsidRPr="00DC5F5B">
        <w:t xml:space="preserve"> recorded a </w:t>
      </w:r>
      <w:r w:rsidR="00AF392D" w:rsidRPr="00DC5F5B">
        <w:t>short-lived</w:t>
      </w:r>
      <w:r w:rsidR="00DC5F5B" w:rsidRPr="00DC5F5B">
        <w:t xml:space="preserve"> kinetic fractionation while longer experiments (27 days) overwrite the initial kinetic effects.</w:t>
      </w:r>
      <w:r w:rsidR="000700E6">
        <w:t xml:space="preserve"> </w:t>
      </w:r>
    </w:p>
    <w:p w14:paraId="40ABBACB" w14:textId="25B7AFCA" w:rsidR="00950FE7" w:rsidRDefault="00CB389F" w:rsidP="00AF392D">
      <w:pPr>
        <w:spacing w:after="0"/>
        <w:jc w:val="both"/>
        <w:textAlignment w:val="baseline"/>
      </w:pPr>
      <w:r>
        <w:t>Can the natural and experimental results be reconciled? Some argue yes, but there appear to be significant gaps in the reason</w:t>
      </w:r>
      <w:r w:rsidR="00FF0D85">
        <w:t>ing.</w:t>
      </w:r>
      <w:r w:rsidR="00F91065">
        <w:t xml:space="preserve"> [talk about Mn redox cycling</w:t>
      </w:r>
      <w:r w:rsidR="000E7F2E">
        <w:t>, little argument, available reasonings for Fe-Mn crust that don’t make too much sense. Crescendo to “maybe Vance et al recorded kinetic processes, but Fe-Mn crust are equilibrium. What is that equlibirum? Then the variability can be explained by birnessite to todorkite transformation.</w:t>
      </w:r>
      <w:r w:rsidR="00F91065">
        <w:t>]</w:t>
      </w:r>
    </w:p>
    <w:p w14:paraId="38F8ED3F" w14:textId="3F51D02A" w:rsidR="00DC5F5B" w:rsidRDefault="00AF392D" w:rsidP="00AF392D">
      <w:pPr>
        <w:spacing w:after="0"/>
        <w:jc w:val="both"/>
        <w:textAlignment w:val="baseline"/>
      </w:pPr>
      <w:r>
        <w:t xml:space="preserve">Reconciling the natural and experimental data is quiet challenging. </w:t>
      </w:r>
    </w:p>
    <w:p w14:paraId="130DF1C2" w14:textId="19006503" w:rsidR="00DC5F5B" w:rsidRDefault="00DC5F5B" w:rsidP="0027521C">
      <w:pPr>
        <w:spacing w:after="0"/>
        <w:ind w:firstLine="720"/>
        <w:jc w:val="both"/>
        <w:textAlignment w:val="baseline"/>
      </w:pPr>
    </w:p>
    <w:p w14:paraId="3F2FED25" w14:textId="77777777" w:rsidR="00DC5F5B" w:rsidRDefault="00DC5F5B" w:rsidP="0027521C">
      <w:pPr>
        <w:spacing w:after="0"/>
        <w:ind w:firstLine="720"/>
        <w:jc w:val="both"/>
        <w:textAlignment w:val="baseline"/>
      </w:pPr>
    </w:p>
    <w:p w14:paraId="330566E0" w14:textId="77777777" w:rsidR="0027521C" w:rsidRDefault="0027521C" w:rsidP="0027521C">
      <w:pPr>
        <w:spacing w:after="0"/>
        <w:jc w:val="both"/>
        <w:textAlignment w:val="baseline"/>
      </w:pPr>
    </w:p>
    <w:bookmarkEnd w:id="0"/>
    <w:p w14:paraId="5C917A9B" w14:textId="77777777" w:rsidR="0027521C" w:rsidRDefault="0027521C" w:rsidP="0027521C">
      <w:pPr>
        <w:spacing w:after="0"/>
        <w:ind w:firstLine="720"/>
        <w:jc w:val="both"/>
        <w:textAlignment w:val="baseline"/>
      </w:pPr>
    </w:p>
    <w:p w14:paraId="33742BA2" w14:textId="518369ED" w:rsidR="00F35E43" w:rsidRDefault="00F35E43"/>
    <w:p w14:paraId="39839B84" w14:textId="08F1D872" w:rsidR="00236A6B" w:rsidRDefault="00236A6B"/>
    <w:p w14:paraId="41093773" w14:textId="19A10CCC" w:rsidR="00236A6B" w:rsidRDefault="00236A6B"/>
    <w:p w14:paraId="626A2681" w14:textId="77777777" w:rsidR="00236A6B" w:rsidRDefault="00236A6B" w:rsidP="00236A6B">
      <w:pPr>
        <w:spacing w:line="480" w:lineRule="auto"/>
        <w:jc w:val="center"/>
      </w:pPr>
      <w:r>
        <w:rPr>
          <w:noProof/>
        </w:rPr>
        <w:drawing>
          <wp:inline distT="0" distB="0" distL="0" distR="0" wp14:anchorId="3B3789DF" wp14:editId="5CB10B0C">
            <wp:extent cx="433387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3514"/>
                    <a:stretch/>
                  </pic:blipFill>
                  <pic:spPr bwMode="auto">
                    <a:xfrm>
                      <a:off x="0" y="0"/>
                      <a:ext cx="4333875"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1D540459" w14:textId="683D6CC1" w:rsidR="00236A6B" w:rsidRDefault="00236A6B" w:rsidP="00236A6B">
      <w:pPr>
        <w:spacing w:line="480" w:lineRule="auto"/>
        <w:jc w:val="center"/>
      </w:pPr>
      <w:r w:rsidRPr="00A53465">
        <w:rPr>
          <w:b/>
          <w:bCs/>
        </w:rPr>
        <w:lastRenderedPageBreak/>
        <w:t>Figure :</w:t>
      </w:r>
      <w:r>
        <w:t xml:space="preserve"> A depiction of the two coordination states of Ni and birnessite, incorporated and sorbed. Figure from Wasylenki et al., 2019 which was adapted from Peacock &amp; Sherman 2007.</w:t>
      </w:r>
    </w:p>
    <w:p w14:paraId="17822984" w14:textId="39F530C9" w:rsidR="00236A6B" w:rsidRPr="00B00649" w:rsidRDefault="00236A6B" w:rsidP="00236A6B">
      <w:pPr>
        <w:spacing w:line="480" w:lineRule="auto"/>
        <w:jc w:val="center"/>
      </w:pPr>
    </w:p>
    <w:p w14:paraId="5274B5AA" w14:textId="26FD2306" w:rsidR="00236A6B" w:rsidRDefault="00236A6B"/>
    <w:p w14:paraId="583575D2" w14:textId="15F5CE8F" w:rsidR="00236A6B" w:rsidRDefault="00236A6B"/>
    <w:p w14:paraId="748E7373" w14:textId="78A1D3E4" w:rsidR="00236A6B" w:rsidRPr="00A06787" w:rsidRDefault="00236A6B" w:rsidP="00236A6B">
      <w:pPr>
        <w:spacing w:line="480" w:lineRule="auto"/>
      </w:pPr>
      <w:r>
        <w:rPr>
          <w:noProof/>
        </w:rPr>
        <w:drawing>
          <wp:anchor distT="0" distB="0" distL="114300" distR="114300" simplePos="0" relativeHeight="251661312" behindDoc="0" locked="0" layoutInCell="1" allowOverlap="1" wp14:anchorId="17F006E1" wp14:editId="18F80830">
            <wp:simplePos x="0" y="0"/>
            <wp:positionH relativeFrom="column">
              <wp:posOffset>0</wp:posOffset>
            </wp:positionH>
            <wp:positionV relativeFrom="paragraph">
              <wp:posOffset>-3060</wp:posOffset>
            </wp:positionV>
            <wp:extent cx="3578518" cy="2901142"/>
            <wp:effectExtent l="0" t="0" r="3175" b="0"/>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7).png"/>
                    <pic:cNvPicPr/>
                  </pic:nvPicPr>
                  <pic:blipFill rotWithShape="1">
                    <a:blip r:embed="rId9">
                      <a:extLst>
                        <a:ext uri="{28A0092B-C50C-407E-A947-70E740481C1C}">
                          <a14:useLocalDpi xmlns:a14="http://schemas.microsoft.com/office/drawing/2010/main" val="0"/>
                        </a:ext>
                      </a:extLst>
                    </a:blip>
                    <a:srcRect l="29242" t="24960" r="31896" b="18996"/>
                    <a:stretch/>
                  </pic:blipFill>
                  <pic:spPr bwMode="auto">
                    <a:xfrm>
                      <a:off x="0" y="0"/>
                      <a:ext cx="3578518" cy="29011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70C81">
        <w:rPr>
          <w:b/>
          <w:bCs/>
        </w:rPr>
        <w:t xml:space="preserve">Figure </w:t>
      </w:r>
      <w:r>
        <w:rPr>
          <w:b/>
          <w:bCs/>
        </w:rPr>
        <w:t>3</w:t>
      </w:r>
      <w:r w:rsidRPr="00870C81">
        <w:rPr>
          <w:b/>
          <w:bCs/>
        </w:rPr>
        <w:t>: δ</w:t>
      </w:r>
      <w:r w:rsidRPr="00870C81">
        <w:rPr>
          <w:b/>
          <w:bCs/>
          <w:vertAlign w:val="superscript"/>
        </w:rPr>
        <w:t>60</w:t>
      </w:r>
      <w:r w:rsidRPr="00870C81">
        <w:rPr>
          <w:b/>
          <w:bCs/>
        </w:rPr>
        <w:t xml:space="preserve">Ni in four Fe-Mn crust cross sections from the South and North Pacific Ocean. </w:t>
      </w:r>
      <w:r>
        <w:t xml:space="preserve">The </w:t>
      </w:r>
      <w:r w:rsidRPr="00A06787">
        <w:t>ZEP2 Fe-Mn crusts are South Pacific and J2 crusts are North Pacific</w:t>
      </w:r>
      <w:r>
        <w:t>. The anomalous isotopically light values of ZEP2-DR-05-04 are attributed to post depositional effects (Gueguen et al., 2016).</w:t>
      </w:r>
    </w:p>
    <w:p w14:paraId="4F1ED705" w14:textId="77777777" w:rsidR="00236A6B" w:rsidRDefault="00236A6B" w:rsidP="00236A6B">
      <w:pPr>
        <w:spacing w:line="480" w:lineRule="auto"/>
        <w:jc w:val="both"/>
      </w:pPr>
      <w:r w:rsidRPr="00F44CE4">
        <w:rPr>
          <w:b/>
          <w:bCs/>
          <w:noProof/>
        </w:rPr>
        <w:drawing>
          <wp:anchor distT="0" distB="0" distL="114300" distR="114300" simplePos="0" relativeHeight="251663360" behindDoc="0" locked="0" layoutInCell="1" allowOverlap="1" wp14:anchorId="6D2BAC69" wp14:editId="3F8230EE">
            <wp:simplePos x="0" y="0"/>
            <wp:positionH relativeFrom="column">
              <wp:posOffset>-195580</wp:posOffset>
            </wp:positionH>
            <wp:positionV relativeFrom="paragraph">
              <wp:posOffset>436</wp:posOffset>
            </wp:positionV>
            <wp:extent cx="4086225" cy="25527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055"/>
                    <a:stretch/>
                  </pic:blipFill>
                  <pic:spPr bwMode="auto">
                    <a:xfrm>
                      <a:off x="0" y="0"/>
                      <a:ext cx="4086225" cy="2552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44CE4">
        <w:rPr>
          <w:b/>
          <w:bCs/>
        </w:rPr>
        <w:t>Figure</w:t>
      </w:r>
      <w:r>
        <w:rPr>
          <w:b/>
          <w:bCs/>
        </w:rPr>
        <w:t xml:space="preserve"> 4</w:t>
      </w:r>
      <w:r w:rsidRPr="00F44CE4">
        <w:rPr>
          <w:b/>
          <w:bCs/>
        </w:rPr>
        <w:t>: Comparing δ</w:t>
      </w:r>
      <w:r w:rsidRPr="00F44CE4">
        <w:rPr>
          <w:b/>
          <w:bCs/>
          <w:vertAlign w:val="superscript"/>
        </w:rPr>
        <w:t>60</w:t>
      </w:r>
      <w:r w:rsidRPr="00F44CE4">
        <w:rPr>
          <w:b/>
          <w:bCs/>
        </w:rPr>
        <w:t xml:space="preserve">Ni and the concentrations of Fe, Mn, and Ni in the upper 300 m of the Black Sea. </w:t>
      </w:r>
      <w:r>
        <w:t xml:space="preserve">The black, horizontal line generally denotes the chemocline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541094">
        <w:rPr>
          <w:noProof/>
        </w:rPr>
        <w:t>(Vance et al., 2016)</w:t>
      </w:r>
      <w:r>
        <w:fldChar w:fldCharType="end"/>
      </w:r>
    </w:p>
    <w:p w14:paraId="1202128D" w14:textId="31FB279E" w:rsidR="00236A6B" w:rsidRDefault="00236A6B"/>
    <w:p w14:paraId="0B2BA6B4" w14:textId="24A6F3C0" w:rsidR="00236A6B" w:rsidRDefault="00236A6B"/>
    <w:p w14:paraId="33E1D49B" w14:textId="79A61F90" w:rsidR="00236A6B" w:rsidRDefault="00236A6B"/>
    <w:p w14:paraId="7515CEAC" w14:textId="60A683F5" w:rsidR="00236A6B" w:rsidRDefault="00236A6B"/>
    <w:p w14:paraId="6F21485C" w14:textId="6AE1E303" w:rsidR="00236A6B" w:rsidRDefault="00236A6B"/>
    <w:p w14:paraId="76CED203" w14:textId="775BBAE4" w:rsidR="00236A6B" w:rsidRDefault="00236A6B"/>
    <w:p w14:paraId="30C72F35" w14:textId="77777777" w:rsidR="00236A6B" w:rsidRDefault="00236A6B" w:rsidP="00236A6B">
      <w:pPr>
        <w:spacing w:line="480" w:lineRule="auto"/>
        <w:jc w:val="both"/>
      </w:pPr>
      <w:r>
        <w:rPr>
          <w:noProof/>
        </w:rPr>
        <w:drawing>
          <wp:inline distT="0" distB="0" distL="0" distR="0" wp14:anchorId="6FBAD436" wp14:editId="6D6C1200">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646AC956" w14:textId="77777777" w:rsidR="00236A6B" w:rsidRPr="002A4A2C" w:rsidRDefault="00236A6B" w:rsidP="00236A6B">
      <w:pPr>
        <w:spacing w:line="480" w:lineRule="auto"/>
        <w:jc w:val="both"/>
      </w:pPr>
      <w:r w:rsidRPr="002A4A2C">
        <w:rPr>
          <w:b/>
          <w:bCs/>
        </w:rPr>
        <w:t xml:space="preserve">Figure </w:t>
      </w:r>
      <w:r>
        <w:rPr>
          <w:b/>
          <w:bCs/>
        </w:rPr>
        <w:t>6:</w:t>
      </w:r>
      <w:r w:rsidRPr="002A4A2C">
        <w:rPr>
          <w:b/>
          <w:bCs/>
        </w:rPr>
        <w:t xml:space="preserve"> Graphs of the low and high ionic strength experiments performed by Wasylenki et al., 2019. </w:t>
      </w:r>
    </w:p>
    <w:p w14:paraId="4D86EC71" w14:textId="77777777" w:rsidR="009965A4" w:rsidRDefault="009965A4" w:rsidP="009965A4">
      <w:pPr>
        <w:spacing w:line="480" w:lineRule="auto"/>
        <w:ind w:firstLine="720"/>
        <w:jc w:val="both"/>
      </w:pPr>
    </w:p>
    <w:p w14:paraId="4C29899C" w14:textId="77777777" w:rsidR="009965A4" w:rsidRDefault="009965A4" w:rsidP="009965A4">
      <w:pPr>
        <w:spacing w:line="480" w:lineRule="auto"/>
        <w:jc w:val="both"/>
        <w:rPr>
          <w:b/>
          <w:bCs/>
        </w:rPr>
      </w:pPr>
      <w:r w:rsidRPr="00316D3D">
        <w:rPr>
          <w:b/>
          <w:bCs/>
          <w:noProof/>
        </w:rPr>
        <w:lastRenderedPageBreak/>
        <w:drawing>
          <wp:anchor distT="0" distB="0" distL="114300" distR="114300" simplePos="0" relativeHeight="251665408" behindDoc="0" locked="0" layoutInCell="1" allowOverlap="1" wp14:anchorId="6585E330" wp14:editId="5C698C3E">
            <wp:simplePos x="0" y="0"/>
            <wp:positionH relativeFrom="column">
              <wp:posOffset>0</wp:posOffset>
            </wp:positionH>
            <wp:positionV relativeFrom="paragraph">
              <wp:posOffset>-635</wp:posOffset>
            </wp:positionV>
            <wp:extent cx="3545739" cy="3524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rotWithShape="1">
                    <a:blip r:embed="rId12">
                      <a:extLst>
                        <a:ext uri="{28A0092B-C50C-407E-A947-70E740481C1C}">
                          <a14:useLocalDpi xmlns:a14="http://schemas.microsoft.com/office/drawing/2010/main" val="0"/>
                        </a:ext>
                      </a:extLst>
                    </a:blip>
                    <a:srcRect l="23718" t="5583" r="23397" b="18114"/>
                    <a:stretch/>
                  </pic:blipFill>
                  <pic:spPr bwMode="auto">
                    <a:xfrm>
                      <a:off x="0" y="0"/>
                      <a:ext cx="3545739" cy="3524250"/>
                    </a:xfrm>
                    <a:prstGeom prst="rect">
                      <a:avLst/>
                    </a:prstGeom>
                    <a:ln>
                      <a:noFill/>
                    </a:ln>
                    <a:extLst>
                      <a:ext uri="{53640926-AAD7-44D8-BBD7-CCE9431645EC}">
                        <a14:shadowObscured xmlns:a14="http://schemas.microsoft.com/office/drawing/2010/main"/>
                      </a:ext>
                    </a:extLst>
                  </pic:spPr>
                </pic:pic>
              </a:graphicData>
            </a:graphic>
          </wp:anchor>
        </w:drawing>
      </w:r>
    </w:p>
    <w:p w14:paraId="7091085A" w14:textId="77777777" w:rsidR="009965A4" w:rsidRDefault="009965A4" w:rsidP="009965A4">
      <w:pPr>
        <w:spacing w:line="480" w:lineRule="auto"/>
        <w:jc w:val="both"/>
      </w:pPr>
      <w:r w:rsidRPr="00316D3D">
        <w:rPr>
          <w:b/>
          <w:bCs/>
        </w:rPr>
        <w:t xml:space="preserve">Figure </w:t>
      </w:r>
      <w:r>
        <w:rPr>
          <w:b/>
          <w:bCs/>
        </w:rPr>
        <w:t>7</w:t>
      </w:r>
      <w:r w:rsidRPr="00316D3D">
        <w:rPr>
          <w:b/>
          <w:bCs/>
        </w:rPr>
        <w:t>: Diagram of the three</w:t>
      </w:r>
      <w:r>
        <w:rPr>
          <w:b/>
          <w:bCs/>
        </w:rPr>
        <w:t>-</w:t>
      </w:r>
      <w:r w:rsidRPr="00316D3D">
        <w:rPr>
          <w:b/>
          <w:bCs/>
        </w:rPr>
        <w:t xml:space="preserve">isotope method. </w:t>
      </w:r>
      <w:r>
        <w:t>The filled in black symbols represent measured values while the empty symbols are extrapolated based on best fit lines. The star represents the isotopic composition of the system. Figure adapted from Lazar et al., 2012.</w:t>
      </w:r>
    </w:p>
    <w:p w14:paraId="06FA4701" w14:textId="77777777" w:rsidR="009965A4" w:rsidRPr="00316D3D" w:rsidRDefault="009965A4" w:rsidP="009965A4">
      <w:pPr>
        <w:spacing w:line="480" w:lineRule="auto"/>
        <w:jc w:val="both"/>
      </w:pPr>
    </w:p>
    <w:p w14:paraId="4A82B0D4" w14:textId="77777777" w:rsidR="009965A4" w:rsidRPr="006D2EA4" w:rsidRDefault="009965A4" w:rsidP="009965A4">
      <w:pPr>
        <w:rPr>
          <w:rFonts w:eastAsiaTheme="minorEastAsia"/>
        </w:rPr>
      </w:pPr>
      <m:oMathPara>
        <m:oMath>
          <m:r>
            <w:rPr>
              <w:rFonts w:ascii="Cambria Math" w:hAnsi="Cambria Math" w:cs="Cambria Math"/>
            </w:rPr>
            <m:t>β</m:t>
          </m:r>
          <m:r>
            <m:rPr>
              <m:sty m:val="p"/>
            </m:rPr>
            <w:rPr>
              <w:rFonts w:ascii="Cambria Math" w:hAnsi="Cambria Math" w:cs="Cambria Math"/>
            </w:rPr>
            <m:t>=</m:t>
          </m:r>
          <m:f>
            <m:fPr>
              <m:ctrlPr>
                <w:rPr>
                  <w:rFonts w:ascii="Cambria Math" w:hAnsi="Cambria Math"/>
                </w:rPr>
              </m:ctrlPr>
            </m:fPr>
            <m:num>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w:softHyphen/>
                  </m:r>
                  <m:sSub>
                    <m:sSubPr>
                      <m:ctrlPr>
                        <w:rPr>
                          <w:rFonts w:ascii="Cambria Math" w:hAnsi="Cambria Math" w:cs="Cambria Math"/>
                        </w:rPr>
                      </m:ctrlPr>
                    </m:sSubPr>
                    <m:e>
                      <m:r>
                        <w:rPr>
                          <w:rFonts w:ascii="Cambria Math" w:hAnsi="Cambria Math" w:cs="Cambria Math"/>
                        </w:rPr>
                        <m:t>m</m:t>
                      </m:r>
                    </m:e>
                    <m:sub>
                      <m:r>
                        <w:rPr>
                          <w:rFonts w:ascii="Cambria Math" w:hAnsi="Cambria Math" w:cs="Cambria Math"/>
                        </w:rPr>
                        <m:t>58</m:t>
                      </m:r>
                    </m:sub>
                  </m:sSub>
                </m:den>
              </m:f>
              <m:r>
                <m:rPr>
                  <m:sty m:val="p"/>
                </m:rPr>
                <w:rPr>
                  <w:rFonts w:ascii="Cambria Math" w:hAnsi="Cambria Math" w:cs="Cambria Math"/>
                </w:rPr>
                <w:softHyphen/>
                <m:t>-</m:t>
              </m:r>
              <m:f>
                <m:fPr>
                  <m:ctrlPr>
                    <w:rPr>
                      <w:rFonts w:ascii="Cambria Math" w:hAnsi="Cambria Math" w:cs="Cambria Math"/>
                    </w:rPr>
                  </m:ctrlPr>
                </m:fPr>
                <m:num>
                  <m:r>
                    <m:rPr>
                      <m:sty m:val="p"/>
                    </m:rP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60</m:t>
                      </m:r>
                    </m:sub>
                  </m:sSub>
                </m:den>
              </m:f>
            </m:num>
            <m:den>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w:softHyphen/>
                  </m:r>
                  <m:sSub>
                    <m:sSubPr>
                      <m:ctrlPr>
                        <w:rPr>
                          <w:rFonts w:ascii="Cambria Math" w:hAnsi="Cambria Math" w:cs="Cambria Math"/>
                        </w:rPr>
                      </m:ctrlPr>
                    </m:sSubPr>
                    <m:e>
                      <m:r>
                        <w:rPr>
                          <w:rFonts w:ascii="Cambria Math" w:hAnsi="Cambria Math" w:cs="Cambria Math"/>
                        </w:rPr>
                        <m:t>m</m:t>
                      </m:r>
                    </m:e>
                    <m:sub>
                      <m:r>
                        <w:rPr>
                          <w:rFonts w:ascii="Cambria Math" w:hAnsi="Cambria Math" w:cs="Cambria Math"/>
                        </w:rPr>
                        <m:t>58</m:t>
                      </m:r>
                    </m:sub>
                  </m:sSub>
                </m:den>
              </m:f>
              <m:r>
                <m:rPr>
                  <m:sty m:val="p"/>
                </m:rPr>
                <w:rPr>
                  <w:rFonts w:ascii="Cambria Math" w:hAnsi="Cambria Math" w:cs="Cambria Math"/>
                </w:rPr>
                <w:softHyphen/>
                <m:t>-</m:t>
              </m:r>
              <m:f>
                <m:fPr>
                  <m:ctrlPr>
                    <w:rPr>
                      <w:rFonts w:ascii="Cambria Math" w:hAnsi="Cambria Math" w:cs="Cambria Math"/>
                    </w:rPr>
                  </m:ctrlPr>
                </m:fPr>
                <m:num>
                  <m:r>
                    <m:rPr>
                      <m:sty m:val="p"/>
                    </m:rP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62</m:t>
                      </m:r>
                    </m:sub>
                  </m:sSub>
                </m:den>
              </m:f>
            </m:den>
          </m:f>
        </m:oMath>
      </m:oMathPara>
    </w:p>
    <w:p w14:paraId="12C68917" w14:textId="77777777" w:rsidR="009965A4" w:rsidRPr="00B00649" w:rsidRDefault="009965A4" w:rsidP="009965A4">
      <w:pPr>
        <w:spacing w:line="480" w:lineRule="auto"/>
        <w:jc w:val="center"/>
      </w:pPr>
      <w:r>
        <w:t>Equation 3</w:t>
      </w:r>
    </w:p>
    <w:p w14:paraId="151DBC22" w14:textId="77777777" w:rsidR="00236A6B" w:rsidRDefault="00236A6B"/>
    <w:sectPr w:rsidR="00236A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va Juliet Baransky" w:date="2020-12-29T18:18:00Z" w:initials="EJB">
    <w:p w14:paraId="54196553" w14:textId="77777777" w:rsidR="0027521C" w:rsidRDefault="0027521C" w:rsidP="0027521C">
      <w:pPr>
        <w:pStyle w:val="CommentText"/>
      </w:pPr>
      <w:r>
        <w:rPr>
          <w:rStyle w:val="CommentReference"/>
        </w:rPr>
        <w:annotationRef/>
      </w:r>
      <w:r>
        <w:t>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196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F177" w16cex:dateUtc="2020-12-29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96553" w16cid:durableId="2395F1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75"/>
    <w:rsid w:val="000700E6"/>
    <w:rsid w:val="000E7F2E"/>
    <w:rsid w:val="00236A6B"/>
    <w:rsid w:val="0027521C"/>
    <w:rsid w:val="002D1CEF"/>
    <w:rsid w:val="006104A3"/>
    <w:rsid w:val="00664C91"/>
    <w:rsid w:val="00746814"/>
    <w:rsid w:val="008C2563"/>
    <w:rsid w:val="00950FE7"/>
    <w:rsid w:val="009965A4"/>
    <w:rsid w:val="00AE1E1C"/>
    <w:rsid w:val="00AF392D"/>
    <w:rsid w:val="00B20092"/>
    <w:rsid w:val="00BA3575"/>
    <w:rsid w:val="00CA7B39"/>
    <w:rsid w:val="00CB389F"/>
    <w:rsid w:val="00D31927"/>
    <w:rsid w:val="00DC5F5B"/>
    <w:rsid w:val="00E648D1"/>
    <w:rsid w:val="00F35E43"/>
    <w:rsid w:val="00F91065"/>
    <w:rsid w:val="00F9141A"/>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8824"/>
  <w15:chartTrackingRefBased/>
  <w15:docId w15:val="{C5C631C8-EC91-472D-93C8-EFFE3DB2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1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21C"/>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7521C"/>
    <w:rPr>
      <w:rFonts w:ascii="Segoe UI" w:hAnsi="Segoe UI" w:cs="Segoe UI"/>
      <w:sz w:val="18"/>
      <w:szCs w:val="18"/>
    </w:rPr>
  </w:style>
  <w:style w:type="character" w:styleId="CommentReference">
    <w:name w:val="annotation reference"/>
    <w:basedOn w:val="DefaultParagraphFont"/>
    <w:uiPriority w:val="99"/>
    <w:semiHidden/>
    <w:unhideWhenUsed/>
    <w:rsid w:val="0027521C"/>
    <w:rPr>
      <w:sz w:val="16"/>
      <w:szCs w:val="16"/>
    </w:rPr>
  </w:style>
  <w:style w:type="paragraph" w:styleId="CommentText">
    <w:name w:val="annotation text"/>
    <w:basedOn w:val="Normal"/>
    <w:link w:val="CommentTextChar"/>
    <w:uiPriority w:val="99"/>
    <w:semiHidden/>
    <w:unhideWhenUsed/>
    <w:rsid w:val="0027521C"/>
    <w:pPr>
      <w:spacing w:line="240" w:lineRule="auto"/>
    </w:pPr>
    <w:rPr>
      <w:sz w:val="20"/>
      <w:szCs w:val="20"/>
    </w:rPr>
  </w:style>
  <w:style w:type="character" w:customStyle="1" w:styleId="CommentTextChar">
    <w:name w:val="Comment Text Char"/>
    <w:basedOn w:val="DefaultParagraphFont"/>
    <w:link w:val="CommentText"/>
    <w:uiPriority w:val="99"/>
    <w:semiHidden/>
    <w:rsid w:val="0027521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5</Pages>
  <Words>10175</Words>
  <Characters>58004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16</cp:revision>
  <dcterms:created xsi:type="dcterms:W3CDTF">2021-01-11T18:12:00Z</dcterms:created>
  <dcterms:modified xsi:type="dcterms:W3CDTF">2021-01-14T03:41:00Z</dcterms:modified>
</cp:coreProperties>
</file>