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4A98F" w14:textId="77777777" w:rsidR="00B842A1" w:rsidRDefault="00B842A1" w:rsidP="0027521C">
      <w:pPr>
        <w:spacing w:after="0"/>
        <w:ind w:firstLine="720"/>
        <w:jc w:val="both"/>
        <w:textAlignment w:val="baseline"/>
      </w:pPr>
      <w:bookmarkStart w:id="0" w:name="_Hlk61256457"/>
    </w:p>
    <w:p w14:paraId="152BB109" w14:textId="4A309C4F" w:rsidR="0027521C" w:rsidRDefault="0027521C" w:rsidP="0027521C">
      <w:pPr>
        <w:spacing w:after="0"/>
        <w:ind w:firstLine="720"/>
        <w:jc w:val="both"/>
        <w:textAlignment w:val="baseline"/>
      </w:pPr>
      <w:commentRangeStart w:id="1"/>
      <w:r>
        <w:t>Manganese (hydro-)</w:t>
      </w:r>
      <w:commentRangeEnd w:id="1"/>
      <w:r w:rsidR="00EC2929">
        <w:rPr>
          <w:rStyle w:val="CommentReference"/>
        </w:rPr>
        <w:commentReference w:id="1"/>
      </w:r>
      <w:r>
        <w:t>oxides</w:t>
      </w:r>
      <w:r w:rsidR="00757532">
        <w:t xml:space="preserve"> </w:t>
      </w:r>
      <w:r w:rsidR="00034F06">
        <w:t xml:space="preserve">are perhaps </w:t>
      </w:r>
      <w:r w:rsidR="00B842A1">
        <w:t xml:space="preserve">largest </w:t>
      </w:r>
      <w:r w:rsidR="00034F06">
        <w:t xml:space="preserve">sink of </w:t>
      </w:r>
      <w:proofErr w:type="gramStart"/>
      <w:r w:rsidR="00034F06">
        <w:t>Ni</w:t>
      </w:r>
      <w:proofErr w:type="gramEnd"/>
      <w:r w:rsidR="00B842A1">
        <w:t xml:space="preserve"> and, because of this, it is a crucial component of the Ni marine budget</w:t>
      </w:r>
      <w:r w:rsidR="00D21288">
        <w:t xml:space="preserve"> to investigate</w:t>
      </w:r>
      <w:r w:rsidR="00B842A1">
        <w:t>.</w:t>
      </w:r>
      <w:r w:rsidR="004531D9">
        <w:t xml:space="preserve"> Nickel is enriched in Fe-Mn deposits relative to seawater (</w:t>
      </w:r>
      <w:r w:rsidR="00E40040">
        <w:t xml:space="preserve">ca. </w:t>
      </w:r>
      <w:r w:rsidR="004531D9">
        <w:t>10</w:t>
      </w:r>
      <w:r w:rsidR="004531D9">
        <w:rPr>
          <w:vertAlign w:val="superscript"/>
        </w:rPr>
        <w:t>6</w:t>
      </w:r>
      <w:r w:rsidR="00E40040">
        <w:rPr>
          <w:vertAlign w:val="superscript"/>
        </w:rPr>
        <w:t xml:space="preserve"> </w:t>
      </w:r>
      <w:r w:rsidR="00E40040">
        <w:t>Ni mol/g Fe-Mn deposits/ Ni mol/g seawater</w:t>
      </w:r>
      <w:r w:rsidR="004531D9">
        <w:t xml:space="preserve">) </w:t>
      </w:r>
      <w:r w:rsidR="008E7FD7">
        <w:fldChar w:fldCharType="begin" w:fldLock="1"/>
      </w:r>
      <w:r w:rsidR="00405D01">
        <w:instrText>ADDIN CSL_CITATION {"citationItems":[{"id":"ITEM-1","itemData":{"DOI":"10.1016/B0-08-043751-6/07088-2","author":[{"dropping-particle":"","family":"Li","given":"Y.-H.","non-dropping-particle":"","parse-names":false,"suffix":""},{"dropping-particle":"","family":"Schoonmaker","given":"J.E.","non-dropping-particle":"","parse-names":false,"suffix":""}],"container-title":"Treatise on Geochemistry","id":"ITEM-1","issued":{"date-parts":[["2003"]]},"page":"1-35","publisher":"Elsevier","title":"Chemical Composition and Mineralogy of Marine Sediments","type":"chapter"},"uris":["http://www.mendeley.com/documents/?uuid=d24b6cd5-dd7c-39dd-a7e3-c27ae05b6c3c"]}],"mendeley":{"formattedCitation":"(Li and Schoonmaker, 2003)","manualFormatting":"(e.g., Li and Schoonmaker, 2003)","plainTextFormattedCitation":"(Li and Schoonmaker, 2003)","previouslyFormattedCitation":"(Li and Schoonmaker, 2003)"},"properties":{"noteIndex":0},"schema":"https://github.com/citation-style-language/schema/raw/master/csl-citation.json"}</w:instrText>
      </w:r>
      <w:r w:rsidR="008E7FD7">
        <w:fldChar w:fldCharType="separate"/>
      </w:r>
      <w:r w:rsidR="008E7FD7" w:rsidRPr="008E7FD7">
        <w:rPr>
          <w:noProof/>
        </w:rPr>
        <w:t>(</w:t>
      </w:r>
      <w:r w:rsidR="00E40040">
        <w:rPr>
          <w:noProof/>
        </w:rPr>
        <w:t xml:space="preserve">e.g., </w:t>
      </w:r>
      <w:r w:rsidR="008E7FD7" w:rsidRPr="008E7FD7">
        <w:rPr>
          <w:noProof/>
        </w:rPr>
        <w:t>Li and Schoonmaker, 2003)</w:t>
      </w:r>
      <w:r w:rsidR="008E7FD7">
        <w:fldChar w:fldCharType="end"/>
      </w:r>
      <w:r w:rsidR="008E7FD7">
        <w:t xml:space="preserve"> </w:t>
      </w:r>
      <w:r w:rsidR="004531D9">
        <w:t xml:space="preserve">and primarily associated with Mn phases, rather than Fe  </w:t>
      </w:r>
      <w:r w:rsidR="004531D9">
        <w:fldChar w:fldCharType="begin" w:fldLock="1"/>
      </w:r>
      <w:r w:rsidR="00405D01">
        <w:instrText>ADDIN CSL_CITATION {"citationItems":[{"id":"ITEM-1","itemData":{"DOI":"10.2138/am.2007.2378","ISSN":"0003004X","abstract":"Marine ferromanganese crusts and nodules are highly enriched in transition metals such as Ni and Co, yet the crystal chemistry and mode of incorporation of these metals is poorly known. We characterized the crystal chemistry of Ni in two hydrogenetic Pacific ocean ferromanganese crust samples and a hydrogenetic nodule from the Madeira abyssal plain. Energy dispersive spectrometry shows that Ni is associated with the manganese oxide phases, in agreement with previous work. X-ray diffraction patterns show that the dominant Mn3+/4+ oxide is a phyllomanganate similar to hexagonal birnessite or δ-MnO2. Extended X-ray absorption fine-structure spectroscopy shows that the coordination environment of Ni results from structural incorporation into the phyllomanganate phase by replacement of Mn3+/4+. In contrast, Ni initially sorbs to freshly prepared synthetic birnessite by surface complexation over vacancy sites in the MnO2 layer. We propose that the transformation of Ni sorption from surface complexation to structural incorporation provides a potentially irreversible sink for Ni in seawater.","author":[{"dropping-particle":"","family":"Peacock","given":"Caroline L.","non-dropping-particle":"","parse-names":false,"suffix":""},{"dropping-particle":"","family":"Sherman","given":"David M.","non-dropping-particle":"","parse-names":false,"suffix":""}],"container-title":"American Mineralogist","id":"ITEM-1","issue":"7","issued":{"date-parts":[["2007"]]},"page":"1087-1092","title":"Crystal-chemistry of Ni in marine ferromanganese crusts nodules","type":"article-journal","volume":"92"},"uris":["http://www.mendeley.com/documents/?uuid=1042140e-082d-4b19-ad5b-465eb953dfad"]}],"mendeley":{"formattedCitation":"(Peacock and Sherman, 2007a)","manualFormatting":"(e.g., Peacock and Sherman, 2007)","plainTextFormattedCitation":"(Peacock and Sherman, 2007a)","previouslyFormattedCitation":"(Peacock and Sherman, 2007a)"},"properties":{"noteIndex":0},"schema":"https://github.com/citation-style-language/schema/raw/master/csl-citation.json"}</w:instrText>
      </w:r>
      <w:r w:rsidR="004531D9">
        <w:fldChar w:fldCharType="separate"/>
      </w:r>
      <w:r w:rsidR="004531D9" w:rsidRPr="004531D9">
        <w:rPr>
          <w:noProof/>
        </w:rPr>
        <w:t>(</w:t>
      </w:r>
      <w:r w:rsidR="004531D9">
        <w:rPr>
          <w:noProof/>
        </w:rPr>
        <w:t xml:space="preserve">e.g., </w:t>
      </w:r>
      <w:r w:rsidR="004531D9" w:rsidRPr="004531D9">
        <w:rPr>
          <w:noProof/>
        </w:rPr>
        <w:t>Peacock and Sherman, 2007)</w:t>
      </w:r>
      <w:r w:rsidR="004531D9">
        <w:fldChar w:fldCharType="end"/>
      </w:r>
      <w:r w:rsidR="001D6128">
        <w:t xml:space="preserve">. </w:t>
      </w:r>
      <w:r w:rsidR="00B842A1">
        <w:t xml:space="preserve"> </w:t>
      </w:r>
      <w:r w:rsidR="00BF321A">
        <w:t>Investigations of Ni coordination synthetic hexagonal-birnessite,</w:t>
      </w:r>
      <w:r w:rsidR="00CA7B39">
        <w:t xml:space="preserve"> </w:t>
      </w:r>
      <w:r w:rsidR="00BF321A">
        <w:t>a</w:t>
      </w:r>
      <w:r w:rsidR="00CA7B39">
        <w:t xml:space="preserve"> representative </w:t>
      </w:r>
      <w:r w:rsidR="00BF321A">
        <w:t xml:space="preserve">analog </w:t>
      </w:r>
      <w:r w:rsidR="00CA7B39">
        <w:t xml:space="preserve">of the poorly crystalline </w:t>
      </w:r>
      <w:r w:rsidR="00BF321A">
        <w:t xml:space="preserve">marine </w:t>
      </w:r>
      <w:proofErr w:type="spellStart"/>
      <w:r w:rsidR="00CA7B39">
        <w:t>phyllomangate</w:t>
      </w:r>
      <w:proofErr w:type="spellEnd"/>
      <w:r w:rsidR="00BF321A">
        <w:t xml:space="preserve">, found Ni </w:t>
      </w:r>
      <w:r w:rsidR="00405D01">
        <w:t>dominantly</w:t>
      </w:r>
      <w:r w:rsidR="00BF321A">
        <w:t xml:space="preserve"> sorbs </w:t>
      </w:r>
      <w:r w:rsidR="00405D01">
        <w:t xml:space="preserve">as a tridentate complex over vacancy sites, with minor Ni sorption at edge sites when Ni loading is high </w:t>
      </w:r>
      <w:r w:rsidR="00405D01">
        <w:fldChar w:fldCharType="begin" w:fldLock="1"/>
      </w:r>
      <w:r w:rsidR="00805D86">
        <w:instrText>ADDIN CSL_CITATION {"citationItems":[{"id":"ITEM-1","itemData":{"DOI":"10.1016/j.gca.2015.04.050","ISSN":"00167037","abstract":"Birnessite minerals are layer-type manganese oxides characterized by large surface areas, the presence of cation vacancy sites and varying amounts of structural and adsorbed Mn(III). In this study, we identify the conditions that favor trace metal adsorption on the edge surfaces of birnessite nanoparticles by using Ni as a probe ion for Ni K-edge extended X-ray absorption fine structure (EXAFS) spectroscopy and geometry optimizations based on density function theory (DFT). In δ-MnO&lt;inf&gt;2&lt;/inf&gt; nanoparticles free of Mn(II,III) at pH 6.6, Ni was adsorbed primarily at vacancy sites, with a minor fraction of Ni present as a double-edge sharing (DES) or a double-corner sharing (DCS) complex at surface loadings exceeding the vacancy content. In Mn(III)-rich δ-MnO&lt;inf&gt;2&lt;/inf&gt; nanoparticles, about 80% of the adsorbed Ni formed a mixture of DES and DCS complexes at particle edges in samples with loadings ranging from 0.01 to 0.08 molNimol&lt;sup&gt;-1&lt;/sup&gt;Mn, with only a small fraction of vacancy sites available to adsorb Ni. The presence of Mn(III) at the nanoparticle edges also changed the architecture of the DES complex, causing the Ni octahedra to adsorb onto the cavity formed between two Mn(III) octahedra at the particle edges. The EXAFS-derived Ni-Mn interatomic distances of 3.01-3.05Å for this \"flipped\" Ni-DES complex were in excellent agreement with those obtained by DFT geometry optimization. Edge surfaces on birnessite nanoparticles have a lower affinity for trace metals than vacancy sites, but have a moderate sorption capacity (ca. 0.14 molNimol&lt;sup&gt;-1&lt;/sup&gt;Mn at vacancies vs. 0.06 molNimol&lt;sup&gt;-1&lt;/sup&gt;Mn at edge surfaces). Finally, although Mn(III) increases the relative proportion of Ni adsorbed at particle edges by blocking sorption sites on the basal surface, the overall sorption capacity of the mineral diminishes significantly.","author":[{"dropping-particle":"","family":"Simanova","given":"Anna A.","non-dropping-particle":"","parse-names":false,"suffix":""},{"dropping-particle":"","family":"Kwon","given":"Kideok D.","non-dropping-particle":"","parse-names":false,"suffix":""},{"dropping-particle":"","family":"Bone","given":"Sharon E.","non-dropping-particle":"","parse-names":false,"suffix":""},{"dropping-particle":"","family":"Bargar","given":"John R.","non-dropping-particle":"","parse-names":false,"suffix":""},{"dropping-particle":"","family":"Refson","given":"Keith","non-dropping-particle":"","parse-names":false,"suffix":""},{"dropping-particle":"","family":"Sposito","given":"Garrison","non-dropping-particle":"","parse-names":false,"suffix":""},{"dropping-particle":"","family":"Peña","given":"Jasquelin","non-dropping-particle":"","parse-names":false,"suffix":""}],"container-title":"Geochimica et Cosmochimica Acta","id":"ITEM-1","issued":{"date-parts":[["2015"]]},"page":"191-204","title":"Probing the sorption reactivity of the edge surfaces in birnessite nanoparticles using nickel(II)","type":"article-journal","volume":"164"},"uris":["http://www.mendeley.com/documents/?uuid=f4dcfaec-75a3-45fd-af25-9cb98388a49f"]}],"mendeley":{"formattedCitation":"(Simanova et al., 2015)","plainTextFormattedCitation":"(Simanova et al., 2015)","previouslyFormattedCitation":"(Simanova et al., 2015)"},"properties":{"noteIndex":0},"schema":"https://github.com/citation-style-language/schema/raw/master/csl-citation.json"}</w:instrText>
      </w:r>
      <w:r w:rsidR="00405D01">
        <w:fldChar w:fldCharType="separate"/>
      </w:r>
      <w:r w:rsidR="00405D01" w:rsidRPr="00405D01">
        <w:rPr>
          <w:noProof/>
        </w:rPr>
        <w:t>(Simanova et al., 2015)</w:t>
      </w:r>
      <w:r w:rsidR="00405D01">
        <w:fldChar w:fldCharType="end"/>
      </w:r>
      <w:r w:rsidR="00405D01">
        <w:t>, and can significantly (10-45%) structurally incorporate</w:t>
      </w:r>
      <w:r w:rsidR="00805D86">
        <w:t xml:space="preserve"> over time, especially at higher </w:t>
      </w:r>
      <w:proofErr w:type="spellStart"/>
      <w:r w:rsidR="00805D86">
        <w:t>pHs</w:t>
      </w:r>
      <w:proofErr w:type="spellEnd"/>
      <w:r w:rsidR="00805D86">
        <w:t xml:space="preserve"> (7-8) </w:t>
      </w:r>
      <w:r w:rsidR="00405D01">
        <w:fldChar w:fldCharType="begin" w:fldLock="1"/>
      </w:r>
      <w:r w:rsidR="00A21DBB">
        <w:instrText xml:space="preserve">ADDIN CSL_CITATION {"citationItems":[{"id":"ITEM-1","itemData":{"DOI":"10.1016/j.chemgeo.2006.10.019","ISSN":"00092541","abstract":"Synthetic hexagonal birnessite (Hx-birnessite) is a close analogue to natural poorly crystalline phyllomanganate phases found in soils and marine ferromanganese deposits. These phases are often highly enriched in trace metals such as Ni and Co. We measured the sorption of Ni(II) onto synthetic hexagonal birnessite (Hx-birnessite) from pH 1 to 7. EXAFS spectra show that, at pH 3.7, Ni is adsorbed to the Hx-birnessite surface above vacancy sites on {001} as a tridentate corner-sharing complex. We developed a surface complexation model for Ni adsorption based on the equilibria3(≡Mn2O- 2/3) + Ni+ 2 = (≡Mn2O)3Ni03(≡Mn2O- 2/3) + Ni+ 2 + H2O = (≡Mn2O)3Ni(OH)- + H+. Using this surface complexation model, we predict the concentration of Ni in seawater in equilibrium with Ni-bearing birnessite found in hydrogenetic FeMn crusts and nodules. Our predicted results are in good agreement with observed Ni concentrations in seawater and suggest that the concentration of dissolved Ni in seawater is buffered by sorption to birnessite or a related MnO2 phase. However, in addition to the surface complex, Ni also sorbs by structural incorporation into the vacancy site. In our synthetic samples at pH 7, EXAFS shows </w:instrText>
      </w:r>
      <w:r w:rsidR="00A21DBB">
        <w:rPr>
          <w:rFonts w:ascii="Cambria Math" w:hAnsi="Cambria Math" w:cs="Cambria Math"/>
        </w:rPr>
        <w:instrText>∼</w:instrText>
      </w:r>
      <w:r w:rsidR="00A21DBB">
        <w:instrText xml:space="preserve"> 10% of Ni is structurally incorporated into Hx-birnessite. In natural birnessites found in marine ferromanganese crusts and nodules, EXAFS shows that all of the sorbed Ni is structurally incorporated. Structural incorporation suggests that Ni sorption may be irreversible. © 2006 Elsevier B.V. All rights reserved.","author":[{"dropping-particle":"","family":"Peacock","given":"Caroline L.","non-dropping-particle":"","parse-names":false,"suffix":""},{"dropping-particle":"","family":"Sherman","given":"David M.","non-dropping-particle":"","parse-names":false,"suffix":""}],"container-title":"Chemical Geology","id":"ITEM-1","issue":"1-2","issued":{"date-parts":[["2007"]]},"page":"94-106","title":"Sorption of Ni by birnessite: Equilibrium controls on Ni in seawater","type":"article-journal","volume":"238"},"uris":["http://www.mendeley.com/documents/?uuid=ed8c24fc-cd85-46d6-a189-ebe448329d14"]},{"id":"ITEM-2","itemData":{"DOI":"10.1016/j.gca.2009.03.020","ISSN":"00167037","abstract":"Sorption of Ni to birnessite is a fundamental control on the concentration of Ni in natural waters and associated sediments. Recent XAS work suggests the crystal-chemistry of Ni in birnessite is dependent on both structural and physiochemical factors. This work investigates the physiochemical controls on Ni crystal-chemistry in hexagonal birnessite with EXAFS of time series and pH series Ni-birnessite sorption experiments. At circumneutral pH Ni surface adsorbed above/below Mn octahedral vacancy sites in the phyllomanganate layers is progressively structurally incorporated into the vacancy sites with time (30% Ni incorporation after 408 h contact time). Ni structural incorporation into hexagonal birnessite occurs via rearrangement of surface adsorbed Ni with time rather than direct Ni incorporation from solution. At low pH (pH 4) Ni surface adsorbed at the vacancies is structurally incorporated into the vacancies upon increasing solution pH to circumneutral (</w:instrText>
      </w:r>
      <w:r w:rsidR="00A21DBB">
        <w:rPr>
          <w:rFonts w:ascii="Cambria Math" w:hAnsi="Cambria Math" w:cs="Cambria Math"/>
        </w:rPr>
        <w:instrText>∼</w:instrText>
      </w:r>
      <w:r w:rsidR="00A21DBB">
        <w:instrText>20% Ni incorporation after 24 h contact time at circumneutral pH); newly incorporated Ni is stable with increasing contact time at pH circumneutral. However, upon decreasing solution pH from circumneutral back to pH 4, EXAFS shows a significant decrease in the proportion of Ni structurally incorporated; preliminary results indicate structural incorporation of Ni in hexagonal birnessite is reversible with decreasing pH. Time series results at circumneutral pH help explain the significant enrichment of Ni in marine ferromanganese precipitates; work here is combined with previous studies to provide a model correct at the molecular-level for Ni uptake by marine vernadite-rich ferromanganese precipitates. With Ni migrating from surface adsorbed to structurally incorporated, results suggest formation of a solid solution between an end-member vernadite and an end-member Ni-vernadite phase, with surface adsorption acting as a mechanism of transition from one composition to the other. pH series results call into question the viability of Ni crystal-chemistry in natural vernadite as a paleo-proxy for paleo-pH conditions in freshwater systems and challenge the traditional view that structurally incorporated trace-metals are stable within the Eh-pH field of the host mineral phase. Natural birnessite may not be as permanent a sink for Ni as first suggested by Ni crystal-chemistry. © 2009 Elsevier Ltd. All rights reserved.","author":[{"dropping-particle":"","family":"Peacock","given":"Caroline L.","non-dropping-particle":"","parse-names":false,"suffix":""}],"container-title":"Geochimica et Cosmochimica Acta","id":"ITEM-2","issue":"12","issued":{"date-parts":[["2009"]]},"page":"3568-3578","publisher":"Elsevier Ltd","title":"Physiochemical controls on the crystal-chemistry of Ni in birnessite: Genetic implications for ferromanganese precipitates","type":"article-journal","volume":"73"},"uris":["http://www.mendeley.com/documents/?uuid=3b8072bc-2bb1-4489-adbb-2b0879095a2b"]}],"mendeley":{"formattedCitation":"(Peacock, 2009; Peacock and Sherman, 2007b)","plainTextFormattedCitation":"(Peacock, 2009; Peacock and Sherman, 2007b)","previouslyFormattedCitation":"(Peacock, 2009; Peacock and Sherman, 2007b)"},"properties":{"noteIndex":0},"schema":"https://github.com/citation-style-language/schema/raw/master/csl-citation.json"}</w:instrText>
      </w:r>
      <w:r w:rsidR="00405D01">
        <w:fldChar w:fldCharType="separate"/>
      </w:r>
      <w:r w:rsidR="00805D86" w:rsidRPr="00805D86">
        <w:rPr>
          <w:noProof/>
        </w:rPr>
        <w:t>(Peacock, 2009; Peacock and Sherman, 2007b)</w:t>
      </w:r>
      <w:r w:rsidR="00405D01">
        <w:fldChar w:fldCharType="end"/>
      </w:r>
      <w:r w:rsidR="004B78EB">
        <w:t xml:space="preserve"> (Fig with different coordination sites)</w:t>
      </w:r>
      <w:r w:rsidR="00CA7B39">
        <w:t xml:space="preserve">. </w:t>
      </w:r>
      <w:r w:rsidR="00405D01">
        <w:t xml:space="preserve">In natural </w:t>
      </w:r>
      <w:r w:rsidR="00805D86">
        <w:t xml:space="preserve">marine </w:t>
      </w:r>
      <w:r w:rsidR="00405D01">
        <w:t xml:space="preserve">Fe-Mn deposits, Ni is exclusively structurally incorporated </w:t>
      </w:r>
      <w:r w:rsidR="00805D86">
        <w:fldChar w:fldCharType="begin" w:fldLock="1"/>
      </w:r>
      <w:r w:rsidR="00805D86">
        <w:instrText>ADDIN CSL_CITATION {"citationItems":[{"id":"ITEM-1","itemData":{"DOI":"10.2138/am.2007.2378","ISSN":"0003004X","abstract":"Marine ferromanganese crusts and nodules are highly enriched in transition metals such as Ni and Co, yet the crystal chemistry and mode of incorporation of these metals is poorly known. We characterized the crystal chemistry of Ni in two hydrogenetic Pacific ocean ferromanganese crust samples and a hydrogenetic nodule from the Madeira abyssal plain. Energy dispersive spectrometry shows that Ni is associated with the manganese oxide phases, in agreement with previous work. X-ray diffraction patterns show that the dominant Mn3+/4+ oxide is a phyllomanganate similar to hexagonal birnessite or δ-MnO2. Extended X-ray absorption fine-structure spectroscopy shows that the coordination environment of Ni results from structural incorporation into the phyllomanganate phase by replacement of Mn3+/4+. In contrast, Ni initially sorbs to freshly prepared synthetic birnessite by surface complexation over vacancy sites in the MnO2 layer. We propose that the transformation of Ni sorption from surface complexation to structural incorporation provides a potentially irreversible sink for Ni in seawater.","author":[{"dropping-particle":"","family":"Peacock","given":"Caroline L.","non-dropping-particle":"","parse-names":false,"suffix":""},{"dropping-particle":"","family":"Sherman","given":"David M.","non-dropping-particle":"","parse-names":false,"suffix":""}],"container-title":"American Mineralogist","id":"ITEM-1","issue":"7","issued":{"date-parts":[["2007"]]},"page":"1087-1092","title":"Crystal-chemistry of Ni in marine ferromanganese crusts nodules","type":"article-journal","volume":"92"},"uris":["http://www.mendeley.com/documents/?uuid=1042140e-082d-4b19-ad5b-465eb953dfad"]}],"mendeley":{"formattedCitation":"(Peacock and Sherman, 2007a)","plainTextFormattedCitation":"(Peacock and Sherman, 2007a)","previouslyFormattedCitation":"(Peacock and Sherman, 2007a)"},"properties":{"noteIndex":0},"schema":"https://github.com/citation-style-language/schema/raw/master/csl-citation.json"}</w:instrText>
      </w:r>
      <w:r w:rsidR="00805D86">
        <w:fldChar w:fldCharType="separate"/>
      </w:r>
      <w:r w:rsidR="00805D86" w:rsidRPr="00805D86">
        <w:rPr>
          <w:noProof/>
        </w:rPr>
        <w:t>(Peacock and Sherman, 2007a)</w:t>
      </w:r>
      <w:r w:rsidR="00805D86">
        <w:fldChar w:fldCharType="end"/>
      </w:r>
      <w:r w:rsidR="00805D86">
        <w:t xml:space="preserve">. </w:t>
      </w:r>
      <w:r w:rsidR="00FA7967">
        <w:t xml:space="preserve">The diagenetic transformation from hexagonal-birnessite to todorokite, which can occur under </w:t>
      </w:r>
      <w:proofErr w:type="spellStart"/>
      <w:r w:rsidR="00FA7967">
        <w:t>oxic</w:t>
      </w:r>
      <w:proofErr w:type="spellEnd"/>
      <w:r w:rsidR="00FA7967">
        <w:t xml:space="preserve"> diagenesis and hydrothermal conditions, has been experimentally shown to </w:t>
      </w:r>
      <w:r w:rsidR="001441CA">
        <w:t xml:space="preserve">release </w:t>
      </w:r>
      <w:r w:rsidR="00FA7967">
        <w:t>50% of the originally incorporated Ni (1 wt. %)</w:t>
      </w:r>
      <w:r w:rsidR="00091A3A">
        <w:t xml:space="preserve"> </w:t>
      </w:r>
      <w:r w:rsidR="00A21DBB">
        <w:fldChar w:fldCharType="begin" w:fldLock="1"/>
      </w:r>
      <w:r w:rsidR="00D47B46">
        <w:instrText>ADDIN CSL_CITATION {"citationItems":[{"id":"ITEM-1","itemData":{"DOI":"10.1016/j.gca.2016.06.007","ISSN":"00167037","abstract":"The phyllomanganate birnessite is the main Mn-bearing phase in oxic marine sediments where it exerts a primary control on the concentration of micronutrient trace metals in seawater. However, during sediment diagenesis and under mild hydrothermal conditions birnessite transforms into the tectomanganate todorokite. We have recently shown that the transformation of birnessite to todorokite proceeds via a four-stage nucleation and growth mechanism, beginning with todorokite nucleation, then crystal growth from solution to form todorokite primary particles, followed by their self-assembly and oriented growth via oriented attachment to form crystalline todorokite laths, culminating in traditional crystal ripening (Atkins et al., 2014). Here we determine the fate and mobility of Ni sorbed by birnessite during this transformation process. Specifically, in our recent work we predict that the presence of Ni within the phyllomanganate matrix will disrupt the formation of todorokite primary particles. As such, contrary to current understanding, we suggest that Ni sorbed by birnessite will slow the transformation of birnessite to todorokite and/or be released to marine porewaters during sediment diagenesis. Here we transform a synthetic, poorly crystalline, Ni-sorbed (~1 wt% Ni) hexagonal birnessite, analogous to marine birnessite, into todorokite under a mild reflux procedure, developed to mimic marine diagenesis and mild hydrothermal conditions. We characterise our birnessite and reflux products as a time series, including X-ray diffraction (XRD), high-resolution transmission electron microscopy (HR-TEM) and extended X-ray absorption fine structure (EXAFS) spectroscopy. In addition we determine Ni speciation and mineral phase associations in a suite of natural marine ferromanganese precipitates, containing intermixed phyllomanganate and todorokite. Our work shows for the first time that Ni significantly slows the transformation of birnessite to todorokite and reduces the crystallinity of the neo-formed todorokite phase, but does not alter the mechanism and pathway of todorokite formation, compared to a Ni-free system. Furthermore, in systems tending towards todorokite as the final diagenetic product, we see that up to 50% of the Ni originally sequestered by birnessite is released to solution during the transformation. Our work indicates that the transformation of birnessite to todorokite in oxic marine sediments likely provides a significant source of Ni to marin…","author":[{"dropping-particle":"","family":"Atkins","given":"Amy L.","non-dropping-particle":"","parse-names":false,"suffix":""},{"dropping-particle":"","family":"Shaw","given":"Samuel","non-dropping-particle":"","parse-names":false,"suffix":""},{"dropping-particle":"","family":"Peacock","given":"Caroline L.","non-dropping-particle":"","parse-names":false,"suffix":""}],"container-title":"Geochimica et Cosmochimica Acta","id":"ITEM-1","issued":{"date-parts":[["2016","9","15"]]},"page":"158-183","publisher":"Elsevier Ltd","title":"Release of Ni from birnessite during transformation of birnessite to todorokite: Implications for Ni cycling in marine sediments","type":"article-journal","volume":"189"},"uris":["http://www.mendeley.com/documents/?uuid=d06bb805-f563-38da-9df6-7a2134bb37bd"]}],"mendeley":{"formattedCitation":"(Atkins et al., 2016)","plainTextFormattedCitation":"(Atkins et al., 2016)","previouslyFormattedCitation":"(Atkins et al., 2016)"},"properties":{"noteIndex":0},"schema":"https://github.com/citation-style-language/schema/raw/master/csl-citation.json"}</w:instrText>
      </w:r>
      <w:r w:rsidR="00A21DBB">
        <w:fldChar w:fldCharType="separate"/>
      </w:r>
      <w:r w:rsidR="00A21DBB" w:rsidRPr="00A21DBB">
        <w:rPr>
          <w:noProof/>
        </w:rPr>
        <w:t>(Atkins et al., 2016)</w:t>
      </w:r>
      <w:r w:rsidR="00A21DBB">
        <w:fldChar w:fldCharType="end"/>
      </w:r>
      <w:r w:rsidR="00FA7967">
        <w:t xml:space="preserve">. </w:t>
      </w:r>
    </w:p>
    <w:p w14:paraId="292F5DC2" w14:textId="0E800EB5" w:rsidR="000700E6" w:rsidRDefault="00C12FD2" w:rsidP="000B4DAC">
      <w:pPr>
        <w:spacing w:after="0"/>
        <w:ind w:firstLine="720"/>
        <w:jc w:val="both"/>
        <w:textAlignment w:val="baseline"/>
      </w:pPr>
      <w:r w:rsidRPr="009344DE">
        <w:rPr>
          <w:noProof/>
        </w:rPr>
        <w:t xml:space="preserve">Several </w:t>
      </w:r>
      <w:r>
        <w:rPr>
          <w:noProof/>
        </w:rPr>
        <w:t>studies</w:t>
      </w:r>
      <w:r w:rsidRPr="009344DE">
        <w:rPr>
          <w:noProof/>
        </w:rPr>
        <w:t xml:space="preserve"> aimed to determine </w:t>
      </w:r>
      <w:r w:rsidRPr="004164EA">
        <w:t>δ</w:t>
      </w:r>
      <w:r w:rsidRPr="004164EA">
        <w:rPr>
          <w:vertAlign w:val="superscript"/>
        </w:rPr>
        <w:t>60/58</w:t>
      </w:r>
      <w:r w:rsidRPr="004164EA">
        <w:t>Ni</w:t>
      </w:r>
      <w:r>
        <w:t xml:space="preserve"> </w:t>
      </w:r>
      <w:r>
        <w:rPr>
          <w:noProof/>
        </w:rPr>
        <w:t>for</w:t>
      </w:r>
      <w:r w:rsidRPr="009344DE">
        <w:rPr>
          <w:noProof/>
        </w:rPr>
        <w:t xml:space="preserve"> Mn-rich sediments</w:t>
      </w:r>
      <w:r>
        <w:rPr>
          <w:noProof/>
        </w:rPr>
        <w:t>,</w:t>
      </w:r>
      <w:r w:rsidRPr="009344DE">
        <w:rPr>
          <w:noProof/>
        </w:rPr>
        <w:t xml:space="preserve"> but the results so far are extremely</w:t>
      </w:r>
      <w:r>
        <w:rPr>
          <w:noProof/>
        </w:rPr>
        <w:t xml:space="preserve"> puzzling.</w:t>
      </w:r>
      <w:r w:rsidRPr="009344DE">
        <w:rPr>
          <w:noProof/>
        </w:rPr>
        <w:t xml:space="preserve"> </w:t>
      </w:r>
      <w:r w:rsidR="007E5275">
        <w:fldChar w:fldCharType="begin" w:fldLock="1"/>
      </w:r>
      <w:r w:rsidR="004B1365">
        <w:instrText>ADDIN CSL_CITATION {"citationItems":[{"id":"ITEM-1","itemData":{"DOI":"10.1016/j.epsl.2013.05.019","ISSN":"0012821X","abstract":"The global variability in nickel (Ni) isotope compositions in ferromanganese crusts is investigated by analysing surface samples of 24 crusts from various ocean basins by MC-ICPMS, using a double-spike for mass bias correction. Ferromanganese crusts have δ60Ni isotopic compositions that are significantly heavier than any other samples thus far reported (-0.1‰ to 0.3‰), with surface scrapings ranging between 0.9‰ and 2.5‰ (relative to NIST SRM986). There is no well resolved difference between ocean basins, although the data indicate somewhat lighter values in the Atlantic than in the Pacific, nor is there any evidence that the variations are related to biological fractionation, presence of different water masses, or bottom water redox conditions. Preliminary data for laterite samples demonstrate that weathering is accompanied by isotopic fractionation of Ni, which should lead to rivers and seawater being isotopically heavy. This is consistent with the slightly heavier than average isotopic compositions recorded in crusts that are sampled close to continental regions. Furthermore, the isotopic compositions of crusts growing close to a hydrothermal source are clustered around ~1.5‰, suggesting that hydrothermal fluids entering the ocean may have a Ni isotopic composition similar to this value. Based on these data, the heavy Ni isotopic compositions of ferromanganese crusts are likely due to input of isotopically heavy Ni to the ocean from continental weathering and possibly also from hydrothermal fluids. A depth profile through one crust, CD29-2, from the north central Pacific Ocean displays large variations in Ni isotope composition (1.1-2.3‰) through the last 76Myr. Although there may have been some redistribution of Ni associated with phosphatisation, there is no systematic difference in Ni isotopic composition between deeper, older parts and shallower, younger parts of the crust, which may suggest that oceanic sources and sinks of Ni have largely remained in steady state over the Cenozoic. Additionally, the isotope profile is in agreement with a profile of Mn concentration through the same crust. This implies a link between the Ni isotopic composition recorded in ferromanganese crusts and the release of Ni into the ocean through hydrothermal activity. This supports the conclusions drawn from surface data, that Ni isotope ratios in ferromanganese crusts are largely controlled by the isotopic compositions of the Ni oceanic input sources. © 2013 Elsevier …","author":[{"dropping-particle":"","family":"Gall","given":"L.","non-dropping-particle":"","parse-names":false,"suffix":""},{"dropping-particle":"","family":"Williams","given":"H. M.","non-dropping-particle":"","parse-names":false,"suffix":""},{"dropping-particle":"","family":"Siebert","given":"C.","non-dropping-particle":"","parse-names":false,"suffix":""},{"dropping-particle":"","family":"Halliday","given":"A. N.","non-dropping-particle":"","parse-names":false,"suffix":""},{"dropping-particle":"","family":"Herrington","given":"R. J.","non-dropping-particle":"","parse-names":false,"suffix":""},{"dropping-particle":"","family":"Hein","given":"J. R.","non-dropping-particle":"","parse-names":false,"suffix":""}],"container-title":"Earth and Planetary Science Letters","id":"ITEM-1","issued":{"date-parts":[["2013"]]},"title":"Nickel isotopic compositions of ferromanganese crusts and the constancy of deep ocean inputs and continental weathering effects over the Cenozoic","type":"article-journal"},"uris":["http://www.mendeley.com/documents/?uuid=eba36b56-9394-3871-a5ea-b25c17a99b28"]}],"mendeley":{"formattedCitation":"(Gall et al., 2013)","manualFormatting":"Gall et al. (2013","plainTextFormattedCitation":"(Gall et al., 2013)","previouslyFormattedCitation":"(Gall et al., 2013)"},"properties":{"noteIndex":0},"schema":"https://github.com/citation-style-language/schema/raw/master/csl-citation.json"}</w:instrText>
      </w:r>
      <w:r w:rsidR="007E5275">
        <w:fldChar w:fldCharType="separate"/>
      </w:r>
      <w:r w:rsidR="007E5275" w:rsidRPr="006C0A99">
        <w:rPr>
          <w:noProof/>
        </w:rPr>
        <w:t xml:space="preserve">Gall et al. </w:t>
      </w:r>
      <w:r w:rsidR="007E5275">
        <w:rPr>
          <w:noProof/>
        </w:rPr>
        <w:t>(</w:t>
      </w:r>
      <w:r w:rsidR="007E5275" w:rsidRPr="006C0A99">
        <w:rPr>
          <w:noProof/>
        </w:rPr>
        <w:t>2013</w:t>
      </w:r>
      <w:r w:rsidR="007E5275">
        <w:fldChar w:fldCharType="end"/>
      </w:r>
      <w:r w:rsidR="007E5275">
        <w:t xml:space="preserve">) </w:t>
      </w:r>
      <w:r w:rsidR="0027521C">
        <w:t xml:space="preserve">measured 24 surface scrapings of Fe-Mn crusts across the globe </w:t>
      </w:r>
      <w:commentRangeStart w:id="2"/>
      <w:r w:rsidR="0027521C">
        <w:t>and</w:t>
      </w:r>
      <w:r w:rsidR="004B1365">
        <w:t xml:space="preserve">, given the homogeneity of the ocean (~1.4 </w:t>
      </w:r>
      <w:r w:rsidR="004B1365" w:rsidRPr="003F7266">
        <w:t>‰</w:t>
      </w:r>
      <w:r w:rsidR="004B1365">
        <w:t>),</w:t>
      </w:r>
      <w:r w:rsidR="0027521C">
        <w:t xml:space="preserve"> found </w:t>
      </w:r>
      <w:commentRangeEnd w:id="2"/>
      <w:r w:rsidR="00EC2929">
        <w:rPr>
          <w:rStyle w:val="CommentReference"/>
        </w:rPr>
        <w:commentReference w:id="2"/>
      </w:r>
      <w:r w:rsidR="0027521C">
        <w:t xml:space="preserve">a </w:t>
      </w:r>
      <w:r w:rsidR="007E5275">
        <w:t xml:space="preserve">surprisingly </w:t>
      </w:r>
      <w:r w:rsidR="0027521C">
        <w:t xml:space="preserve">variable isotopic range from </w:t>
      </w:r>
      <w:r w:rsidR="0027521C" w:rsidRPr="003F7266">
        <w:t>0</w:t>
      </w:r>
      <w:r w:rsidR="0027521C">
        <w:t>.</w:t>
      </w:r>
      <w:r w:rsidR="0027521C" w:rsidRPr="003F7266">
        <w:t xml:space="preserve">9 </w:t>
      </w:r>
      <w:r w:rsidR="0027521C">
        <w:t>to</w:t>
      </w:r>
      <w:r w:rsidR="0027521C" w:rsidRPr="003F7266">
        <w:t xml:space="preserve"> 2</w:t>
      </w:r>
      <w:r w:rsidR="0027521C">
        <w:t>.</w:t>
      </w:r>
      <w:r w:rsidR="0027521C" w:rsidRPr="003F7266">
        <w:t>5‰</w:t>
      </w:r>
      <w:r w:rsidR="0027521C">
        <w:t xml:space="preserve"> with an average of </w:t>
      </w:r>
      <w:r w:rsidR="0027521C" w:rsidRPr="00386DE8">
        <w:t>1</w:t>
      </w:r>
      <w:r w:rsidR="0027521C">
        <w:t>.</w:t>
      </w:r>
      <w:r w:rsidR="0027521C" w:rsidRPr="00386DE8">
        <w:t>67</w:t>
      </w:r>
      <w:r w:rsidR="0027521C">
        <w:t>±0.</w:t>
      </w:r>
      <w:r w:rsidR="0027521C" w:rsidRPr="00386DE8">
        <w:t>8‰</w:t>
      </w:r>
      <w:r w:rsidR="004B1365">
        <w:t>.</w:t>
      </w:r>
      <w:r w:rsidR="007E5275">
        <w:t xml:space="preserve"> </w:t>
      </w:r>
      <w:r w:rsidR="0027521C">
        <w:t>They did not observe any strong correlation between δ</w:t>
      </w:r>
      <w:r w:rsidR="0027521C" w:rsidRPr="004874FA">
        <w:rPr>
          <w:vertAlign w:val="superscript"/>
        </w:rPr>
        <w:t>60</w:t>
      </w:r>
      <w:r w:rsidR="0027521C">
        <w:t xml:space="preserve">Ni and ocean basin, oxygen saturation or Ni concentration (Fig xx), but there was a </w:t>
      </w:r>
      <w:r w:rsidR="007E4CCD">
        <w:t xml:space="preserve">mild </w:t>
      </w:r>
      <w:r w:rsidR="0027521C">
        <w:t>correlation between δ</w:t>
      </w:r>
      <w:r w:rsidR="0027521C" w:rsidRPr="004874FA">
        <w:rPr>
          <w:vertAlign w:val="superscript"/>
        </w:rPr>
        <w:t>60</w:t>
      </w:r>
      <w:r w:rsidR="0027521C">
        <w:t>Ni and distance to continental shelf, likely reflecting the contribution of isotopically lighter continental sediments.</w:t>
      </w:r>
      <w:r w:rsidR="00D47B46">
        <w:t xml:space="preserve"> A subsequent study of four North and South Pacific Fe-M crust ca. 20 mm cores found similar values (</w:t>
      </w:r>
      <w:r w:rsidR="00D47B46" w:rsidRPr="001F5B4B">
        <w:t xml:space="preserve">1.79 ± 0.21‰ 2sd, n = 31 </w:t>
      </w:r>
      <w:r w:rsidR="00D47B46">
        <w:t xml:space="preserve">for North Pacific </w:t>
      </w:r>
      <w:r w:rsidR="00D47B46" w:rsidRPr="001F5B4B">
        <w:t xml:space="preserve">and 1.73 ± 0.21‰ 2sd, n = 21 </w:t>
      </w:r>
      <w:r w:rsidR="00D47B46">
        <w:t xml:space="preserve">for South Pacific). </w:t>
      </w:r>
      <w:r w:rsidR="0027521C">
        <w:t>One core from the South Pacific had a systematic and dramatic drop in δ</w:t>
      </w:r>
      <w:r w:rsidR="0027521C" w:rsidRPr="004874FA">
        <w:rPr>
          <w:vertAlign w:val="superscript"/>
        </w:rPr>
        <w:t>60</w:t>
      </w:r>
      <w:r w:rsidR="0027521C">
        <w:t>Ni downcore (from 1.89 to 0.25</w:t>
      </w:r>
      <w:r w:rsidR="0027521C" w:rsidRPr="001F5B4B">
        <w:t>‰</w:t>
      </w:r>
      <w:r w:rsidR="0027521C">
        <w:t>) associated with lower Mn/Ni, suggesting that post-depositional processes associated with Mn-oxide phases may lead to alteration of the primary δ</w:t>
      </w:r>
      <w:r w:rsidR="0027521C" w:rsidRPr="004874FA">
        <w:rPr>
          <w:vertAlign w:val="superscript"/>
        </w:rPr>
        <w:t>60</w:t>
      </w:r>
      <w:r w:rsidR="0027521C">
        <w:t xml:space="preserve">Ni signature. </w:t>
      </w:r>
      <w:r w:rsidR="00A76FC0">
        <w:t xml:space="preserve">These results suggest Mn oxides incorporate isotopically </w:t>
      </w:r>
      <w:r w:rsidR="00A76FC0" w:rsidRPr="00F6565A">
        <w:rPr>
          <w:u w:val="single"/>
        </w:rPr>
        <w:t>heavy</w:t>
      </w:r>
      <w:r w:rsidR="00A76FC0">
        <w:t xml:space="preserve"> Ni relative to solution. </w:t>
      </w:r>
      <w:r w:rsidR="00DA6852">
        <w:t xml:space="preserve">In stark contrast, the dissolution of Mn oxides in the water column of the Black Sea corresponds to a decrease in </w:t>
      </w:r>
      <w:r w:rsidR="00DA6852" w:rsidRPr="00E75FB7">
        <w:t>δ</w:t>
      </w:r>
      <w:r w:rsidR="00DA6852" w:rsidRPr="00E75FB7">
        <w:rPr>
          <w:vertAlign w:val="superscript"/>
        </w:rPr>
        <w:t>60/58</w:t>
      </w:r>
      <w:r w:rsidR="00DA6852" w:rsidRPr="00E75FB7">
        <w:t>Ni</w:t>
      </w:r>
      <w:r w:rsidR="00DA6852">
        <w:rPr>
          <w:vertAlign w:val="subscript"/>
        </w:rPr>
        <w:t>solution</w:t>
      </w:r>
      <w:r w:rsidR="00DA6852">
        <w:t xml:space="preserve">, suggesting isotopically </w:t>
      </w:r>
      <w:r w:rsidR="00DA6852" w:rsidRPr="00D92CE2">
        <w:rPr>
          <w:u w:val="single"/>
        </w:rPr>
        <w:t>light</w:t>
      </w:r>
      <w:r w:rsidR="00DA6852">
        <w:t xml:space="preserve"> Ni is associated with Mn oxides (calculated </w:t>
      </w:r>
      <w:r w:rsidR="00DA6852" w:rsidRPr="00E75FB7">
        <w:t>Δ</w:t>
      </w:r>
      <w:r w:rsidR="00DA6852" w:rsidRPr="00E75FB7">
        <w:rPr>
          <w:vertAlign w:val="superscript"/>
        </w:rPr>
        <w:t>60/58</w:t>
      </w:r>
      <w:r w:rsidR="00DA6852" w:rsidRPr="00E75FB7">
        <w:t>Ni</w:t>
      </w:r>
      <w:r w:rsidR="00DA6852" w:rsidRPr="00E75FB7">
        <w:rPr>
          <w:vertAlign w:val="subscript"/>
        </w:rPr>
        <w:t>solution-</w:t>
      </w:r>
      <w:r w:rsidR="00DA6852">
        <w:rPr>
          <w:vertAlign w:val="subscript"/>
        </w:rPr>
        <w:t>s</w:t>
      </w:r>
      <w:r w:rsidR="00DA6852" w:rsidRPr="00E75FB7">
        <w:rPr>
          <w:vertAlign w:val="subscript"/>
        </w:rPr>
        <w:t>o</w:t>
      </w:r>
      <w:r w:rsidR="00DA6852">
        <w:rPr>
          <w:vertAlign w:val="subscript"/>
        </w:rPr>
        <w:t xml:space="preserve">lid </w:t>
      </w:r>
      <w:r w:rsidR="00DA6852">
        <w:t>~ 4.0</w:t>
      </w:r>
      <w:r w:rsidR="00DA6852" w:rsidRPr="00441EA8">
        <w:t>‰</w:t>
      </w:r>
      <w:r w:rsidR="00DA6852">
        <w:t xml:space="preserve">) </w:t>
      </w:r>
      <w:r w:rsidR="00DA6852">
        <w:fldChar w:fldCharType="begin" w:fldLock="1"/>
      </w:r>
      <w:r w:rsidR="00DA6852">
        <w:instrText>ADDIN CSL_CITATION {"citationItems":[{"id":"ITEM-1","itemData":{"DOI":"10.1098/rsta.2015.0294","ISSN":"1364503X","abstract":"© 2016 The Author(s) Published by the Royal Society. All rights reserved. Isotopic data collected to date as part of the GEOTRACES and other programmes show that the oceanic dissolved pool is isotopically heavy relative to the inputs for zinc (Zn) and nickel (Ni). All Zn sinks measured until recently, and the only output yet measured for Ni, are isotopically heavier than the dissolved pool. This would require either a non-steady-state ocean or other unidentified sinks. Recently, isotopically light Zn has been measured in organic carbon-rich sediments from productive upwelling margins, providing a potential resolution of this issue, at least for Zn. However, the origin of the isotopically light sedimentary Zn signal is uncertain. Cellular uptake of isotopically light Zn followed by transfer to sediment does not appear to be a quantitatively important process. Here, we present Zn and Ni isotope data for the water column and sediments of the Black Sea. These data demonstrate that isotopically light Zn and Ni are extracted from the water column, probably through an equilibrium fractionation between different dissolved species followed by sequestration of light Zn and Ni in sulfide species to particulates and the sediment. We suggest that a similar, non-quantitative, process, operating in porewaters, explains the Zn data from organic carbon-rich sediments. This article is part of the themed issue 'Biological and climatic impacts of ocean trace element chemistry'.","author":[{"dropping-particle":"","family":"Vance","given":"Derek","non-dropping-particle":"","parse-names":false,"suffix":""},{"dropping-particle":"","family":"Little","given":"Susan H.","non-dropping-particle":"","parse-names":false,"suffix":""},{"dropping-particle":"","family":"Archer","given":"Corey","non-dropping-particle":"","parse-names":false,"suffix":""},{"dropping-particle":"","family":"Cameron","given":"Vyllinniskii","non-dropping-particle":"","parse-names":false,"suffix":""},{"dropping-particle":"","family":"Andersen","given":"Morten B.","non-dropping-particle":"","parse-names":false,"suffix":""},{"dropping-particle":"","family":"Rijkenberg","given":"Micha J.A.","non-dropping-particle":"","parse-names":false,"suffix":""},{"dropping-particle":"","family":"Lyons","given":"Timothy W.","non-dropping-particle":"","parse-names":false,"suffix":""}],"container-title":"Philosophical Transactions of the Royal Society A: Mathematical, Physical and Engineering Sciences","id":"ITEM-1","issue":"2081","issued":{"date-parts":[["2016","11","28"]]},"publisher":"Royal Society of London","title":"The oceanic budgets of nickel and zinc isotopes: The importance of sulfdic environments as illustrated by the Black Sea","type":"article-journal","volume":"374"},"uris":["http://www.mendeley.com/documents/?uuid=5374985e-4110-3893-9a8b-a680fbb0094c"]}],"mendeley":{"formattedCitation":"(Vance et al., 2016)","plainTextFormattedCitation":"(Vance et al., 2016)"},"properties":{"noteIndex":0},"schema":"https://github.com/citation-style-language/schema/raw/master/csl-citation.json"}</w:instrText>
      </w:r>
      <w:r w:rsidR="00DA6852">
        <w:fldChar w:fldCharType="separate"/>
      </w:r>
      <w:r w:rsidR="00DA6852" w:rsidRPr="00DA6852">
        <w:rPr>
          <w:noProof/>
        </w:rPr>
        <w:t>(Vance et al., 2016)</w:t>
      </w:r>
      <w:r w:rsidR="00DA6852">
        <w:fldChar w:fldCharType="end"/>
      </w:r>
      <w:r w:rsidR="00DA6852">
        <w:t xml:space="preserve">. </w:t>
      </w:r>
      <w:r w:rsidR="0027521C">
        <w:t xml:space="preserve">This clearly contradicts the findings of Gueguen et al., 2016 and Gall et al., 2013. A </w:t>
      </w:r>
      <w:r w:rsidR="00DA6852">
        <w:t>s</w:t>
      </w:r>
      <w:r w:rsidR="0027521C">
        <w:t xml:space="preserve">tudy </w:t>
      </w:r>
      <w:r w:rsidR="00DA6852">
        <w:t xml:space="preserve">of </w:t>
      </w:r>
      <w:r w:rsidR="0027521C">
        <w:t>hydrogenetic</w:t>
      </w:r>
      <w:r w:rsidR="00DA6852">
        <w:t xml:space="preserve"> and hydrothermal</w:t>
      </w:r>
      <w:r w:rsidR="0027521C">
        <w:t xml:space="preserve"> Fe-Mn deposits </w:t>
      </w:r>
      <w:r w:rsidR="00AE1E1C">
        <w:t>found</w:t>
      </w:r>
      <w:r w:rsidR="0027521C">
        <w:t xml:space="preserve"> hydrogenetic Fe-Mn crusts were isotopically similar to seawater (</w:t>
      </w:r>
      <w:r w:rsidR="0027521C" w:rsidRPr="00B833F3">
        <w:t>0.8 to 1.8‰</w:t>
      </w:r>
      <w:r w:rsidR="0027521C">
        <w:t>)</w:t>
      </w:r>
      <w:r w:rsidR="00AE1E1C" w:rsidRPr="00AE1E1C">
        <w:t xml:space="preserve"> </w:t>
      </w:r>
      <w:r w:rsidR="0027521C">
        <w:t>but hydrothermal deposits have a generally wider, isotopically lighter range (-1.5</w:t>
      </w:r>
      <w:r w:rsidR="0027521C" w:rsidRPr="00A940FF">
        <w:t xml:space="preserve"> to 1.</w:t>
      </w:r>
      <w:r w:rsidR="0027521C">
        <w:t>1</w:t>
      </w:r>
      <w:r w:rsidR="0027521C" w:rsidRPr="00A940FF">
        <w:t>‰</w:t>
      </w:r>
      <w:r w:rsidR="0027521C">
        <w:t>)</w:t>
      </w:r>
      <w:r w:rsidR="00DA6852">
        <w:t xml:space="preserve"> </w:t>
      </w:r>
      <w:r w:rsidR="00DA6852">
        <w:fldChar w:fldCharType="begin" w:fldLock="1"/>
      </w:r>
      <w:r w:rsidR="00DA6852">
        <w:instrText>ADDIN CSL_CITATION {"citationItems":[{"id":"ITEM-1","itemData":{"author":[{"dropping-particle":"","family":"Gueguen","given":"B.","non-dropping-particle":"","parse-names":false,"suffix":""},{"dropping-particle":"","family":"Rouxel","given":"O.","non-dropping-particle":"","parse-names":false,"suffix":""},{"dropping-particle":"","family":"Fouquet","given":"Y.","non-dropping-particle":"","parse-names":false,"suffix":""}],"container-title":"Chemical Geology","id":"ITEM-1","issue":"May 2020","issued":{"date-parts":[["2020"]]},"title":"Nickel isotopes and rare earth elements systematics in marine hydrogenetic and hydrothermal ferromanganese deposits","type":"article-journal","volume":"560"},"uris":["http://www.mendeley.com/documents/?uuid=1b2691ed-a6d4-4564-b681-51e1306835e8"]}],"mendeley":{"formattedCitation":"(Gueguen et al., 2020)","plainTextFormattedCitation":"(Gueguen et al., 2020)","previouslyFormattedCitation":"(Gueguen et al., 2020)"},"properties":{"noteIndex":0},"schema":"https://github.com/citation-style-language/schema/raw/master/csl-citation.json"}</w:instrText>
      </w:r>
      <w:r w:rsidR="00DA6852">
        <w:fldChar w:fldCharType="separate"/>
      </w:r>
      <w:r w:rsidR="00DA6852" w:rsidRPr="000C14C0">
        <w:rPr>
          <w:noProof/>
        </w:rPr>
        <w:t>(Gueguen et al., 2020)</w:t>
      </w:r>
      <w:r w:rsidR="00DA6852">
        <w:fldChar w:fldCharType="end"/>
      </w:r>
      <w:r w:rsidR="00DA6852">
        <w:t>.</w:t>
      </w:r>
      <w:r w:rsidR="0027521C">
        <w:t xml:space="preserve"> Finally, Little et al., 2020 analyzed the Ni isotopic composition of Mn rich </w:t>
      </w:r>
      <w:commentRangeStart w:id="3"/>
      <w:r w:rsidR="0027521C">
        <w:t xml:space="preserve">crusts </w:t>
      </w:r>
      <w:commentRangeEnd w:id="3"/>
      <w:r w:rsidR="00A76FC0">
        <w:rPr>
          <w:rStyle w:val="CommentReference"/>
        </w:rPr>
        <w:commentReference w:id="3"/>
      </w:r>
      <w:r w:rsidR="0027521C">
        <w:t>in the Eastern Pacific, where measured Fe-Mn crust samples in that region were +1.6</w:t>
      </w:r>
      <w:r w:rsidR="0027521C" w:rsidRPr="005C7D41">
        <w:t>‰</w:t>
      </w:r>
      <w:r w:rsidR="0027521C">
        <w:t>, and predominately found isotopically light sediments (</w:t>
      </w:r>
      <w:r w:rsidR="0027521C" w:rsidRPr="0093240D">
        <w:t>−0.8</w:t>
      </w:r>
      <w:r w:rsidR="0027521C">
        <w:t xml:space="preserve"> to </w:t>
      </w:r>
      <w:r w:rsidR="0027521C" w:rsidRPr="0093240D">
        <w:t>−0.2</w:t>
      </w:r>
      <w:r w:rsidR="0027521C" w:rsidRPr="005C7D41">
        <w:t>‰</w:t>
      </w:r>
      <w:r w:rsidR="0027521C">
        <w:t xml:space="preserve">) </w:t>
      </w:r>
      <w:r w:rsidR="0027521C">
        <w:fldChar w:fldCharType="begin" w:fldLock="1"/>
      </w:r>
      <w:r w:rsidR="004531D9">
        <w:instrText>ADDIN CSL_CITATION {"citationItems":[{"id":"ITEM-1","itemData":{"DOI":"10.1016/j.epsl.2020.116461","ISSN":"0012821X","abstract":"Nickel isotopes are a novel and promising tracer of the chemistry of past ocean environments, but realisation of this tracer's potential requires a comprehensive understanding of the controls on Ni burial in the marine sedimentary archive. An outstanding puzzle in the marine budget of Ni, first recognised in the 1970s, is a major imbalance in the known inputs and outputs to and from the ocean: the sedimentary outputs of Ni are much larger than the inputs (rivers, dust). Much more recently, it has also been recognised that the outputs are also considerably isotopically heavier than the inputs. In this study, we find light Ni isotope compositions (δ60NiNIST SRM986 = −0.2 to −0.8‰) for Mn-rich sediments from the eastern Pacific compared to Fe-Mn crusts (at about +1.6‰). These data suggest that diagenetic remobilisation of isotopically heavy Ni leads to a significant benthic Ni flux (estimated at 0.6−2.3×108 mol/yr), similar in magnitude to the riverine flux, to the ocean. Diagenetic remobilisation of Ni may occur either via cycles of Mn-oxide dissolution and precipitation, with associated Ni sorption and release, or during mineralogical transformation of birnessite to todorokite. A minor role for retention of isotopically light Ni by Fe oxides or Fe-rich authigenic clays is also proposed. Overall, a benthic flux of isotopically heavy Ni (at about +3‰) can balance the marine Ni budget, pinpointing diagenesis as a key missing piece of the Ni puzzle.","author":[{"dropping-particle":"","family":"Little","given":"S","non-dropping-particle":"","parse-names":false,"suffix":""},{"dropping-particle":"","family":"Archer","given":"C.","non-dropping-particle":"","parse-names":false,"suffix":""},{"dropping-particle":"","family":"McManus","given":"J.","non-dropping-particle":"","parse-names":false,"suffix":""},{"dropping-particle":"","family":"Najorka","given":"J.","non-dropping-particle":"","parse-names":false,"suffix":""},{"dropping-particle":"V.","family":"Wegorzewski","given":"A.","non-dropping-particle":"","parse-names":false,"suffix":""},{"dropping-particle":"","family":"Vance","given":"D.","non-dropping-particle":"","parse-names":false,"suffix":""}],"container-title":"Earth and Planetary Science Letters","id":"ITEM-1","issued":{"date-parts":[["2020"]]},"page":"116461","publisher":"Elsevier B.V.","title":"Towards balancing the oceanic Ni budget","type":"article-journal","volume":"547"},"uris":["http://www.mendeley.com/documents/?uuid=f607925b-4382-4ec6-84d0-54cce6d64a1c"]}],"mendeley":{"formattedCitation":"(Little et al., 2020)","plainTextFormattedCitation":"(Little et al., 2020)","previouslyFormattedCitation":"(Little et al., 2020)"},"properties":{"noteIndex":0},"schema":"https://github.com/citation-style-language/schema/raw/master/csl-citation.json"}</w:instrText>
      </w:r>
      <w:r w:rsidR="0027521C">
        <w:fldChar w:fldCharType="separate"/>
      </w:r>
      <w:r w:rsidR="0027521C" w:rsidRPr="004C71EC">
        <w:rPr>
          <w:noProof/>
        </w:rPr>
        <w:t>(Little et al., 2020)</w:t>
      </w:r>
      <w:r w:rsidR="0027521C">
        <w:fldChar w:fldCharType="end"/>
      </w:r>
      <w:r w:rsidR="0027521C">
        <w:t xml:space="preserve">. </w:t>
      </w:r>
    </w:p>
    <w:p w14:paraId="7C3B999C" w14:textId="77777777" w:rsidR="00F9141A" w:rsidRDefault="0027521C" w:rsidP="0027521C">
      <w:pPr>
        <w:spacing w:after="0"/>
        <w:ind w:firstLine="720"/>
        <w:jc w:val="both"/>
        <w:textAlignment w:val="baseline"/>
      </w:pPr>
      <w:r>
        <w:t xml:space="preserve">Experiments exploring Ni sorption and/or incorporation into Fe oxides and Mn oxides have indicated that the solid will sorb and/or incorporate isotopically light Ni relative to solution </w:t>
      </w:r>
      <w:r>
        <w:fldChar w:fldCharType="begin" w:fldLock="1"/>
      </w:r>
      <w:r>
        <w:instrText>ADDIN CSL_CITATION {"citationItems":[{"id":"ITEM-1","itemData":{"DOI":"10.1016/j.chemgeo.2015.02.007","ISSN":"00092541","abstract":"A major decline in marine methanogen populations during the Late Archaean Eon has been proposed as a driver for the Great Oxidation Event (GOE) at ~2.4Ga. Konhauser et al. (2009, Nature 458, 750-753) recently hypothesized that a dramatic decrease between 2.7 and 2.4Ga in the concentration of dissolved Ni, an essential nutrient for methanogens, may have been responsible for the decline. To test that hypothesis, Ni stable isotopes, a novel proxy for methanogen Ni limitation, will be applied to the Late Archaean-Paleoproterozoic rock record in the future, possibly through analysis of banded iron formations (BIFs). In order to facilitate interpretation of those data, we investigated the fractionation of Ni stable isotopes during sorption to synthetic ferrihydrite, which was likely the primary precipitating phase during BIF deposition, via bench-top experiments. The observed fractionations for adsorption and coprecipitation experiments were indistinguishable and averaged δ 60/58 Ni dissolved-sorbed =+0.35±0.10‰ (1 sd; light Ni sorbed). Parallel, linear trends in isotope compositions of dissolved and sorbed Ni as a function of fraction of Ni sorbed indicate an equilibrium isotope effect with rapid and continuous exchange between dissolved and sorbed Ni. Additionally, we observed fractionation of δ 60/58 Ni dissolved-sorbed =+0.23±0.07‰ (1 sd) in experiments in which ferrihydrite had been aged for up to 30days and had partially transformed to goethite and hematite; thus the fractionations in all of our experiments are the same within uncertainties. Although our simple system differs from Archaean seawater, our results suggest that ferrihydrite precipitating to form BIFs may always have been offset by a constant fractionation from coexisting dissolved Ni in seawater.","author":[{"dropping-particle":"","family":"Wasylenki","given":"Laura E.","non-dropping-particle":"","parse-names":false,"suffix":""},{"dropping-particle":"","family":"Howe","given":"Haleigh D.","non-dropping-particle":"","parse-names":false,"suffix":""},{"dropping-particle":"","family":"Spivak-Birndorf","given":"Lev J.","non-dropping-particle":"","parse-names":false,"suffix":""},{"dropping-particle":"","family":"Bish","given":"David L.","non-dropping-particle":"","parse-names":false,"suffix":""}],"container-title":"Chemical Geology","id":"ITEM-1","issued":{"date-parts":[["2015"]]},"title":"Ni isotope fractionation during sorption to ferrihydrite: Implications for Ni in banded iron formations","type":"article-journal"},"uris":["http://www.mendeley.com/documents/?uuid=29817252-c301-3d5d-a5fd-676fd31f1cca"]},{"id":"ITEM-2","itemData":{"DOI":"10.1016/j.chemgeo.2018.01.023","ISSN":"00092541","abstract":"Nickel (Ni) isotopes have recently emerged as a new biogeochemical tracer in marine environments, but our understanding of the mechanisms of Ni isotope fractionation in natural systems with regards to its fractionation by mineral surfaces is incomplete. This study aims to provide experimental constraints on Ni isotope fractionation during adsorption to goethite and 2-line ferrihydrite, two Fe minerals that vary in terms of distinct crystalline properties. We conducted two types of adsorption experiments: one with variable pH (5.0 to 8.0) and constant initial Ni concentration, one at a constant pH of 7.7 and variable initial Ni concentrations. Isotopic measurements were made on both the solid phase and the supernatant solutions in order to determine the Ni isotope fractionation factors (Δ60/58Nimin-aq = δ60/58Nimin − δ60/58Niaq) between the mineral and aqueous phases. Our results show preferential adsorption of lighter Ni isotopes during adsorption of Ni to Fe oxyhydroxides presumably under conditions of near equilibrium conditions. Adsorption to goethite generates the greatest fractionation, with Δ60/58Nimin-aq = −0.77 ± 0.23‰ (n = 14, 2sd), whereas adsorption to 2-line ferrihydrite samples yield Δ60/58Nimin-aq = −0.35 ± 0.08‰ (n = 16, 2sd). Using Ni K-edge extended X-ray absorption fine structure (EXAFS) spectroscopy, we found that Ni forms an inner-sphere complex and that its coordination environment does not vary significantly with pH nor with surface loading. In addition, we found no evidence of Ni incorporation into the mineral. We suggest that the more than two-fold increase in Ni isotope fractionation in goethite relative to 2-line ferrihydrite is due to the lower Ni-Fe coordination number in the second shell, which results in the formation of a weaker surface complex and thus favors the adsorption of lighter Ni isotopes. These results show that Ni isotope fractionation during sorption by Fe-oxyhydroxides is dependent on mineralogy, which has important implications for the use of Ni isotopes as environmental tracers and the interpretation of their record in sedimentary rocks.","author":[{"dropping-particle":"","family":"Gueguen","given":"Bleuenn","non-dropping-particle":"","parse-names":false,"suffix":""},{"dropping-particle":"V.","family":"Sorensen","given":"Jeffry","non-dropping-particle":"","parse-names":false,"suffix":""},{"dropping-particle":"V.","family":"Lalonde","given":"Stefan","non-dropping-particle":"","parse-names":false,"suffix":""},{"dropping-particle":"","family":"Peña","given":"Jasquelin","non-dropping-particle":"","parse-names":false,"suffix":""},{"dropping-particle":"","family":"Toner","given":"Brandy M.","non-dropping-particle":"","parse-names":false,"suffix":""},{"dropping-particle":"","family":"Rouxel","given":"Olivier","non-dropping-particle":"","parse-names":false,"suffix":""}],"container-title":"Chemical Geology","id":"ITEM-2","issued":{"date-parts":[["2018","3","20"]]},"page":"38-52","publisher":"Elsevier B.V.","title":"Variable Ni isotope fractionation between Fe-oxyhydroxides and implications for the use of Ni isotopes as geochemical tracers","type":"article-journal","volume":"481"},"uris":["http://www.mendeley.com/documents/?uuid=8cf17ead-c08d-3220-945e-63ba6312f7a7"]},{"id":"ITEM-3","itemData":{"abstract":"Recent stable isotope analyses of nickel in river water, in seawater, and in ferromanganese crusts posea conundrumregarding isotopic mass balancefor Niin the oceans. Seawater, at d60/58Ni = +1.44 ‰,is considerablyheavierthan the flux-weighted averageof majorrivers (+0.80 ‰) [1]. Hence, asignificant,isotopically light sink must be presentsomewhere, unless the ocean is far from steadystate. Athough isotopically light Ni in sulfide-rich Black Sea sediments recently suggestedan answer[2], another study reportedd60/58Ni of organic-and sulfide-rich Peru Margin sediments nearly the same as seawater[3]. Meanwhile, inferromanganese sediments,d60/58Niwas foundto be heavierthan seawater [4], thus worsening the observed imbalance. In anexperimental studyaimed at understanding this last result, we sorbed Ni tosyntheticK-birnessite. Surprisingly, we observed lightNi isotopes preferentially sorbed, with an average D60/58Ni of 1.4 ‰, at low ionic strength. Next,in simplified seawater with I = 0.7m, we observed extremely lightNi sorbed to the Mn oxyhydroxide, with D60/58Ni as largeas 4.0 ‰!The fractionation diminishessignificantly over ~1month, suggesting a kinetic effect.Ni EXAFS spectra of solids from low and high ionic strength experiments strongly suggest that the mechanism of sorption(andpresumablythe mechanism of Ni isotope fractionation)differs between our I=~0 m and I=0.7m experiments. All samples can be fitwith linear combinationsof a tridentate corner-sharing site on {0 0 1} and a structurally incorporated site, but the fraction of Ni that is structurally incorporated is significantly higher at high ionic strength, likely because other cations occupy the {0 0 1} sitesand drive the Ni into Mnvacancies at a faster ratethan observed at low ionic strength.","author":[{"dropping-particle":"","family":"Wasylenki","given":"Laura E.","non-dropping-particle":"","parse-names":false,"suffix":""},{"dropping-particle":"","family":"Wells","given":"Ryan","non-dropping-particle":"","parse-names":false,"suffix":""},{"dropping-particle":"","family":"Frierdich","given":"Andrew","non-dropping-particle":"","parse-names":false,"suffix":""}],"container-title":"Goldschmidt 2019","id":"ITEM-3","issued":{"date-parts":[["2019"]]},"page":"2019","title":"Ionic strength strongly affects Ni isotope fractionation between solution and Mn oxyhydroxide","type":"article-journal"},"uris":["http://www.mendeley.com/documents/?uuid=1a35eba6-19dc-4e6b-b334-e079e58ded36"]},{"id":"ITEM-4","itemData":{"DOI":"10.1016/j.chemgeo.2020.119481","ISSN":"00092541","abstract":"Manganese oxides are an important sink for Ni in the ocean. To explore the potential of Ni stable isotopes as a geochemical tracer, we conducted two types of sorption reactions between Ni and hexagonal birnessite in 0.05 M NaNO3 media: one where we varied pH from 5 to 8 (constant initial Ni concentration = 170 μmol/L), and a second where we varied the initial dissolved Ni concentration from 17 to 426 μmol/L (constant pH = 7.7). Isotopic measurements were made on both the solid phase and the supernatant solutions to determine the Ni isotope fractionation factors (∆60/58Nimin-aq = δ60/58Nimin − δ60/58Niaq) between the mineral and aqueous phases. Nickel extended X-ray absorption fine structure (EXAFS) spectroscopy showed Ni in two distinct bonding environments: one where Ni atoms incorporate into the MnO2 sheet and a second where Ni atoms associate with the mineral surface sharing oxygens with 3 Mn tetrahedra (TCS, triple corner sharing). As pH and net negative surface charge increase, the coordination of Ni shifts to higher proportions of incorporation. The number of structural vacancies in birnessite, which are locations for TCS coordination of Ni, are controlled by pH and increase with decreasing pH. These vacancies are preferentially occupied by lighter Ni isotopes leading to fractionation factors, ∆60/58Nimin-aq, ranging from −2.76‰ (lowest TCS) to −3.35‰ (maximum TCS). These Ni isotopic fractionation factors are among the largest observed in natural geological and biological materials to date. Our findings reveal a relationship between Ni coordination environment and pH that may ultimately be used as an isotopic geochemical tracer of past ocean conditions. However, the results are inconsistent with current isotopic fractionation factors for marine ferromanganese deposits relative to seawater and point to unaddressed processes that modify Ni isotopic fractionation for ferromanganese deposits. Further research is needed to develop Ni as an isotopic tracer.","author":[{"dropping-particle":"V.","family":"Sorensen","given":"Jeffry","non-dropping-particle":"","parse-names":false,"suffix":""},{"dropping-particle":"","family":"Gueguen","given":"Bleuenn","non-dropping-particle":"","parse-names":false,"suffix":""},{"dropping-particle":"","family":"Stewart","given":"Brandy D.","non-dropping-particle":"","parse-names":false,"suffix":""},{"dropping-particle":"","family":"Peña","given":"Jasquelin","non-dropping-particle":"","parse-names":false,"suffix":""},{"dropping-particle":"","family":"Rouxel","given":"Olivier","non-dropping-particle":"","parse-names":false,"suffix":""},{"dropping-particle":"","family":"Toner","given":"Brandy M.","non-dropping-particle":"","parse-names":false,"suffix":""}],"container-title":"Chemical Geology","id":"ITEM-4","issue":"October 2019","issued":{"date-parts":[["2020"]]},"title":"Large nickel isotope fractionation caused by surface complexation reactions with hexagonal birnessite","type":"article-journal","volume":"537"},"uris":["http://www.mendeley.com/documents/?uuid=056c7e25-af00-4cb6-8f5b-0576e0b1990b"]}],"mendeley":{"formattedCitation":"(Gueguen et al., 2018; Sorensen et al., 2020; Wasylenki et al., 2019, 2015)","plainTextFormattedCitation":"(Gueguen et al., 2018; Sorensen et al., 2020; Wasylenki et al., 2019, 2015)","previouslyFormattedCitation":"(Gueguen et al., 2018; Sorensen et al., 2020; Wasylenki et al., 2019, 2015)"},"properties":{"noteIndex":0},"schema":"https://github.com/citation-style-language/schema/raw/master/csl-citation.json"}</w:instrText>
      </w:r>
      <w:r>
        <w:fldChar w:fldCharType="separate"/>
      </w:r>
      <w:r w:rsidRPr="00B6301D">
        <w:rPr>
          <w:noProof/>
        </w:rPr>
        <w:t>(Gueguen et al., 2018; Sorensen et al., 2020; Wasylenki et al., 2019, 2015)</w:t>
      </w:r>
      <w:r>
        <w:fldChar w:fldCharType="end"/>
      </w:r>
      <w:r>
        <w:t xml:space="preserve">. Sorption onto Fe oxides such as ferrihydrite and goethite have moderate fractionations of </w:t>
      </w:r>
      <w:r w:rsidRPr="0051481A">
        <w:t>Δ</w:t>
      </w:r>
      <w:r w:rsidRPr="0051481A">
        <w:rPr>
          <w:vertAlign w:val="superscript"/>
        </w:rPr>
        <w:t>60/58</w:t>
      </w:r>
      <w:r w:rsidRPr="0051481A">
        <w:t>Ni</w:t>
      </w:r>
      <w:r>
        <w:rPr>
          <w:vertAlign w:val="subscript"/>
        </w:rPr>
        <w:t>mineral</w:t>
      </w:r>
      <w:r w:rsidRPr="0051481A">
        <w:rPr>
          <w:vertAlign w:val="subscript"/>
        </w:rPr>
        <w:t>-</w:t>
      </w:r>
      <w:r>
        <w:rPr>
          <w:vertAlign w:val="subscript"/>
        </w:rPr>
        <w:t xml:space="preserve">aqueous </w:t>
      </w:r>
      <w:r w:rsidRPr="0051481A">
        <w:t>=</w:t>
      </w:r>
      <w:r>
        <w:t xml:space="preserve"> -</w:t>
      </w:r>
      <w:r w:rsidRPr="0051481A">
        <w:t xml:space="preserve">0.35 ± 0.08‰ </w:t>
      </w:r>
      <w:r>
        <w:t xml:space="preserve"> (2sd) and </w:t>
      </w:r>
      <w:r w:rsidRPr="0051481A">
        <w:t>Δ</w:t>
      </w:r>
      <w:r w:rsidRPr="0051481A">
        <w:rPr>
          <w:vertAlign w:val="superscript"/>
        </w:rPr>
        <w:t>60/58</w:t>
      </w:r>
      <w:r w:rsidRPr="0051481A">
        <w:t>Ni</w:t>
      </w:r>
      <w:r>
        <w:rPr>
          <w:vertAlign w:val="subscript"/>
        </w:rPr>
        <w:t>mineral</w:t>
      </w:r>
      <w:r w:rsidRPr="0051481A">
        <w:rPr>
          <w:vertAlign w:val="subscript"/>
        </w:rPr>
        <w:t>-</w:t>
      </w:r>
      <w:r>
        <w:rPr>
          <w:vertAlign w:val="subscript"/>
        </w:rPr>
        <w:t xml:space="preserve">aqueous </w:t>
      </w:r>
      <w:r w:rsidRPr="0051481A">
        <w:t>=</w:t>
      </w:r>
      <w:r>
        <w:t xml:space="preserve"> -</w:t>
      </w:r>
      <w:r w:rsidRPr="0051481A">
        <w:t>0.77 ± 0.23‰</w:t>
      </w:r>
      <w:r>
        <w:t xml:space="preserve"> (2sd), respectively </w:t>
      </w:r>
      <w:r>
        <w:fldChar w:fldCharType="begin" w:fldLock="1"/>
      </w:r>
      <w:r>
        <w:instrText>ADDIN CSL_CITATION {"citationItems":[{"id":"ITEM-1","itemData":{"DOI":"10.1016/j.chemgeo.2018.01.023","ISSN":"00092541","abstract":"Nickel (Ni) isotopes have recently emerged as a new biogeochemical tracer in marine environments, but our understanding of the mechanisms of Ni isotope fractionation in natural systems with regards to its fractionation by mineral surfaces is incomplete. This study aims to provide experimental constraints on Ni isotope fractionation during adsorption to goethite and 2-line ferrihydrite, two Fe minerals that vary in terms of distinct crystalline properties. We conducted two types of adsorption experiments: one with variable pH (5.0 to 8.0) and constant initial Ni concentration, one at a constant pH of 7.7 and variable initial Ni concentrations. Isotopic measurements were made on both the solid phase and the supernatant solutions in order to determine the Ni isotope fractionation factors (Δ60/58Nimin-aq = δ60/58Nimin − δ60/58Niaq) between the mineral and aqueous phases. Our results show preferential adsorption of lighter Ni isotopes during adsorption of Ni to Fe oxyhydroxides presumably under conditions of near equilibrium conditions. Adsorption to goethite generates the greatest fractionation, with Δ60/58Nimin-aq = −0.77 ± 0.23‰ (n = 14, 2sd), whereas adsorption to 2-line ferrihydrite samples yield Δ60/58Nimin-aq = −0.35 ± 0.08‰ (n = 16, 2sd). Using Ni K-edge extended X-ray absorption fine structure (EXAFS) spectroscopy, we found that Ni forms an inner-sphere complex and that its coordination environment does not vary significantly with pH nor with surface loading. In addition, we found no evidence of Ni incorporation into the mineral. We suggest that the more than two-fold increase in Ni isotope fractionation in goethite relative to 2-line ferrihydrite is due to the lower Ni-Fe coordination number in the second shell, which results in the formation of a weaker surface complex and thus favors the adsorption of lighter Ni isotopes. These results show that Ni isotope fractionation during sorption by Fe-oxyhydroxides is dependent on mineralogy, which has important implications for the use of Ni isotopes as environmental tracers and the interpretation of their record in sedimentary rocks.","author":[{"dropping-particle":"","family":"Gueguen","given":"Bleuenn","non-dropping-particle":"","parse-names":false,"suffix":""},{"dropping-particle":"V.","family":"Sorensen","given":"Jeffry","non-dropping-particle":"","parse-names":false,"suffix":""},{"dropping-particle":"V.","family":"Lalonde","given":"Stefan","non-dropping-particle":"","parse-names":false,"suffix":""},{"dropping-particle":"","family":"Peña","given":"Jasquelin","non-dropping-particle":"","parse-names":false,"suffix":""},{"dropping-particle":"","family":"Toner","given":"Brandy M.","non-dropping-particle":"","parse-names":false,"suffix":""},{"dropping-particle":"","family":"Rouxel","given":"Olivier","non-dropping-particle":"","parse-names":false,"suffix":""}],"container-title":"Chemical Geology","id":"ITEM-1","issued":{"date-parts":[["2018","3","20"]]},"page":"38-52","publisher":"Elsevier B.V.","title":"Variable Ni isotope fractionation between Fe-oxyhydroxides and implications for the use of Ni isotopes as geochemical tracers","type":"article-journal","volume":"481"},"uris":["http://www.mendeley.com/documents/?uuid=8cf17ead-c08d-3220-945e-63ba6312f7a7"]}],"mendeley":{"formattedCitation":"(Gueguen et al., 2018)","plainTextFormattedCitation":"(Gueguen et al., 2018)","previouslyFormattedCitation":"(Gueguen et al., 2018)"},"properties":{"noteIndex":0},"schema":"https://github.com/citation-style-language/schema/raw/master/csl-citation.json"}</w:instrText>
      </w:r>
      <w:r>
        <w:fldChar w:fldCharType="separate"/>
      </w:r>
      <w:r w:rsidRPr="008B0FBB">
        <w:rPr>
          <w:noProof/>
        </w:rPr>
        <w:t>(Gueguen et al., 2018)</w:t>
      </w:r>
      <w:r>
        <w:fldChar w:fldCharType="end"/>
      </w:r>
      <w:r>
        <w:t xml:space="preserve">. Nickel sorption onto </w:t>
      </w:r>
      <w:r w:rsidR="00DC5F5B">
        <w:t>birnessite</w:t>
      </w:r>
      <w:r>
        <w:t xml:space="preserve"> </w:t>
      </w:r>
      <w:r w:rsidR="00DC5F5B">
        <w:t>appears to have a</w:t>
      </w:r>
      <w:r>
        <w:t xml:space="preserve"> surprisingly large fractionation factor, considering there is no change in coordination environment or valence</w:t>
      </w:r>
      <w:r w:rsidR="00DC5F5B">
        <w:t>. Low ionic strength</w:t>
      </w:r>
      <w:r w:rsidR="00B20092">
        <w:t xml:space="preserve">, 24h </w:t>
      </w:r>
      <w:r w:rsidR="00DC5F5B">
        <w:t xml:space="preserve"> benchtop sorption experiments </w:t>
      </w:r>
      <w:r w:rsidR="00B20092">
        <w:t>measured</w:t>
      </w:r>
      <w:r w:rsidR="00DC5F5B">
        <w:t xml:space="preserve"> </w:t>
      </w:r>
      <w:r w:rsidRPr="0051481A">
        <w:t>Δ</w:t>
      </w:r>
      <w:r w:rsidRPr="0051481A">
        <w:rPr>
          <w:vertAlign w:val="superscript"/>
        </w:rPr>
        <w:t>60/58</w:t>
      </w:r>
      <w:r w:rsidRPr="0051481A">
        <w:t>Ni</w:t>
      </w:r>
      <w:r>
        <w:rPr>
          <w:vertAlign w:val="subscript"/>
        </w:rPr>
        <w:t>mineral</w:t>
      </w:r>
      <w:r w:rsidRPr="0051481A">
        <w:rPr>
          <w:vertAlign w:val="subscript"/>
        </w:rPr>
        <w:t>-</w:t>
      </w:r>
      <w:r>
        <w:rPr>
          <w:vertAlign w:val="subscript"/>
        </w:rPr>
        <w:t xml:space="preserve">aqueous </w:t>
      </w:r>
      <w:r w:rsidR="00B20092">
        <w:t xml:space="preserve">values </w:t>
      </w:r>
      <w:r w:rsidR="00DC5F5B">
        <w:t xml:space="preserve">from </w:t>
      </w:r>
      <w:r w:rsidRPr="00BF6843">
        <w:t>−2.76‰</w:t>
      </w:r>
      <w:r>
        <w:t xml:space="preserve"> </w:t>
      </w:r>
      <w:r w:rsidRPr="00BF6843">
        <w:t>to −3.35‰</w:t>
      </w:r>
      <w:r>
        <w:t xml:space="preserve"> </w:t>
      </w:r>
      <w:r w:rsidR="00664C91">
        <w:lastRenderedPageBreak/>
        <w:t>depending on pH</w:t>
      </w:r>
      <w:r w:rsidR="00DC5F5B">
        <w:t xml:space="preserve"> </w:t>
      </w:r>
      <w:r>
        <w:fldChar w:fldCharType="begin" w:fldLock="1"/>
      </w:r>
      <w:r>
        <w:instrText>ADDIN CSL_CITATION {"citationItems":[{"id":"ITEM-1","itemData":{"DOI":"10.1016/j.chemgeo.2020.119481","ISSN":"00092541","abstract":"Manganese oxides are an important sink for Ni in the ocean. To explore the potential of Ni stable isotopes as a geochemical tracer, we conducted two types of sorption reactions between Ni and hexagonal birnessite in 0.05 M NaNO3 media: one where we varied pH from 5 to 8 (constant initial Ni concentration = 170 μmol/L), and a second where we varied the initial dissolved Ni concentration from 17 to 426 μmol/L (constant pH = 7.7). Isotopic measurements were made on both the solid phase and the supernatant solutions to determine the Ni isotope fractionation factors (∆60/58Nimin-aq = δ60/58Nimin − δ60/58Niaq) between the mineral and aqueous phases. Nickel extended X-ray absorption fine structure (EXAFS) spectroscopy showed Ni in two distinct bonding environments: one where Ni atoms incorporate into the MnO2 sheet and a second where Ni atoms associate with the mineral surface sharing oxygens with 3 Mn tetrahedra (TCS, triple corner sharing). As pH and net negative surface charge increase, the coordination of Ni shifts to higher proportions of incorporation. The number of structural vacancies in birnessite, which are locations for TCS coordination of Ni, are controlled by pH and increase with decreasing pH. These vacancies are preferentially occupied by lighter Ni isotopes leading to fractionation factors, ∆60/58Nimin-aq, ranging from −2.76‰ (lowest TCS) to −3.35‰ (maximum TCS). These Ni isotopic fractionation factors are among the largest observed in natural geological and biological materials to date. Our findings reveal a relationship between Ni coordination environment and pH that may ultimately be used as an isotopic geochemical tracer of past ocean conditions. However, the results are inconsistent with current isotopic fractionation factors for marine ferromanganese deposits relative to seawater and point to unaddressed processes that modify Ni isotopic fractionation for ferromanganese deposits. Further research is needed to develop Ni as an isotopic tracer.","author":[{"dropping-particle":"V.","family":"Sorensen","given":"Jeffry","non-dropping-particle":"","parse-names":false,"suffix":""},{"dropping-particle":"","family":"Gueguen","given":"Bleuenn","non-dropping-particle":"","parse-names":false,"suffix":""},{"dropping-particle":"","family":"Stewart","given":"Brandy D.","non-dropping-particle":"","parse-names":false,"suffix":""},{"dropping-particle":"","family":"Peña","given":"Jasquelin","non-dropping-particle":"","parse-names":false,"suffix":""},{"dropping-particle":"","family":"Rouxel","given":"Olivier","non-dropping-particle":"","parse-names":false,"suffix":""},{"dropping-particle":"","family":"Toner","given":"Brandy M.","non-dropping-particle":"","parse-names":false,"suffix":""}],"container-title":"Chemical Geology","id":"ITEM-1","issue":"October 2019","issued":{"date-parts":[["2020"]]},"title":"Large nickel isotope fractionation caused by surface complexation reactions with hexagonal birnessite","type":"article-journal","volume":"537"},"uris":["http://www.mendeley.com/documents/?uuid=056c7e25-af00-4cb6-8f5b-0576e0b1990b"]}],"mendeley":{"formattedCitation":"(Sorensen et al., 2020)","plainTextFormattedCitation":"(Sorensen et al., 2020)","previouslyFormattedCitation":"(Sorensen et al., 2020)"},"properties":{"noteIndex":0},"schema":"https://github.com/citation-style-language/schema/raw/master/csl-citation.json"}</w:instrText>
      </w:r>
      <w:r>
        <w:fldChar w:fldCharType="separate"/>
      </w:r>
      <w:r w:rsidRPr="00BA68AE">
        <w:rPr>
          <w:noProof/>
        </w:rPr>
        <w:t>(Sorensen et al., 2020)</w:t>
      </w:r>
      <w:r>
        <w:fldChar w:fldCharType="end"/>
      </w:r>
      <w:r w:rsidR="00DC5F5B">
        <w:t xml:space="preserve">. </w:t>
      </w:r>
      <w:r w:rsidR="00B20092" w:rsidRPr="00B00649">
        <w:t xml:space="preserve">They attributed the range to differing proportions of incorporated </w:t>
      </w:r>
      <w:r w:rsidR="006104A3">
        <w:t>and</w:t>
      </w:r>
      <w:r w:rsidR="00B20092" w:rsidRPr="00B00649">
        <w:t xml:space="preserve"> sorbed Ni</w:t>
      </w:r>
      <w:r w:rsidR="00B20092">
        <w:t xml:space="preserve"> (Fig. XX)</w:t>
      </w:r>
      <w:r w:rsidR="00664C91">
        <w:t>. These values cannot explain the isotopically heavy Fe-Mn crust values found, but</w:t>
      </w:r>
      <w:r w:rsidR="006104A3">
        <w:t xml:space="preserve"> roughly corroborate the isotopically light Ni associated with manganese oxide dissolution in the black sea. </w:t>
      </w:r>
    </w:p>
    <w:p w14:paraId="609E3EA8" w14:textId="2AE96D83" w:rsidR="0027521C" w:rsidRDefault="00F9141A" w:rsidP="0027521C">
      <w:pPr>
        <w:spacing w:after="0"/>
        <w:ind w:firstLine="720"/>
        <w:jc w:val="both"/>
        <w:textAlignment w:val="baseline"/>
      </w:pPr>
      <w:r>
        <w:t xml:space="preserve">What about high ionic strength solutions? </w:t>
      </w:r>
      <w:r w:rsidRPr="00F9141A">
        <w:t>Perhaps the high salinity in seawater has an important effect on Δ</w:t>
      </w:r>
      <w:r w:rsidRPr="00F9141A">
        <w:rPr>
          <w:vertAlign w:val="superscript"/>
        </w:rPr>
        <w:t>60/58</w:t>
      </w:r>
      <w:r w:rsidRPr="00F9141A">
        <w:t>Ni</w:t>
      </w:r>
      <w:r w:rsidRPr="00F9141A">
        <w:rPr>
          <w:vertAlign w:val="subscript"/>
        </w:rPr>
        <w:t>mineral-aqueous</w:t>
      </w:r>
      <w:r>
        <w:t xml:space="preserve"> </w:t>
      </w:r>
      <w:r w:rsidRPr="00F9141A">
        <w:t>as it does for other isotopic systems</w:t>
      </w:r>
      <w:r>
        <w:t xml:space="preserve"> </w:t>
      </w:r>
      <w:r>
        <w:fldChar w:fldCharType="begin" w:fldLock="1"/>
      </w:r>
      <w:r w:rsidR="008E7FD7">
        <w:instrText>ADDIN CSL_CITATION {"citationItems":[{"id":"ITEM-1","itemData":{"DOI":"10.1016/j.epsl.2011.10.004","ISSN":"0012821X","abstract":"Cadmium mimics the distribution of the macronutrient phosphate in the oceans, and has uses as a palaeoproxy of past ocean circulation and nutrient utilization. Isotopic analyses of dissolved Cd in modern seawater show potential as a new tool for disentangling phytoplankton utilization of Cd from abiotic processes, such as ocean mixing. Extending this information into the past requires the Cd isotope signal to be captured and faithfully preserved in a suitable sedimentary archive. However, the role that environmental factors, such as temperature, may play in controlling Cd isotope fractionation into such archives has not been assessed. To this end, we have performed controlled inorganic CaCO3 precipitation experiments in artificial seawater solutions. We grew calcite under different precipitation rates, temperatures, salinities, and ambient [Mg2+], before measuring Cd isotopic compositions by double spike MC-ICPMS. We find that the isotopic (αCaCO3-Cdaq) in seawater is always less than one (i.e. light isotopes of Cd are preferred in calcite). The fractionation factor has a value of 0.99955±0.00012 and shows no response to temperature, [Mg2+], or precipitation rate across the range studied. The constancy of this fractionation in seawater suggests that marine calcites may provide a record of the local seawater composition, without the need to correct for effects due to environmental variables. We also performed CaCO3 growth in freshwater and, in contrast to calcite precipitated from artificial seawater solutions, no isotopic offset was recorded between the growth solution and calcite (αCaCO3-Cdaq=1.0000±0.0001). Cadmium isotope fractionation during calcite growth can be explained by a kinetic isotope effect during the largely unidirectional incorporation of Cd at the mineral surface. Further, the rate of Cd uptake and isotopic fractionation can be modulated by increased ion blocking of crystal surface sites at high salinity. The fractionation of Cd isotopes observed during precipitation of calcite has the same direction and similar magnitude to that implicated for Cd removal from the surface ocean by seawater measurements. However, flux calculations show that CaCO3 precipitation is unlikely to play a significant role in setting the Cd isotope composition in seawater, compared to Cd utilization in phytoplankton soft tissue. Marine carbonates therefore record seawater Cd isotope chemistry - with potential as a palaeoceanographic proxy - rather than drive oce…","author":[{"dropping-particle":"","family":"Horner","given":"Tristan J.","non-dropping-particle":"","parse-names":false,"suffix":""},{"dropping-particle":"","family":"Rickaby","given":"Rosalind E.M.","non-dropping-particle":"","parse-names":false,"suffix":""},{"dropping-particle":"","family":"Henderson","given":"Gideon M.","non-dropping-particle":"","parse-names":false,"suffix":""}],"container-title":"Earth and Planetary Science Letters","id":"ITEM-1","issue":"1-2","issued":{"date-parts":[["2011"]]},"page":"243-253","publisher":"Elsevier B.V.","title":"Isotopic fractionation of cadmium into calcite","type":"article-journal","volume":"312"},"uris":["http://www.mendeley.com/documents/?uuid=584d93f4-15cf-419b-8773-a3a5b559303e"]},{"id":"ITEM-2","itemData":{"DOI":"10.1016/j.gca.2014.05.007","ISSN":"00167037","abstract":"We report results of experiments conducted to quantify the sense and magnitude of cadmium stable isotope fractionation during sorption to synthetic birnessite (Mn oxyhydroxide) and to constrain the molecular mechanism responsible for fractionation in this system. Ferromanganese crusts have recently been proposed as a possible archive of the cadmium isotopic composition of seawater over the last few tens of millions of years (Horner et al., 2010), and this archive can potentially yield information about biological use of Cd by diatoms over the Cenozoic Era. Cd isotopes may also be useful for determining the extent to which sorption to mineral substrates attenuates Cd transport in contaminated aquifers. At low ionic strength, we found a small fractionation effect (δ114/112Cdfluid-solid=+0.12±0.06‰, 1sd; equivalent to +2.4 in terms of ε114/110Cd) that was constant as a function of the fraction of total Cd sorbed, indicating a reversible equilibrium isotope effect. At high ionic strength we observed a fractionation averaging (δ114/112Cdfluid-solid=+0.27±0.07‰ (1sd; equivalent to +5.4 in terms of ε114/110Cd). A time series conducted at high ionic strength revealed that the magnitude of isotopic fractionation decreases gradually over time, from δ114/112Cdfluid-solid of nearly +0.4‰ after 1h to +0.2‰ after 24h and +0.1‰ after 912h. Furthermore, the percentage of Cd sorbed to birnessite increases over this interval from 27% to 58%. We hypothesize that this shift results from either changes over time in the structure and crystallinity of birnessite and/or a change in the molecular mechanism of sorption of cadmium on birnessite. Our result is encouraging for application of Cd isotopes in ferromanganese crusts to reconstruction of the Cd isotopic composition of coexisting seawater, given the very slow accumulation rates of such sediments. © 2014 Elsevier Ltd.","author":[{"dropping-particle":"","family":"Wasylenki","given":"Laura E.","non-dropping-particle":"","parse-names":false,"suffix":""},{"dropping-particle":"","family":"Swihart","given":"Jared W.","non-dropping-particle":"","parse-names":false,"suffix":""},{"dropping-particle":"","family":"Romaniello","given":"Stephen J.","non-dropping-particle":"","parse-names":false,"suffix":""}],"container-title":"Geochimica et Cosmochimica Acta","id":"ITEM-2","issued":{"date-parts":[["2014","9","1"]]},"page":"212-226","publisher":"Elsevier Ltd","title":"Cadmium isotope fractionation during adsorption to Mn oxyhydroxide at low and high ionic strength","type":"article-journal","volume":"140"},"uris":["http://www.mendeley.com/documents/?uuid=fc062fd3-6cf9-393f-be5f-fe6c79ef0187"]},{"id":"ITEM-3","itemData":{"DOI":"10.1016/j.chemgeo.2016.10.031","ISSN":"0009-2541","author":[{"dropping-particle":"","family":"Dong","given":"Shuofei","non-dropping-particle":"","parse-names":false,"suffix":""},{"dropping-particle":"","family":"Wasylenki","given":"Laura E","non-dropping-particle":"","parse-names":false,"suffix":""}],"container-title":"Chemical Geology","id":"ITEM-3","issue":"January 2018","issued":{"date-parts":[["2016"]]},"page":"70-78","publisher":"Elsevier B.V.","title":"Zinc isotope fractionation during adsorption to calcite at high and low ionic strength Zinc isotope fractionation during adsorption to calcite at high and low ionic strength","type":"article-journal","volume":"447"},"uris":["http://www.mendeley.com/documents/?uuid=d113ca5f-f94c-4bdd-8860-ca1ca41b1996"]}],"mendeley":{"formattedCitation":"(Dong and Wasylenki, 2016; Horner et al., 2011; Wasylenki et al., 2014)","plainTextFormattedCitation":"(Dong and Wasylenki, 2016; Horner et al., 2011; Wasylenki et al., 2014)","previouslyFormattedCitation":"(Dong and Wasylenki, 2016; Horner et al., 2011; Wasylenki et al., 2014)"},"properties":{"noteIndex":0},"schema":"https://github.com/citation-style-language/schema/raw/master/csl-citation.json"}</w:instrText>
      </w:r>
      <w:r>
        <w:fldChar w:fldCharType="separate"/>
      </w:r>
      <w:r w:rsidR="004531D9" w:rsidRPr="004531D9">
        <w:rPr>
          <w:noProof/>
        </w:rPr>
        <w:t>(Dong and Wasylenki, 2016; Horner et al., 2011; Wasylenki et al., 2014)</w:t>
      </w:r>
      <w:r>
        <w:fldChar w:fldCharType="end"/>
      </w:r>
      <w:r w:rsidRPr="00B00649">
        <w:t>.</w:t>
      </w:r>
      <w:r w:rsidRPr="00F9141A">
        <w:t xml:space="preserve"> </w:t>
      </w:r>
      <w:r w:rsidR="00B20092" w:rsidRPr="00B00649">
        <w:t>High ionic strength experiments allowed to equilibrate for 67 hours had a Δ</w:t>
      </w:r>
      <w:r w:rsidR="00B20092" w:rsidRPr="00B00649">
        <w:rPr>
          <w:vertAlign w:val="superscript"/>
        </w:rPr>
        <w:t>60/58</w:t>
      </w:r>
      <w:r w:rsidR="00B20092" w:rsidRPr="00B00649">
        <w:t>Ni</w:t>
      </w:r>
      <w:r w:rsidR="00B20092" w:rsidRPr="00B00649">
        <w:rPr>
          <w:vertAlign w:val="subscript"/>
        </w:rPr>
        <w:t>aqueous-sorbed</w:t>
      </w:r>
      <w:r w:rsidR="00B20092" w:rsidRPr="00B00649">
        <w:t xml:space="preserve"> up to </w:t>
      </w:r>
      <w:r w:rsidR="00B20092">
        <w:t>~</w:t>
      </w:r>
      <w:r w:rsidR="00B20092" w:rsidRPr="00B00649">
        <w:t>4.0‰</w:t>
      </w:r>
      <w:r w:rsidR="00B20092">
        <w:t xml:space="preserve"> </w:t>
      </w:r>
      <w:r w:rsidR="0027521C">
        <w:fldChar w:fldCharType="begin" w:fldLock="1"/>
      </w:r>
      <w:r w:rsidR="0027521C">
        <w:instrText>ADDIN CSL_CITATION {"citationItems":[{"id":"ITEM-1","itemData":{"abstract":"Recent stable isotope analyses of nickel in river water, in seawater, and in ferromanganese crusts posea conundrumregarding isotopic mass balancefor Niin the oceans. Seawater, at d60/58Ni = +1.44 ‰,is considerablyheavierthan the flux-weighted averageof majorrivers (+0.80 ‰) [1]. Hence, asignificant,isotopically light sink must be presentsomewhere, unless the ocean is far from steadystate. Athough isotopically light Ni in sulfide-rich Black Sea sediments recently suggestedan answer[2], another study reportedd60/58Ni of organic-and sulfide-rich Peru Margin sediments nearly the same as seawater[3]. Meanwhile, inferromanganese sediments,d60/58Niwas foundto be heavierthan seawater [4], thus worsening the observed imbalance. In anexperimental studyaimed at understanding this last result, we sorbed Ni tosyntheticK-birnessite. Surprisingly, we observed lightNi isotopes preferentially sorbed, with an average D60/58Ni of 1.4 ‰, at low ionic strength. Next,in simplified seawater with I = 0.7m, we observed extremely lightNi sorbed to the Mn oxyhydroxide, with D60/58Ni as largeas 4.0 ‰!The fractionation diminishessignificantly over ~1month, suggesting a kinetic effect.Ni EXAFS spectra of solids from low and high ionic strength experiments strongly suggest that the mechanism of sorption(andpresumablythe mechanism of Ni isotope fractionation)differs between our I=~0 m and I=0.7m experiments. All samples can be fitwith linear combinationsof a tridentate corner-sharing site on {0 0 1} and a structurally incorporated site, but the fraction of Ni that is structurally incorporated is significantly higher at high ionic strength, likely because other cations occupy the {0 0 1} sitesand drive the Ni into Mnvacancies at a faster ratethan observed at low ionic strength.","author":[{"dropping-particle":"","family":"Wasylenki","given":"Laura E.","non-dropping-particle":"","parse-names":false,"suffix":""},{"dropping-particle":"","family":"Wells","given":"Ryan","non-dropping-particle":"","parse-names":false,"suffix":""},{"dropping-particle":"","family":"Frierdich","given":"Andrew","non-dropping-particle":"","parse-names":false,"suffix":""}],"container-title":"Goldschmidt 2019","id":"ITEM-1","issued":{"date-parts":[["2019"]]},"page":"2019","title":"Ionic strength strongly affects Ni isotope fractionation between solution and Mn oxyhydroxide","type":"article-journal"},"uris":["http://www.mendeley.com/documents/?uuid=1a35eba6-19dc-4e6b-b334-e079e58ded36"]}],"mendeley":{"formattedCitation":"(Wasylenki et al., 2019)","plainTextFormattedCitation":"(Wasylenki et al., 2019)","previouslyFormattedCitation":"(Wasylenki et al., 2019)"},"properties":{"noteIndex":0},"schema":"https://github.com/citation-style-language/schema/raw/master/csl-citation.json"}</w:instrText>
      </w:r>
      <w:r w:rsidR="0027521C">
        <w:fldChar w:fldCharType="separate"/>
      </w:r>
      <w:r w:rsidR="0027521C" w:rsidRPr="00BA68AE">
        <w:rPr>
          <w:noProof/>
        </w:rPr>
        <w:t>(Wasylenki et al., 2019)</w:t>
      </w:r>
      <w:r w:rsidR="0027521C">
        <w:fldChar w:fldCharType="end"/>
      </w:r>
      <w:r w:rsidR="0027521C">
        <w:t xml:space="preserve"> which exactly matches the calculated </w:t>
      </w:r>
      <w:r w:rsidR="00664C91">
        <w:t xml:space="preserve">Ni isotope </w:t>
      </w:r>
      <w:r w:rsidR="0027521C">
        <w:t>fractionation f</w:t>
      </w:r>
      <w:r w:rsidR="00664C91">
        <w:t>rom</w:t>
      </w:r>
      <w:r w:rsidR="0027521C">
        <w:t xml:space="preserve"> Mn oxide dissolution in the Black Sea water column </w:t>
      </w:r>
      <w:r w:rsidR="0027521C">
        <w:fldChar w:fldCharType="begin" w:fldLock="1"/>
      </w:r>
      <w:r w:rsidR="0027521C">
        <w:instrText>ADDIN CSL_CITATION {"citationItems":[{"id":"ITEM-1","itemData":{"DOI":"10.1098/rsta.2015.0294","ISSN":"1364503X","abstract":"© 2016 The Author(s) Published by the Royal Society. All rights reserved. Isotopic data collected to date as part of the GEOTRACES and other programmes show that the oceanic dissolved pool is isotopically heavy relative to the inputs for zinc (Zn) and nickel (Ni). All Zn sinks measured until recently, and the only output yet measured for Ni, are isotopically heavier than the dissolved pool. This would require either a non-steady-state ocean or other unidentified sinks. Recently, isotopically light Zn has been measured in organic carbon-rich sediments from productive upwelling margins, providing a potential resolution of this issue, at least for Zn. However, the origin of the isotopically light sedimentary Zn signal is uncertain. Cellular uptake of isotopically light Zn followed by transfer to sediment does not appear to be a quantitatively important process. Here, we present Zn and Ni isotope data for the water column and sediments of the Black Sea. These data demonstrate that isotopically light Zn and Ni are extracted from the water column, probably through an equilibrium fractionation between different dissolved species followed by sequestration of light Zn and Ni in sulfide species to particulates and the sediment. We suggest that a similar, non-quantitative, process, operating in porewaters, explains the Zn data from organic carbon-rich sediments. This article is part of the themed issue 'Biological and climatic impacts of ocean trace element chemistry'.","author":[{"dropping-particle":"","family":"Vance","given":"Derek","non-dropping-particle":"","parse-names":false,"suffix":""},{"dropping-particle":"","family":"Little","given":"Susan H.","non-dropping-particle":"","parse-names":false,"suffix":""},{"dropping-particle":"","family":"Archer","given":"Corey","non-dropping-particle":"","parse-names":false,"suffix":""},{"dropping-particle":"","family":"Cameron","given":"Vyllinniskii","non-dropping-particle":"","parse-names":false,"suffix":""},{"dropping-particle":"","family":"Andersen","given":"Morten B.","non-dropping-particle":"","parse-names":false,"suffix":""},{"dropping-particle":"","family":"Rijkenberg","given":"Micha J.A.","non-dropping-particle":"","parse-names":false,"suffix":""},{"dropping-particle":"","family":"Lyons","given":"Timothy W.","non-dropping-particle":"","parse-names":false,"suffix":""}],"container-title":"Philosophical Transactions of the Royal Society A: Mathematical, Physical and Engineering Sciences","id":"ITEM-1","issue":"2081","issued":{"date-parts":[["2016","11","28"]]},"publisher":"Royal Society of London","title":"The oceanic budgets of nickel and zinc isotopes: The importance of sulfdic environments as illustrated by the Black Sea","type":"article-journal","volume":"374"},"uris":["http://www.mendeley.com/documents/?uuid=5374985e-4110-3893-9a8b-a680fbb0094c"]}],"mendeley":{"formattedCitation":"(Vance et al., 2016)","plainTextFormattedCitation":"(Vance et al., 2016)","previouslyFormattedCitation":"(Vance et al., 2016)"},"properties":{"noteIndex":0},"schema":"https://github.com/citation-style-language/schema/raw/master/csl-citation.json"}</w:instrText>
      </w:r>
      <w:r w:rsidR="0027521C">
        <w:fldChar w:fldCharType="separate"/>
      </w:r>
      <w:r w:rsidR="0027521C" w:rsidRPr="00BA68AE">
        <w:rPr>
          <w:noProof/>
        </w:rPr>
        <w:t>(Vance et al., 2016)</w:t>
      </w:r>
      <w:r w:rsidR="0027521C">
        <w:fldChar w:fldCharType="end"/>
      </w:r>
      <w:r w:rsidR="0027521C">
        <w:t xml:space="preserve">. </w:t>
      </w:r>
      <w:commentRangeStart w:id="4"/>
      <w:r w:rsidR="0027521C">
        <w:t>However, Wasylenki et al., 2019 observed decreasing fractionation</w:t>
      </w:r>
      <w:r w:rsidR="00B20092">
        <w:t xml:space="preserve"> factors</w:t>
      </w:r>
      <w:r w:rsidR="0027521C">
        <w:t xml:space="preserve"> in longer duration (ca. 1 month) experiments </w:t>
      </w:r>
      <w:r w:rsidR="00DC5F5B">
        <w:t xml:space="preserve">which suggests shorter experiments </w:t>
      </w:r>
      <w:r w:rsidR="00B20092">
        <w:t>may have</w:t>
      </w:r>
      <w:r w:rsidR="00DC5F5B" w:rsidRPr="00DC5F5B">
        <w:t xml:space="preserve"> recorded a </w:t>
      </w:r>
      <w:r w:rsidR="00AF392D" w:rsidRPr="00DC5F5B">
        <w:t>short-lived</w:t>
      </w:r>
      <w:r w:rsidR="00DC5F5B" w:rsidRPr="00DC5F5B">
        <w:t xml:space="preserve"> kinetic fractionation while longer experiments (27 days) overwrite the initial kinetic effects.</w:t>
      </w:r>
      <w:r w:rsidR="000700E6">
        <w:t xml:space="preserve"> </w:t>
      </w:r>
      <w:commentRangeEnd w:id="4"/>
      <w:r w:rsidR="00982EC8">
        <w:rPr>
          <w:rStyle w:val="CommentReference"/>
        </w:rPr>
        <w:commentReference w:id="4"/>
      </w:r>
    </w:p>
    <w:p w14:paraId="40ABBACB" w14:textId="25B7AFCA" w:rsidR="00950FE7" w:rsidRDefault="00CB389F" w:rsidP="00AF392D">
      <w:pPr>
        <w:spacing w:after="0"/>
        <w:jc w:val="both"/>
        <w:textAlignment w:val="baseline"/>
      </w:pPr>
      <w:r>
        <w:t>Can the natural and experimental results be reconciled? Some argue yes, but there appear to be significant gaps in the reason</w:t>
      </w:r>
      <w:r w:rsidR="00FF0D85">
        <w:t>ing.</w:t>
      </w:r>
      <w:r w:rsidR="00F91065">
        <w:t xml:space="preserve"> [talk about Mn redox cycling</w:t>
      </w:r>
      <w:r w:rsidR="000E7F2E">
        <w:t xml:space="preserve">, little argument, available reasonings for Fe-Mn crust that don’t make too much sense. Crescendo to “maybe Vance et al recorded kinetic processes, but Fe-Mn crust are equilibrium. What is that </w:t>
      </w:r>
      <w:proofErr w:type="spellStart"/>
      <w:r w:rsidR="000E7F2E">
        <w:t>equlibirum</w:t>
      </w:r>
      <w:proofErr w:type="spellEnd"/>
      <w:r w:rsidR="000E7F2E">
        <w:t xml:space="preserve">? Then the variability can be explained by birnessite to </w:t>
      </w:r>
      <w:proofErr w:type="spellStart"/>
      <w:r w:rsidR="000E7F2E">
        <w:t>todorkite</w:t>
      </w:r>
      <w:proofErr w:type="spellEnd"/>
      <w:r w:rsidR="000E7F2E">
        <w:t xml:space="preserve"> transformation.</w:t>
      </w:r>
      <w:r w:rsidR="00F91065">
        <w:t>]</w:t>
      </w:r>
    </w:p>
    <w:p w14:paraId="38F8ED3F" w14:textId="1E3F4F92" w:rsidR="00DC5F5B" w:rsidRDefault="00AF392D" w:rsidP="00AF392D">
      <w:pPr>
        <w:spacing w:after="0"/>
        <w:jc w:val="both"/>
        <w:textAlignment w:val="baseline"/>
      </w:pPr>
      <w:r>
        <w:t xml:space="preserve">Reconciling the natural and experimental data is quiet challenging. </w:t>
      </w:r>
    </w:p>
    <w:p w14:paraId="0942A703" w14:textId="77777777" w:rsidR="000B4DAC" w:rsidRDefault="000B4DAC" w:rsidP="000B4DAC">
      <w:pPr>
        <w:spacing w:after="0"/>
        <w:ind w:firstLine="720"/>
        <w:jc w:val="both"/>
        <w:textAlignment w:val="baseline"/>
      </w:pPr>
      <w:proofErr w:type="gramStart"/>
      <w:r>
        <w:t>A number of</w:t>
      </w:r>
      <w:proofErr w:type="gramEnd"/>
      <w:r>
        <w:t xml:space="preserve"> mechanisms have been evoked to explain these variations. Vance et al., 2016 </w:t>
      </w:r>
    </w:p>
    <w:p w14:paraId="7DDC58AC" w14:textId="77777777" w:rsidR="000B4DAC" w:rsidRDefault="000B4DAC" w:rsidP="00AF392D">
      <w:pPr>
        <w:spacing w:after="0"/>
        <w:jc w:val="both"/>
        <w:textAlignment w:val="baseline"/>
      </w:pPr>
    </w:p>
    <w:p w14:paraId="130DF1C2" w14:textId="19006503" w:rsidR="00DC5F5B" w:rsidRDefault="00DC5F5B" w:rsidP="0027521C">
      <w:pPr>
        <w:spacing w:after="0"/>
        <w:ind w:firstLine="720"/>
        <w:jc w:val="both"/>
        <w:textAlignment w:val="baseline"/>
      </w:pPr>
    </w:p>
    <w:p w14:paraId="3F2FED25" w14:textId="77777777" w:rsidR="00DC5F5B" w:rsidRDefault="00DC5F5B" w:rsidP="0027521C">
      <w:pPr>
        <w:spacing w:after="0"/>
        <w:ind w:firstLine="720"/>
        <w:jc w:val="both"/>
        <w:textAlignment w:val="baseline"/>
      </w:pPr>
    </w:p>
    <w:p w14:paraId="330566E0" w14:textId="77777777" w:rsidR="0027521C" w:rsidRDefault="0027521C" w:rsidP="0027521C">
      <w:pPr>
        <w:spacing w:after="0"/>
        <w:jc w:val="both"/>
        <w:textAlignment w:val="baseline"/>
      </w:pPr>
    </w:p>
    <w:bookmarkEnd w:id="0"/>
    <w:p w14:paraId="5C917A9B" w14:textId="77777777" w:rsidR="0027521C" w:rsidRDefault="0027521C" w:rsidP="0027521C">
      <w:pPr>
        <w:spacing w:after="0"/>
        <w:ind w:firstLine="720"/>
        <w:jc w:val="both"/>
        <w:textAlignment w:val="baseline"/>
      </w:pPr>
    </w:p>
    <w:p w14:paraId="33742BA2" w14:textId="518369ED" w:rsidR="00F35E43" w:rsidRDefault="00F35E43"/>
    <w:p w14:paraId="39839B84" w14:textId="08F1D872" w:rsidR="00236A6B" w:rsidRDefault="00236A6B"/>
    <w:p w14:paraId="41093773" w14:textId="19A10CCC" w:rsidR="00236A6B" w:rsidRDefault="00236A6B"/>
    <w:p w14:paraId="626A2681" w14:textId="77777777" w:rsidR="00236A6B" w:rsidRDefault="00236A6B" w:rsidP="00236A6B">
      <w:pPr>
        <w:spacing w:line="480" w:lineRule="auto"/>
        <w:jc w:val="center"/>
      </w:pPr>
      <w:r>
        <w:rPr>
          <w:noProof/>
        </w:rPr>
        <w:drawing>
          <wp:inline distT="0" distB="0" distL="0" distR="0" wp14:anchorId="3B3789DF" wp14:editId="5CB10B0C">
            <wp:extent cx="4333875" cy="1219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13514"/>
                    <a:stretch/>
                  </pic:blipFill>
                  <pic:spPr bwMode="auto">
                    <a:xfrm>
                      <a:off x="0" y="0"/>
                      <a:ext cx="4333875" cy="1219200"/>
                    </a:xfrm>
                    <a:prstGeom prst="rect">
                      <a:avLst/>
                    </a:prstGeom>
                    <a:noFill/>
                    <a:ln>
                      <a:noFill/>
                    </a:ln>
                    <a:extLst>
                      <a:ext uri="{53640926-AAD7-44D8-BBD7-CCE9431645EC}">
                        <a14:shadowObscured xmlns:a14="http://schemas.microsoft.com/office/drawing/2010/main"/>
                      </a:ext>
                    </a:extLst>
                  </pic:spPr>
                </pic:pic>
              </a:graphicData>
            </a:graphic>
          </wp:inline>
        </w:drawing>
      </w:r>
    </w:p>
    <w:p w14:paraId="1D540459" w14:textId="683D6CC1" w:rsidR="00236A6B" w:rsidRDefault="00236A6B" w:rsidP="00236A6B">
      <w:pPr>
        <w:spacing w:line="480" w:lineRule="auto"/>
        <w:jc w:val="center"/>
      </w:pPr>
      <w:proofErr w:type="gramStart"/>
      <w:r w:rsidRPr="00A53465">
        <w:rPr>
          <w:b/>
          <w:bCs/>
        </w:rPr>
        <w:t>Figure :</w:t>
      </w:r>
      <w:proofErr w:type="gramEnd"/>
      <w:r>
        <w:t xml:space="preserve"> A depiction of the two coordination states of Ni and birnessite, incorporated and sorbed. Figure from Wasylenki et al., 2019 which was adapted from Peacock &amp; Sherman 2007.</w:t>
      </w:r>
    </w:p>
    <w:p w14:paraId="17822984" w14:textId="39F530C9" w:rsidR="00236A6B" w:rsidRPr="00B00649" w:rsidRDefault="00236A6B" w:rsidP="00236A6B">
      <w:pPr>
        <w:spacing w:line="480" w:lineRule="auto"/>
        <w:jc w:val="center"/>
      </w:pPr>
    </w:p>
    <w:p w14:paraId="5274B5AA" w14:textId="26FD2306" w:rsidR="00236A6B" w:rsidRDefault="00236A6B"/>
    <w:p w14:paraId="583575D2" w14:textId="15F5CE8F" w:rsidR="00236A6B" w:rsidRDefault="00236A6B"/>
    <w:p w14:paraId="748E7373" w14:textId="78A1D3E4" w:rsidR="00236A6B" w:rsidRPr="00A06787" w:rsidRDefault="00236A6B" w:rsidP="00236A6B">
      <w:pPr>
        <w:spacing w:line="480" w:lineRule="auto"/>
      </w:pPr>
      <w:r>
        <w:rPr>
          <w:noProof/>
        </w:rPr>
        <w:drawing>
          <wp:anchor distT="0" distB="0" distL="114300" distR="114300" simplePos="0" relativeHeight="251661312" behindDoc="0" locked="0" layoutInCell="1" allowOverlap="1" wp14:anchorId="17F006E1" wp14:editId="18F80830">
            <wp:simplePos x="0" y="0"/>
            <wp:positionH relativeFrom="column">
              <wp:posOffset>0</wp:posOffset>
            </wp:positionH>
            <wp:positionV relativeFrom="paragraph">
              <wp:posOffset>-3060</wp:posOffset>
            </wp:positionV>
            <wp:extent cx="3578518" cy="2901142"/>
            <wp:effectExtent l="0" t="0" r="3175" b="0"/>
            <wp:wrapSquare wrapText="bothSides"/>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7).png"/>
                    <pic:cNvPicPr/>
                  </pic:nvPicPr>
                  <pic:blipFill rotWithShape="1">
                    <a:blip r:embed="rId10">
                      <a:extLst>
                        <a:ext uri="{28A0092B-C50C-407E-A947-70E740481C1C}">
                          <a14:useLocalDpi xmlns:a14="http://schemas.microsoft.com/office/drawing/2010/main" val="0"/>
                        </a:ext>
                      </a:extLst>
                    </a:blip>
                    <a:srcRect l="29242" t="24960" r="31896" b="18996"/>
                    <a:stretch/>
                  </pic:blipFill>
                  <pic:spPr bwMode="auto">
                    <a:xfrm>
                      <a:off x="0" y="0"/>
                      <a:ext cx="3578518" cy="29011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70C81">
        <w:rPr>
          <w:b/>
          <w:bCs/>
        </w:rPr>
        <w:t xml:space="preserve">Figure </w:t>
      </w:r>
      <w:r>
        <w:rPr>
          <w:b/>
          <w:bCs/>
        </w:rPr>
        <w:t>3</w:t>
      </w:r>
      <w:r w:rsidRPr="00870C81">
        <w:rPr>
          <w:b/>
          <w:bCs/>
        </w:rPr>
        <w:t>: δ</w:t>
      </w:r>
      <w:r w:rsidRPr="00870C81">
        <w:rPr>
          <w:b/>
          <w:bCs/>
          <w:vertAlign w:val="superscript"/>
        </w:rPr>
        <w:t>60</w:t>
      </w:r>
      <w:r w:rsidRPr="00870C81">
        <w:rPr>
          <w:b/>
          <w:bCs/>
        </w:rPr>
        <w:t xml:space="preserve">Ni in four Fe-Mn crust cross sections from the South and North Pacific Ocean. </w:t>
      </w:r>
      <w:r>
        <w:t xml:space="preserve">The </w:t>
      </w:r>
      <w:r w:rsidRPr="00A06787">
        <w:t>ZEP2 Fe-Mn crusts are South Pacific and J2 crusts are North Pacific</w:t>
      </w:r>
      <w:r>
        <w:t>. The anomalous isotopically light values of ZEP2-DR-05-04 are attributed to post depositional effects (Gueguen et al., 2016).</w:t>
      </w:r>
    </w:p>
    <w:p w14:paraId="4F1ED705" w14:textId="77777777" w:rsidR="00236A6B" w:rsidRDefault="00236A6B" w:rsidP="00236A6B">
      <w:pPr>
        <w:spacing w:line="480" w:lineRule="auto"/>
        <w:jc w:val="both"/>
      </w:pPr>
      <w:r w:rsidRPr="00F44CE4">
        <w:rPr>
          <w:b/>
          <w:bCs/>
          <w:noProof/>
        </w:rPr>
        <w:drawing>
          <wp:anchor distT="0" distB="0" distL="114300" distR="114300" simplePos="0" relativeHeight="251663360" behindDoc="0" locked="0" layoutInCell="1" allowOverlap="1" wp14:anchorId="6D2BAC69" wp14:editId="3F8230EE">
            <wp:simplePos x="0" y="0"/>
            <wp:positionH relativeFrom="column">
              <wp:posOffset>-195580</wp:posOffset>
            </wp:positionH>
            <wp:positionV relativeFrom="paragraph">
              <wp:posOffset>436</wp:posOffset>
            </wp:positionV>
            <wp:extent cx="4086225" cy="255270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r="2055"/>
                    <a:stretch/>
                  </pic:blipFill>
                  <pic:spPr bwMode="auto">
                    <a:xfrm>
                      <a:off x="0" y="0"/>
                      <a:ext cx="4086225" cy="2552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F44CE4">
        <w:rPr>
          <w:b/>
          <w:bCs/>
        </w:rPr>
        <w:t>Figure</w:t>
      </w:r>
      <w:r>
        <w:rPr>
          <w:b/>
          <w:bCs/>
        </w:rPr>
        <w:t xml:space="preserve"> 4</w:t>
      </w:r>
      <w:r w:rsidRPr="00F44CE4">
        <w:rPr>
          <w:b/>
          <w:bCs/>
        </w:rPr>
        <w:t>: Comparing δ</w:t>
      </w:r>
      <w:r w:rsidRPr="00F44CE4">
        <w:rPr>
          <w:b/>
          <w:bCs/>
          <w:vertAlign w:val="superscript"/>
        </w:rPr>
        <w:t>60</w:t>
      </w:r>
      <w:r w:rsidRPr="00F44CE4">
        <w:rPr>
          <w:b/>
          <w:bCs/>
        </w:rPr>
        <w:t xml:space="preserve">Ni and the concentrations of Fe, Mn, and Ni in the upper 300 m of the Black Sea. </w:t>
      </w:r>
      <w:r>
        <w:t xml:space="preserve">The black, horizontal line generally denotes the chemocline </w:t>
      </w:r>
      <w:r>
        <w:fldChar w:fldCharType="begin" w:fldLock="1"/>
      </w:r>
      <w:r>
        <w:instrText>ADDIN CSL_CITATION {"citationItems":[{"id":"ITEM-1","itemData":{"DOI":"10.1098/rsta.2015.0294","ISSN":"1364503X","abstract":"© 2016 The Author(s) Published by the Royal Society. All rights reserved. Isotopic data collected to date as part of the GEOTRACES and other programmes show that the oceanic dissolved pool is isotopically heavy relative to the inputs for zinc (Zn) and nickel (Ni). All Zn sinks measured until recently, and the only output yet measured for Ni, are isotopically heavier than the dissolved pool. This would require either a non-steady-state ocean or other unidentified sinks. Recently, isotopically light Zn has been measured in organic carbon-rich sediments from productive upwelling margins, providing a potential resolution of this issue, at least for Zn. However, the origin of the isotopically light sedimentary Zn signal is uncertain. Cellular uptake of isotopically light Zn followed by transfer to sediment does not appear to be a quantitatively important process. Here, we present Zn and Ni isotope data for the water column and sediments of the Black Sea. These data demonstrate that isotopically light Zn and Ni are extracted from the water column, probably through an equilibrium fractionation between different dissolved species followed by sequestration of light Zn and Ni in sulfide species to particulates and the sediment. We suggest that a similar, non-quantitative, process, operating in porewaters, explains the Zn data from organic carbon-rich sediments. This article is part of the themed issue 'Biological and climatic impacts of ocean trace element chemistry'.","author":[{"dropping-particle":"","family":"Vance","given":"Derek","non-dropping-particle":"","parse-names":false,"suffix":""},{"dropping-particle":"","family":"Little","given":"Susan H.","non-dropping-particle":"","parse-names":false,"suffix":""},{"dropping-particle":"","family":"Archer","given":"Corey","non-dropping-particle":"","parse-names":false,"suffix":""},{"dropping-particle":"","family":"Cameron","given":"Vyllinniskii","non-dropping-particle":"","parse-names":false,"suffix":""},{"dropping-particle":"","family":"Andersen","given":"Morten B.","non-dropping-particle":"","parse-names":false,"suffix":""},{"dropping-particle":"","family":"Rijkenberg","given":"Micha J.A.","non-dropping-particle":"","parse-names":false,"suffix":""},{"dropping-particle":"","family":"Lyons","given":"Timothy W.","non-dropping-particle":"","parse-names":false,"suffix":""}],"container-title":"Philosophical Transactions of the Royal Society A: Mathematical, Physical and Engineering Sciences","id":"ITEM-1","issue":"2081","issued":{"date-parts":[["2016","11","28"]]},"publisher":"Royal Society of London","title":"The oceanic budgets of nickel and zinc isotopes: The importance of sulfdic environments as illustrated by the Black Sea","type":"article-journal","volume":"374"},"uris":["http://www.mendeley.com/documents/?uuid=5374985e-4110-3893-9a8b-a680fbb0094c"]}],"mendeley":{"formattedCitation":"(Vance et al., 2016)","plainTextFormattedCitation":"(Vance et al., 2016)","previouslyFormattedCitation":"(Vance et al., 2016)"},"properties":{"noteIndex":0},"schema":"https://github.com/citation-style-language/schema/raw/master/csl-citation.json"}</w:instrText>
      </w:r>
      <w:r>
        <w:fldChar w:fldCharType="separate"/>
      </w:r>
      <w:r w:rsidRPr="00541094">
        <w:rPr>
          <w:noProof/>
        </w:rPr>
        <w:t>(Vance et al., 2016)</w:t>
      </w:r>
      <w:r>
        <w:fldChar w:fldCharType="end"/>
      </w:r>
    </w:p>
    <w:p w14:paraId="1202128D" w14:textId="31FB279E" w:rsidR="00236A6B" w:rsidRDefault="00236A6B"/>
    <w:p w14:paraId="0B2BA6B4" w14:textId="24A6F3C0" w:rsidR="00236A6B" w:rsidRDefault="00236A6B"/>
    <w:p w14:paraId="33E1D49B" w14:textId="79A61F90" w:rsidR="00236A6B" w:rsidRDefault="00236A6B"/>
    <w:p w14:paraId="7515CEAC" w14:textId="60A683F5" w:rsidR="00236A6B" w:rsidRDefault="00236A6B"/>
    <w:p w14:paraId="6F21485C" w14:textId="6AE1E303" w:rsidR="00236A6B" w:rsidRDefault="00236A6B"/>
    <w:p w14:paraId="76CED203" w14:textId="775BBAE4" w:rsidR="00236A6B" w:rsidRDefault="00236A6B"/>
    <w:p w14:paraId="30C72F35" w14:textId="77777777" w:rsidR="00236A6B" w:rsidRDefault="00236A6B" w:rsidP="00236A6B">
      <w:pPr>
        <w:spacing w:line="480" w:lineRule="auto"/>
        <w:jc w:val="both"/>
      </w:pPr>
      <w:r>
        <w:rPr>
          <w:noProof/>
        </w:rPr>
        <w:lastRenderedPageBreak/>
        <w:drawing>
          <wp:inline distT="0" distB="0" distL="0" distR="0" wp14:anchorId="6FBAD436" wp14:editId="6D6C1200">
            <wp:extent cx="5943600" cy="3190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14:paraId="646AC956" w14:textId="77777777" w:rsidR="00236A6B" w:rsidRPr="002A4A2C" w:rsidRDefault="00236A6B" w:rsidP="00236A6B">
      <w:pPr>
        <w:spacing w:line="480" w:lineRule="auto"/>
        <w:jc w:val="both"/>
      </w:pPr>
      <w:r w:rsidRPr="002A4A2C">
        <w:rPr>
          <w:b/>
          <w:bCs/>
        </w:rPr>
        <w:t xml:space="preserve">Figure </w:t>
      </w:r>
      <w:r>
        <w:rPr>
          <w:b/>
          <w:bCs/>
        </w:rPr>
        <w:t>6:</w:t>
      </w:r>
      <w:r w:rsidRPr="002A4A2C">
        <w:rPr>
          <w:b/>
          <w:bCs/>
        </w:rPr>
        <w:t xml:space="preserve"> Graphs of the low and high ionic strength experiments performed by Wasylenki et al., 2019. </w:t>
      </w:r>
    </w:p>
    <w:p w14:paraId="4D86EC71" w14:textId="77777777" w:rsidR="009965A4" w:rsidRDefault="009965A4" w:rsidP="009965A4">
      <w:pPr>
        <w:spacing w:line="480" w:lineRule="auto"/>
        <w:ind w:firstLine="720"/>
        <w:jc w:val="both"/>
      </w:pPr>
    </w:p>
    <w:p w14:paraId="4C29899C" w14:textId="77777777" w:rsidR="009965A4" w:rsidRDefault="009965A4" w:rsidP="009965A4">
      <w:pPr>
        <w:spacing w:line="480" w:lineRule="auto"/>
        <w:jc w:val="both"/>
        <w:rPr>
          <w:b/>
          <w:bCs/>
        </w:rPr>
      </w:pPr>
      <w:r w:rsidRPr="00316D3D">
        <w:rPr>
          <w:b/>
          <w:bCs/>
          <w:noProof/>
        </w:rPr>
        <w:lastRenderedPageBreak/>
        <w:drawing>
          <wp:anchor distT="0" distB="0" distL="114300" distR="114300" simplePos="0" relativeHeight="251665408" behindDoc="0" locked="0" layoutInCell="1" allowOverlap="1" wp14:anchorId="6585E330" wp14:editId="5C698C3E">
            <wp:simplePos x="0" y="0"/>
            <wp:positionH relativeFrom="column">
              <wp:posOffset>0</wp:posOffset>
            </wp:positionH>
            <wp:positionV relativeFrom="paragraph">
              <wp:posOffset>-635</wp:posOffset>
            </wp:positionV>
            <wp:extent cx="3545739" cy="35242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4).png"/>
                    <pic:cNvPicPr/>
                  </pic:nvPicPr>
                  <pic:blipFill rotWithShape="1">
                    <a:blip r:embed="rId13">
                      <a:extLst>
                        <a:ext uri="{28A0092B-C50C-407E-A947-70E740481C1C}">
                          <a14:useLocalDpi xmlns:a14="http://schemas.microsoft.com/office/drawing/2010/main" val="0"/>
                        </a:ext>
                      </a:extLst>
                    </a:blip>
                    <a:srcRect l="23718" t="5583" r="23397" b="18114"/>
                    <a:stretch/>
                  </pic:blipFill>
                  <pic:spPr bwMode="auto">
                    <a:xfrm>
                      <a:off x="0" y="0"/>
                      <a:ext cx="3545739" cy="3524250"/>
                    </a:xfrm>
                    <a:prstGeom prst="rect">
                      <a:avLst/>
                    </a:prstGeom>
                    <a:ln>
                      <a:noFill/>
                    </a:ln>
                    <a:extLst>
                      <a:ext uri="{53640926-AAD7-44D8-BBD7-CCE9431645EC}">
                        <a14:shadowObscured xmlns:a14="http://schemas.microsoft.com/office/drawing/2010/main"/>
                      </a:ext>
                    </a:extLst>
                  </pic:spPr>
                </pic:pic>
              </a:graphicData>
            </a:graphic>
          </wp:anchor>
        </w:drawing>
      </w:r>
    </w:p>
    <w:p w14:paraId="7091085A" w14:textId="77777777" w:rsidR="009965A4" w:rsidRDefault="009965A4" w:rsidP="009965A4">
      <w:pPr>
        <w:spacing w:line="480" w:lineRule="auto"/>
        <w:jc w:val="both"/>
      </w:pPr>
      <w:r w:rsidRPr="00316D3D">
        <w:rPr>
          <w:b/>
          <w:bCs/>
        </w:rPr>
        <w:t xml:space="preserve">Figure </w:t>
      </w:r>
      <w:r>
        <w:rPr>
          <w:b/>
          <w:bCs/>
        </w:rPr>
        <w:t>7</w:t>
      </w:r>
      <w:r w:rsidRPr="00316D3D">
        <w:rPr>
          <w:b/>
          <w:bCs/>
        </w:rPr>
        <w:t>: Diagram of the three</w:t>
      </w:r>
      <w:r>
        <w:rPr>
          <w:b/>
          <w:bCs/>
        </w:rPr>
        <w:t>-</w:t>
      </w:r>
      <w:r w:rsidRPr="00316D3D">
        <w:rPr>
          <w:b/>
          <w:bCs/>
        </w:rPr>
        <w:t xml:space="preserve">isotope method. </w:t>
      </w:r>
      <w:r>
        <w:t>The filled in black symbols represent measured values while the empty symbols are extrapolated based on best fit lines. The star represents the isotopic composition of the system. Figure adapted from Lazar et al., 2012.</w:t>
      </w:r>
    </w:p>
    <w:p w14:paraId="06FA4701" w14:textId="77777777" w:rsidR="009965A4" w:rsidRPr="00316D3D" w:rsidRDefault="009965A4" w:rsidP="009965A4">
      <w:pPr>
        <w:spacing w:line="480" w:lineRule="auto"/>
        <w:jc w:val="both"/>
      </w:pPr>
    </w:p>
    <w:p w14:paraId="4A82B0D4" w14:textId="77777777" w:rsidR="009965A4" w:rsidRPr="006D2EA4" w:rsidRDefault="009965A4" w:rsidP="009965A4">
      <w:pPr>
        <w:rPr>
          <w:rFonts w:eastAsiaTheme="minorEastAsia"/>
        </w:rPr>
      </w:pPr>
      <m:oMathPara>
        <m:oMath>
          <m:r>
            <w:rPr>
              <w:rFonts w:ascii="Cambria Math" w:hAnsi="Cambria Math" w:cs="Cambria Math"/>
            </w:rPr>
            <m:t>β</m:t>
          </m:r>
          <m:r>
            <m:rPr>
              <m:sty m:val="p"/>
            </m:rPr>
            <w:rPr>
              <w:rFonts w:ascii="Cambria Math" w:hAnsi="Cambria Math" w:cs="Cambria Math"/>
            </w:rPr>
            <m:t>=</m:t>
          </m:r>
          <m:f>
            <m:fPr>
              <m:ctrlPr>
                <w:rPr>
                  <w:rFonts w:ascii="Cambria Math" w:hAnsi="Cambria Math"/>
                </w:rPr>
              </m:ctrlPr>
            </m:fPr>
            <m:num>
              <m:f>
                <m:fPr>
                  <m:ctrlPr>
                    <w:rPr>
                      <w:rFonts w:ascii="Cambria Math" w:hAnsi="Cambria Math" w:cs="Cambria Math"/>
                    </w:rPr>
                  </m:ctrlPr>
                </m:fPr>
                <m:num>
                  <m:r>
                    <m:rPr>
                      <m:sty m:val="p"/>
                    </m:rPr>
                    <w:rPr>
                      <w:rFonts w:ascii="Cambria Math" w:hAnsi="Cambria Math" w:cs="Cambria Math"/>
                    </w:rPr>
                    <m:t>1</m:t>
                  </m:r>
                </m:num>
                <m:den>
                  <m:r>
                    <m:rPr>
                      <m:sty m:val="p"/>
                    </m:rPr>
                    <w:rPr>
                      <w:rFonts w:ascii="Cambria Math" w:hAnsi="Cambria Math" w:cs="Cambria Math"/>
                    </w:rPr>
                    <w:softHyphen/>
                  </m:r>
                  <m:sSub>
                    <m:sSubPr>
                      <m:ctrlPr>
                        <w:rPr>
                          <w:rFonts w:ascii="Cambria Math" w:hAnsi="Cambria Math" w:cs="Cambria Math"/>
                        </w:rPr>
                      </m:ctrlPr>
                    </m:sSubPr>
                    <m:e>
                      <m:r>
                        <w:rPr>
                          <w:rFonts w:ascii="Cambria Math" w:hAnsi="Cambria Math" w:cs="Cambria Math"/>
                        </w:rPr>
                        <m:t>m</m:t>
                      </m:r>
                    </m:e>
                    <m:sub>
                      <m:r>
                        <w:rPr>
                          <w:rFonts w:ascii="Cambria Math" w:hAnsi="Cambria Math" w:cs="Cambria Math"/>
                        </w:rPr>
                        <m:t>58</m:t>
                      </m:r>
                    </m:sub>
                  </m:sSub>
                </m:den>
              </m:f>
              <m:r>
                <m:rPr>
                  <m:sty m:val="p"/>
                </m:rPr>
                <w:rPr>
                  <w:rFonts w:ascii="Cambria Math" w:hAnsi="Cambria Math" w:cs="Cambria Math"/>
                </w:rPr>
                <w:softHyphen/>
                <m:t>-</m:t>
              </m:r>
              <m:f>
                <m:fPr>
                  <m:ctrlPr>
                    <w:rPr>
                      <w:rFonts w:ascii="Cambria Math" w:hAnsi="Cambria Math" w:cs="Cambria Math"/>
                    </w:rPr>
                  </m:ctrlPr>
                </m:fPr>
                <m:num>
                  <m:r>
                    <m:rPr>
                      <m:sty m:val="p"/>
                    </m:rPr>
                    <w:rPr>
                      <w:rFonts w:ascii="Cambria Math" w:hAnsi="Cambria Math" w:cs="Cambria Math"/>
                    </w:rPr>
                    <m:t>1</m:t>
                  </m:r>
                </m:num>
                <m:den>
                  <m:sSub>
                    <m:sSubPr>
                      <m:ctrlPr>
                        <w:rPr>
                          <w:rFonts w:ascii="Cambria Math" w:hAnsi="Cambria Math" w:cs="Cambria Math"/>
                          <w:i/>
                        </w:rPr>
                      </m:ctrlPr>
                    </m:sSubPr>
                    <m:e>
                      <m:r>
                        <w:rPr>
                          <w:rFonts w:ascii="Cambria Math" w:hAnsi="Cambria Math" w:cs="Cambria Math"/>
                        </w:rPr>
                        <m:t>m</m:t>
                      </m:r>
                    </m:e>
                    <m:sub>
                      <m:r>
                        <w:rPr>
                          <w:rFonts w:ascii="Cambria Math" w:hAnsi="Cambria Math" w:cs="Cambria Math"/>
                        </w:rPr>
                        <m:t>60</m:t>
                      </m:r>
                    </m:sub>
                  </m:sSub>
                </m:den>
              </m:f>
            </m:num>
            <m:den>
              <m:f>
                <m:fPr>
                  <m:ctrlPr>
                    <w:rPr>
                      <w:rFonts w:ascii="Cambria Math" w:hAnsi="Cambria Math" w:cs="Cambria Math"/>
                    </w:rPr>
                  </m:ctrlPr>
                </m:fPr>
                <m:num>
                  <m:r>
                    <m:rPr>
                      <m:sty m:val="p"/>
                    </m:rPr>
                    <w:rPr>
                      <w:rFonts w:ascii="Cambria Math" w:hAnsi="Cambria Math" w:cs="Cambria Math"/>
                    </w:rPr>
                    <m:t>1</m:t>
                  </m:r>
                </m:num>
                <m:den>
                  <m:r>
                    <m:rPr>
                      <m:sty m:val="p"/>
                    </m:rPr>
                    <w:rPr>
                      <w:rFonts w:ascii="Cambria Math" w:hAnsi="Cambria Math" w:cs="Cambria Math"/>
                    </w:rPr>
                    <w:softHyphen/>
                  </m:r>
                  <m:sSub>
                    <m:sSubPr>
                      <m:ctrlPr>
                        <w:rPr>
                          <w:rFonts w:ascii="Cambria Math" w:hAnsi="Cambria Math" w:cs="Cambria Math"/>
                        </w:rPr>
                      </m:ctrlPr>
                    </m:sSubPr>
                    <m:e>
                      <m:r>
                        <w:rPr>
                          <w:rFonts w:ascii="Cambria Math" w:hAnsi="Cambria Math" w:cs="Cambria Math"/>
                        </w:rPr>
                        <m:t>m</m:t>
                      </m:r>
                    </m:e>
                    <m:sub>
                      <m:r>
                        <w:rPr>
                          <w:rFonts w:ascii="Cambria Math" w:hAnsi="Cambria Math" w:cs="Cambria Math"/>
                        </w:rPr>
                        <m:t>58</m:t>
                      </m:r>
                    </m:sub>
                  </m:sSub>
                </m:den>
              </m:f>
              <m:r>
                <m:rPr>
                  <m:sty m:val="p"/>
                </m:rPr>
                <w:rPr>
                  <w:rFonts w:ascii="Cambria Math" w:hAnsi="Cambria Math" w:cs="Cambria Math"/>
                </w:rPr>
                <w:softHyphen/>
                <m:t>-</m:t>
              </m:r>
              <m:f>
                <m:fPr>
                  <m:ctrlPr>
                    <w:rPr>
                      <w:rFonts w:ascii="Cambria Math" w:hAnsi="Cambria Math" w:cs="Cambria Math"/>
                    </w:rPr>
                  </m:ctrlPr>
                </m:fPr>
                <m:num>
                  <m:r>
                    <m:rPr>
                      <m:sty m:val="p"/>
                    </m:rPr>
                    <w:rPr>
                      <w:rFonts w:ascii="Cambria Math" w:hAnsi="Cambria Math" w:cs="Cambria Math"/>
                    </w:rPr>
                    <m:t>1</m:t>
                  </m:r>
                </m:num>
                <m:den>
                  <m:sSub>
                    <m:sSubPr>
                      <m:ctrlPr>
                        <w:rPr>
                          <w:rFonts w:ascii="Cambria Math" w:hAnsi="Cambria Math" w:cs="Cambria Math"/>
                          <w:i/>
                        </w:rPr>
                      </m:ctrlPr>
                    </m:sSubPr>
                    <m:e>
                      <m:r>
                        <w:rPr>
                          <w:rFonts w:ascii="Cambria Math" w:hAnsi="Cambria Math" w:cs="Cambria Math"/>
                        </w:rPr>
                        <m:t>m</m:t>
                      </m:r>
                    </m:e>
                    <m:sub>
                      <m:r>
                        <w:rPr>
                          <w:rFonts w:ascii="Cambria Math" w:hAnsi="Cambria Math" w:cs="Cambria Math"/>
                        </w:rPr>
                        <m:t>62</m:t>
                      </m:r>
                    </m:sub>
                  </m:sSub>
                </m:den>
              </m:f>
            </m:den>
          </m:f>
        </m:oMath>
      </m:oMathPara>
    </w:p>
    <w:p w14:paraId="12C68917" w14:textId="77777777" w:rsidR="009965A4" w:rsidRPr="00B00649" w:rsidRDefault="009965A4" w:rsidP="009965A4">
      <w:pPr>
        <w:spacing w:line="480" w:lineRule="auto"/>
        <w:jc w:val="center"/>
      </w:pPr>
      <w:r>
        <w:t>Equation 3</w:t>
      </w:r>
    </w:p>
    <w:p w14:paraId="151DBC22" w14:textId="2D097121" w:rsidR="00236A6B" w:rsidRDefault="004B655C">
      <w:r w:rsidRPr="004B655C">
        <w:rPr>
          <w:noProof/>
        </w:rPr>
        <w:lastRenderedPageBreak/>
        <w:drawing>
          <wp:inline distT="0" distB="0" distL="0" distR="0" wp14:anchorId="74E70A88" wp14:editId="5E8C094D">
            <wp:extent cx="4012163" cy="4963886"/>
            <wp:effectExtent l="0" t="0" r="7620" b="8255"/>
            <wp:docPr id="5" name="Picture 4">
              <a:extLst xmlns:a="http://schemas.openxmlformats.org/drawingml/2006/main">
                <a:ext uri="{FF2B5EF4-FFF2-40B4-BE49-F238E27FC236}">
                  <a16:creationId xmlns:a16="http://schemas.microsoft.com/office/drawing/2014/main" id="{1D3BE755-533E-4519-A947-22D056B4BF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D3BE755-533E-4519-A947-22D056B4BF36}"/>
                        </a:ext>
                      </a:extLst>
                    </pic:cNvPr>
                    <pic:cNvPicPr>
                      <a:picLocks noChangeAspect="1"/>
                    </pic:cNvPicPr>
                  </pic:nvPicPr>
                  <pic:blipFill rotWithShape="1">
                    <a:blip r:embed="rId14"/>
                    <a:srcRect l="15460" t="17551" r="51632" b="10068"/>
                    <a:stretch/>
                  </pic:blipFill>
                  <pic:spPr>
                    <a:xfrm>
                      <a:off x="0" y="0"/>
                      <a:ext cx="4012163" cy="4963886"/>
                    </a:xfrm>
                    <a:prstGeom prst="rect">
                      <a:avLst/>
                    </a:prstGeom>
                  </pic:spPr>
                </pic:pic>
              </a:graphicData>
            </a:graphic>
          </wp:inline>
        </w:drawing>
      </w:r>
    </w:p>
    <w:p w14:paraId="5E45CA84" w14:textId="7DA53CC0" w:rsidR="004B655C" w:rsidRDefault="004B655C">
      <w:r>
        <w:t>Li et al., 2020 “Surface complexation modeling of divalent metal cation adsorption on birnessite”</w:t>
      </w:r>
    </w:p>
    <w:p w14:paraId="47188A29" w14:textId="5AB3F3DE" w:rsidR="00295F2E" w:rsidRDefault="00295F2E"/>
    <w:sectPr w:rsidR="00295F2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Eva Juliet Baransky" w:date="2021-02-22T15:29:00Z" w:initials="EJB">
    <w:p w14:paraId="4FF65159" w14:textId="696A7109" w:rsidR="00EC2929" w:rsidRDefault="00EC2929">
      <w:pPr>
        <w:pStyle w:val="CommentText"/>
      </w:pPr>
      <w:r>
        <w:rPr>
          <w:rStyle w:val="CommentReference"/>
        </w:rPr>
        <w:annotationRef/>
      </w:r>
      <w:r>
        <w:t>This is basically my “why are Mn oxides important for Ni and how does Ni incorporate paragraph”</w:t>
      </w:r>
    </w:p>
  </w:comment>
  <w:comment w:id="2" w:author="Eva Juliet Baransky" w:date="2021-02-22T15:30:00Z" w:initials="EJB">
    <w:p w14:paraId="337F637A" w14:textId="14291300" w:rsidR="00EC2929" w:rsidRDefault="00EC2929">
      <w:pPr>
        <w:pStyle w:val="CommentText"/>
      </w:pPr>
      <w:r>
        <w:rPr>
          <w:rStyle w:val="CommentReference"/>
        </w:rPr>
        <w:annotationRef/>
      </w:r>
      <w:r>
        <w:t>This should be where I incorporate the isotope weirdness</w:t>
      </w:r>
    </w:p>
  </w:comment>
  <w:comment w:id="3" w:author="Eva Juliet Baransky" w:date="2021-02-23T11:20:00Z" w:initials="EJB">
    <w:p w14:paraId="250AF857" w14:textId="19556308" w:rsidR="00A76FC0" w:rsidRDefault="00A76FC0">
      <w:pPr>
        <w:pStyle w:val="CommentText"/>
      </w:pPr>
      <w:r>
        <w:rPr>
          <w:rStyle w:val="CommentReference"/>
        </w:rPr>
        <w:annotationRef/>
      </w:r>
      <w:r>
        <w:t>I need to check where nodules or crusts are being sampled</w:t>
      </w:r>
    </w:p>
  </w:comment>
  <w:comment w:id="4" w:author="Eva Juliet Baransky" w:date="2021-02-27T11:30:00Z" w:initials="EJB">
    <w:p w14:paraId="6B11F0FC" w14:textId="2A6F534E" w:rsidR="00982EC8" w:rsidRDefault="00982EC8">
      <w:pPr>
        <w:pStyle w:val="CommentText"/>
      </w:pPr>
      <w:r>
        <w:rPr>
          <w:rStyle w:val="CommentReference"/>
        </w:rPr>
        <w:annotationRef/>
      </w:r>
      <w:r>
        <w:t>Not sure if this is high or low ionic strength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F65159" w15:done="0"/>
  <w15:commentEx w15:paraId="337F637A" w15:done="0"/>
  <w15:commentEx w15:paraId="250AF857" w15:done="0"/>
  <w15:commentEx w15:paraId="6B11F0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DE4C5F" w16cex:dateUtc="2021-02-22T22:29:00Z"/>
  <w16cex:commentExtensible w16cex:durableId="23DE4C78" w16cex:dateUtc="2021-02-22T22:30:00Z"/>
  <w16cex:commentExtensible w16cex:durableId="23DF638A" w16cex:dateUtc="2021-02-23T18:20:00Z"/>
  <w16cex:commentExtensible w16cex:durableId="23E4ABEB" w16cex:dateUtc="2021-02-27T18: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F65159" w16cid:durableId="23DE4C5F"/>
  <w16cid:commentId w16cid:paraId="337F637A" w16cid:durableId="23DE4C78"/>
  <w16cid:commentId w16cid:paraId="250AF857" w16cid:durableId="23DF638A"/>
  <w16cid:commentId w16cid:paraId="6B11F0FC" w16cid:durableId="23E4ABE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va Juliet Baransky">
    <w15:presenceInfo w15:providerId="None" w15:userId="Eva Juliet Baransk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575"/>
    <w:rsid w:val="00034F06"/>
    <w:rsid w:val="000700E6"/>
    <w:rsid w:val="00073530"/>
    <w:rsid w:val="00091A3A"/>
    <w:rsid w:val="000B4DAC"/>
    <w:rsid w:val="000E7F2E"/>
    <w:rsid w:val="001305AC"/>
    <w:rsid w:val="001441CA"/>
    <w:rsid w:val="001717B1"/>
    <w:rsid w:val="001D6128"/>
    <w:rsid w:val="00236A6B"/>
    <w:rsid w:val="0027521C"/>
    <w:rsid w:val="00295F2E"/>
    <w:rsid w:val="002D1CEF"/>
    <w:rsid w:val="00405D01"/>
    <w:rsid w:val="004531D9"/>
    <w:rsid w:val="004B1365"/>
    <w:rsid w:val="004B655C"/>
    <w:rsid w:val="004B78EB"/>
    <w:rsid w:val="00594DC7"/>
    <w:rsid w:val="006104A3"/>
    <w:rsid w:val="00664C91"/>
    <w:rsid w:val="00735C89"/>
    <w:rsid w:val="00746814"/>
    <w:rsid w:val="00757532"/>
    <w:rsid w:val="007E4CCD"/>
    <w:rsid w:val="007E5275"/>
    <w:rsid w:val="00805D86"/>
    <w:rsid w:val="008C2563"/>
    <w:rsid w:val="008C6951"/>
    <w:rsid w:val="008E7FD7"/>
    <w:rsid w:val="009252FF"/>
    <w:rsid w:val="00950FE7"/>
    <w:rsid w:val="00982EC8"/>
    <w:rsid w:val="009965A4"/>
    <w:rsid w:val="00A21DBB"/>
    <w:rsid w:val="00A34D08"/>
    <w:rsid w:val="00A44172"/>
    <w:rsid w:val="00A76FC0"/>
    <w:rsid w:val="00AA7CAF"/>
    <w:rsid w:val="00AE1E1C"/>
    <w:rsid w:val="00AF392D"/>
    <w:rsid w:val="00B20092"/>
    <w:rsid w:val="00B842A1"/>
    <w:rsid w:val="00BA3575"/>
    <w:rsid w:val="00BF321A"/>
    <w:rsid w:val="00C12FD2"/>
    <w:rsid w:val="00CA7B39"/>
    <w:rsid w:val="00CB389F"/>
    <w:rsid w:val="00D21288"/>
    <w:rsid w:val="00D22551"/>
    <w:rsid w:val="00D31927"/>
    <w:rsid w:val="00D47B46"/>
    <w:rsid w:val="00DA6852"/>
    <w:rsid w:val="00DC5F5B"/>
    <w:rsid w:val="00E40040"/>
    <w:rsid w:val="00E648D1"/>
    <w:rsid w:val="00EC2929"/>
    <w:rsid w:val="00F35E43"/>
    <w:rsid w:val="00F91065"/>
    <w:rsid w:val="00F9141A"/>
    <w:rsid w:val="00FA7967"/>
    <w:rsid w:val="00FF0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F8824"/>
  <w15:chartTrackingRefBased/>
  <w15:docId w15:val="{C5C631C8-EC91-472D-93C8-EFFE3DB29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21C"/>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521C"/>
    <w:pPr>
      <w:spacing w:after="0" w:line="240" w:lineRule="auto"/>
    </w:pPr>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27521C"/>
    <w:rPr>
      <w:rFonts w:ascii="Segoe UI" w:hAnsi="Segoe UI" w:cs="Segoe UI"/>
      <w:sz w:val="18"/>
      <w:szCs w:val="18"/>
    </w:rPr>
  </w:style>
  <w:style w:type="character" w:styleId="CommentReference">
    <w:name w:val="annotation reference"/>
    <w:basedOn w:val="DefaultParagraphFont"/>
    <w:uiPriority w:val="99"/>
    <w:semiHidden/>
    <w:unhideWhenUsed/>
    <w:rsid w:val="0027521C"/>
    <w:rPr>
      <w:sz w:val="16"/>
      <w:szCs w:val="16"/>
    </w:rPr>
  </w:style>
  <w:style w:type="paragraph" w:styleId="CommentText">
    <w:name w:val="annotation text"/>
    <w:basedOn w:val="Normal"/>
    <w:link w:val="CommentTextChar"/>
    <w:uiPriority w:val="99"/>
    <w:semiHidden/>
    <w:unhideWhenUsed/>
    <w:rsid w:val="0027521C"/>
    <w:pPr>
      <w:spacing w:line="240" w:lineRule="auto"/>
    </w:pPr>
    <w:rPr>
      <w:sz w:val="20"/>
      <w:szCs w:val="20"/>
    </w:rPr>
  </w:style>
  <w:style w:type="character" w:customStyle="1" w:styleId="CommentTextChar">
    <w:name w:val="Comment Text Char"/>
    <w:basedOn w:val="DefaultParagraphFont"/>
    <w:link w:val="CommentText"/>
    <w:uiPriority w:val="99"/>
    <w:semiHidden/>
    <w:rsid w:val="0027521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C2929"/>
    <w:rPr>
      <w:b/>
      <w:bCs/>
    </w:rPr>
  </w:style>
  <w:style w:type="character" w:customStyle="1" w:styleId="CommentSubjectChar">
    <w:name w:val="Comment Subject Char"/>
    <w:basedOn w:val="CommentTextChar"/>
    <w:link w:val="CommentSubject"/>
    <w:uiPriority w:val="99"/>
    <w:semiHidden/>
    <w:rsid w:val="00EC2929"/>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67763B-A4E8-42EA-B02C-15F229989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TotalTime>
  <Pages>6</Pages>
  <Words>10818</Words>
  <Characters>61665</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 Juliet Baransky</dc:creator>
  <cp:keywords/>
  <dc:description/>
  <cp:lastModifiedBy>Eva Juliet Baransky</cp:lastModifiedBy>
  <cp:revision>35</cp:revision>
  <dcterms:created xsi:type="dcterms:W3CDTF">2021-02-22T21:03:00Z</dcterms:created>
  <dcterms:modified xsi:type="dcterms:W3CDTF">2021-07-27T20:47:00Z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http://www.zotero.org/styles/earth-and-planetary-science-letters</vt:lpwstr>
  </property>
  <property fmtid="{D5CDD505-2E9C-101B-9397-08002B2CF9AE}" pid="13" name="Mendeley Recent Style Name 5_1">
    <vt:lpwstr>Earth and Planetary Science Letters</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7ea801a9-11a5-3b88-b402-872f43c25890</vt:lpwstr>
  </property>
  <property fmtid="{D5CDD505-2E9C-101B-9397-08002B2CF9AE}" pid="24" name="Mendeley Citation Style_1">
    <vt:lpwstr>http://www.zotero.org/styles/earth-and-planetary-science-letters</vt:lpwstr>
  </property>
</Properties>
</file>