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38115" w14:textId="378B37B9" w:rsidR="00B37309" w:rsidRDefault="00B37309" w:rsidP="00B37309">
      <w:pPr>
        <w:spacing w:after="0"/>
        <w:jc w:val="both"/>
        <w:textAlignment w:val="baseline"/>
      </w:pPr>
      <w:r>
        <w:t>General information</w:t>
      </w:r>
    </w:p>
    <w:p w14:paraId="7FE67F1C" w14:textId="78A30AD8" w:rsidR="0032657D" w:rsidRDefault="00B37309" w:rsidP="00B37309">
      <w:pPr>
        <w:spacing w:after="0"/>
        <w:ind w:firstLine="720"/>
        <w:jc w:val="both"/>
        <w:textAlignment w:val="baseline"/>
      </w:pPr>
      <w:proofErr w:type="gramStart"/>
      <w:r>
        <w:t>Similar to</w:t>
      </w:r>
      <w:proofErr w:type="gramEnd"/>
      <w:r>
        <w:t xml:space="preserve"> the </w:t>
      </w:r>
      <w:r w:rsidR="001A1B89">
        <w:t>Despite Ni’s biological importance, the</w:t>
      </w:r>
      <w:r>
        <w:t xml:space="preserve">re is an isotope mass imbalance as well. </w:t>
      </w:r>
      <w:r w:rsidR="002D5F07">
        <w:t>T</w:t>
      </w:r>
      <w:commentRangeStart w:id="0"/>
      <w:r w:rsidR="002164CC">
        <w:t xml:space="preserve">he sinks are isotopically heavier than the sources. </w:t>
      </w:r>
      <w:commentRangeEnd w:id="0"/>
      <w:r w:rsidR="00066E75">
        <w:rPr>
          <w:rStyle w:val="CommentReference"/>
        </w:rPr>
        <w:commentReference w:id="0"/>
      </w:r>
      <w:r w:rsidR="005934BB">
        <w:t>The combination of these imbalances point</w:t>
      </w:r>
      <w:r w:rsidR="00A10C52">
        <w:t>s</w:t>
      </w:r>
      <w:r w:rsidR="005934BB">
        <w:t xml:space="preserve"> to</w:t>
      </w:r>
      <w:r w:rsidR="0032657D">
        <w:t xml:space="preserve"> a significant missing component (or components) rather than simply incorrect flux and isotopic estimations and measurements. A</w:t>
      </w:r>
      <w:r w:rsidR="00C82F10">
        <w:t xml:space="preserve"> r</w:t>
      </w:r>
      <w:r w:rsidR="001A1B89">
        <w:t>ecent stud</w:t>
      </w:r>
      <w:r w:rsidR="00C82F10">
        <w:t xml:space="preserve">y </w:t>
      </w:r>
      <w:r w:rsidR="003A1C97">
        <w:t xml:space="preserve">propose a </w:t>
      </w:r>
      <w:r w:rsidR="001A1B89">
        <w:t>solution</w:t>
      </w:r>
      <w:r w:rsidR="00D44C2F">
        <w:t xml:space="preserve"> </w:t>
      </w:r>
      <w:r w:rsidR="00D44C2F">
        <w:fldChar w:fldCharType="begin" w:fldLock="1"/>
      </w:r>
      <w:r w:rsidR="00FE0AD6">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2020)","previouslyFormattedCitation":"(S. Little et al., 2020)"},"properties":{"noteIndex":0},"schema":"https://github.com/citation-style-language/schema/raw/master/csl-citation.json"}</w:instrText>
      </w:r>
      <w:r w:rsidR="00D44C2F">
        <w:fldChar w:fldCharType="separate"/>
      </w:r>
      <w:r w:rsidR="00FE0AD6" w:rsidRPr="00FE0AD6">
        <w:rPr>
          <w:noProof/>
        </w:rPr>
        <w:t>(Little et al., 2020)</w:t>
      </w:r>
      <w:r w:rsidR="00D44C2F">
        <w:fldChar w:fldCharType="end"/>
      </w:r>
      <w:r w:rsidR="00C82F10">
        <w:t>,</w:t>
      </w:r>
      <w:r w:rsidR="0032657D">
        <w:t xml:space="preserve"> but</w:t>
      </w:r>
      <w:r w:rsidR="00C82F10">
        <w:t xml:space="preserve"> </w:t>
      </w:r>
      <w:r w:rsidR="0032657D">
        <w:t xml:space="preserve">further work is clearly </w:t>
      </w:r>
      <w:r w:rsidR="0087091F">
        <w:t>necessary</w:t>
      </w:r>
      <w:r w:rsidR="0032657D">
        <w:t xml:space="preserve">. Once the modern marine Ni budget is balanced, we will have identified the key modern controls of marine Ni cycling and this will enable robust modelling of the marine Ni cycle, and the subsequent affects, over time. </w:t>
      </w:r>
    </w:p>
    <w:p w14:paraId="676FA7B6" w14:textId="5EA70546" w:rsidR="002D5F07" w:rsidRPr="007B7C1C" w:rsidRDefault="002D5F07" w:rsidP="002D5F07">
      <w:pPr>
        <w:spacing w:after="0"/>
        <w:jc w:val="both"/>
        <w:textAlignment w:val="baseline"/>
        <w:rPr>
          <w:b/>
          <w:bCs/>
        </w:rPr>
      </w:pPr>
      <w:r w:rsidRPr="007B7C1C">
        <w:rPr>
          <w:b/>
          <w:bCs/>
        </w:rPr>
        <w:t>Inputs</w:t>
      </w:r>
    </w:p>
    <w:p w14:paraId="733822A6" w14:textId="5DAF72B2" w:rsidR="00A7597F" w:rsidRDefault="00A7597F" w:rsidP="00415B1F">
      <w:pPr>
        <w:spacing w:after="0"/>
        <w:ind w:firstLine="720"/>
        <w:jc w:val="both"/>
        <w:textAlignment w:val="baseline"/>
      </w:pPr>
      <w:proofErr w:type="gramStart"/>
      <w:r>
        <w:t>The majority of</w:t>
      </w:r>
      <w:proofErr w:type="gramEnd"/>
      <w:r>
        <w:t xml:space="preserve"> sources have an isotopically lighter composition than oceans (1.44).</w:t>
      </w:r>
      <w:r w:rsidR="005A1863">
        <w:t xml:space="preserve"> Dust, which we assume to share the isotopic composition of the continental crust, has a limited isotopic composition, from -0.1 to +0.2‰ </w:t>
      </w:r>
      <w:r w:rsidR="005A1863">
        <w:fldChar w:fldCharType="begin" w:fldLock="1"/>
      </w:r>
      <w:r w:rsidR="005A1863">
        <w:instrText>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MC-ICPMS","type":"paper-conference","volume":"27"},"uris":["http://www.mendeley.com/documents/?uuid=64bde472-9d3b-33db-942d-918311d0c565"]}],"mendeley":{"formattedCitation":"(Cameron et al., 2009; Gall et al., 2012; Gueguen et al., 2013)","plainTextFormattedCitation":"(Cameron et al., 2009; Gall et al., 2012; Gueguen et al., 2013)","previouslyFormattedCitation":"(Cameron et al., 2009; Gall et al., 2012; Gueguen et al., 2013)"},"properties":{"noteIndex":0},"schema":"https://github.com/citation-style-language/schema/raw/master/csl-citation.json"}</w:instrText>
      </w:r>
      <w:r w:rsidR="005A1863">
        <w:fldChar w:fldCharType="separate"/>
      </w:r>
      <w:r w:rsidR="005A1863" w:rsidRPr="00621DF7">
        <w:rPr>
          <w:noProof/>
        </w:rPr>
        <w:t>(Cameron et al., 2009; Gall et al., 2012; Gueguen et al., 2013)</w:t>
      </w:r>
      <w:r w:rsidR="005A1863">
        <w:fldChar w:fldCharType="end"/>
      </w:r>
      <w:r w:rsidR="005A1863">
        <w:t xml:space="preserve">. The dissolved load of rivers is isotopically varied, from </w:t>
      </w:r>
      <w:r w:rsidR="005A1863" w:rsidRPr="004C7D64">
        <w:t>+0.29 to +1.3</w:t>
      </w:r>
      <w:r w:rsidR="005A1863">
        <w:t xml:space="preserve">8‰, with an abundance weighted isotopic composition of </w:t>
      </w:r>
      <w:commentRangeStart w:id="1"/>
      <w:r w:rsidR="005A1863">
        <w:t xml:space="preserve">+0.9‰ </w:t>
      </w:r>
      <w:commentRangeEnd w:id="1"/>
      <w:r w:rsidR="00980381">
        <w:rPr>
          <w:rStyle w:val="CommentReference"/>
        </w:rPr>
        <w:commentReference w:id="1"/>
      </w:r>
      <w:r w:rsidR="005A1863">
        <w:fldChar w:fldCharType="begin" w:fldLock="1"/>
      </w:r>
      <w:r w:rsidR="005A1863">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5A1863">
        <w:fldChar w:fldCharType="separate"/>
      </w:r>
      <w:r w:rsidR="005A1863" w:rsidRPr="00621DF7">
        <w:rPr>
          <w:noProof/>
        </w:rPr>
        <w:t>(Cameron and Vance, 2014; Revels et al., 2021)</w:t>
      </w:r>
      <w:r w:rsidR="005A1863">
        <w:fldChar w:fldCharType="end"/>
      </w:r>
      <w:r w:rsidR="005A1863">
        <w:t xml:space="preserve">. </w:t>
      </w:r>
      <w:r w:rsidR="00B5598B">
        <w:t>The riverine particulate load is</w:t>
      </w:r>
      <w:r w:rsidR="00C35206">
        <w:t xml:space="preserve"> similar to continental curst and</w:t>
      </w:r>
      <w:r w:rsidR="00B5598B">
        <w:t xml:space="preserve"> isotopically light compared to the dissolved </w:t>
      </w:r>
      <w:r w:rsidR="00B5598B">
        <w:fldChar w:fldCharType="begin" w:fldLock="1"/>
      </w:r>
      <w:r w:rsidR="00B5598B">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rsidR="00B5598B">
        <w:fldChar w:fldCharType="separate"/>
      </w:r>
      <w:r w:rsidR="00B5598B" w:rsidRPr="00621DF7">
        <w:rPr>
          <w:noProof/>
        </w:rPr>
        <w:t>(Revels et al., 2021)</w:t>
      </w:r>
      <w:r w:rsidR="00B5598B">
        <w:fldChar w:fldCharType="end"/>
      </w:r>
      <w:r w:rsidR="00B5598B">
        <w:t>.</w:t>
      </w:r>
      <w:r w:rsidR="00C35206">
        <w:t xml:space="preserve"> </w:t>
      </w:r>
      <w:r w:rsidR="00B5598B">
        <w:t>The difference in isotopic composition of rivers and continental crust (</w:t>
      </w:r>
      <w:r w:rsidR="00B5598B" w:rsidRPr="00B5598B">
        <w:rPr>
          <w:i/>
          <w:iCs/>
        </w:rPr>
        <w:t xml:space="preserve">i.e., </w:t>
      </w:r>
      <w:r w:rsidR="00B5598B">
        <w:t>the ultimate source of Ni to rivers)</w:t>
      </w:r>
      <w:r w:rsidR="007B3FB5">
        <w:t>,</w:t>
      </w:r>
      <w:r w:rsidR="00B5598B">
        <w:t xml:space="preserve"> </w:t>
      </w:r>
      <w:r w:rsidR="00C35206">
        <w:t>and potentially the dissolved versus particulate load of rivers</w:t>
      </w:r>
      <w:r w:rsidR="007B3FB5">
        <w:t>,</w:t>
      </w:r>
      <w:r w:rsidR="00C35206">
        <w:t xml:space="preserve"> </w:t>
      </w:r>
      <w:r w:rsidR="00B5598B">
        <w:t xml:space="preserve">can be explained by the formation of </w:t>
      </w:r>
      <w:r w:rsidR="00F50ADE" w:rsidRPr="00F50ADE">
        <w:t>Fe-oxyhydroxides</w:t>
      </w:r>
      <w:r w:rsidR="00B5598B">
        <w:t xml:space="preserve">, a secondary weathering product of </w:t>
      </w:r>
      <w:proofErr w:type="spellStart"/>
      <w:r w:rsidR="00B5598B">
        <w:t>ultra mafic</w:t>
      </w:r>
      <w:proofErr w:type="spellEnd"/>
      <w:r w:rsidR="00B5598B">
        <w:t xml:space="preserve"> to mafic rocks which host the majority of the crust’s Ni </w:t>
      </w:r>
      <w:r w:rsidR="00B5598B">
        <w:fldChar w:fldCharType="begin" w:fldLock="1"/>
      </w:r>
      <w:r w:rsidR="00F847D5">
        <w:instrText>ADDIN CSL_CITATION {"citationItems":[{"id":"ITEM-1","itemData":{"DOI":"10.1016/j.chemgeo.2017.11.028","ISSN":"00092541","abstract":"Recent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Geology","id":"ITEM-1","issued":{"date-parts":[["2018","1","5"]]},"page":"316-326","publisher":"Elsevier B.V.","title":"Nickel isotope fractionation during continental weathering","type":"article-journal","volume":"476"},"uris":["http://www.mendeley.com/documents/?uuid=b5d27a96-f04e-3941-8e8a-bc0507698b7c"]}],"mendeley":{"formattedCitation":"(Spivak-Birndorf et al., 2018)","plainTextFormattedCitation":"(Spivak-Birndorf et al., 2018)","previouslyFormattedCitation":"(Spivak-Birndorf et al., 2018)"},"properties":{"noteIndex":0},"schema":"https://github.com/citation-style-language/schema/raw/master/csl-citation.json"}</w:instrText>
      </w:r>
      <w:r w:rsidR="00B5598B">
        <w:fldChar w:fldCharType="separate"/>
      </w:r>
      <w:r w:rsidR="00B5598B" w:rsidRPr="00B5598B">
        <w:rPr>
          <w:noProof/>
        </w:rPr>
        <w:t>(Spivak-Birndorf et al., 2018)</w:t>
      </w:r>
      <w:r w:rsidR="00B5598B">
        <w:fldChar w:fldCharType="end"/>
      </w:r>
      <w:r w:rsidR="00B5598B">
        <w:t>. Experiments and natural observations indicate that iron oxides sorb isotopically light Ni (</w:t>
      </w:r>
      <w:r w:rsidR="00B5598B" w:rsidRPr="000D4903">
        <w:t>Δ</w:t>
      </w:r>
      <w:r w:rsidR="00B5598B" w:rsidRPr="000D4903">
        <w:rPr>
          <w:vertAlign w:val="superscript"/>
        </w:rPr>
        <w:t>60/58</w:t>
      </w:r>
      <w:r w:rsidR="00B5598B" w:rsidRPr="000D4903">
        <w:t>Ni</w:t>
      </w:r>
      <w:r w:rsidR="00B5598B" w:rsidRPr="000D4903">
        <w:rPr>
          <w:vertAlign w:val="subscript"/>
        </w:rPr>
        <w:t>dissolved-</w:t>
      </w:r>
      <w:r w:rsidR="00740A48">
        <w:rPr>
          <w:vertAlign w:val="subscript"/>
        </w:rPr>
        <w:t xml:space="preserve">ferrihydrite </w:t>
      </w:r>
      <w:r w:rsidR="00B5598B" w:rsidRPr="000D4903">
        <w:t>=</w:t>
      </w:r>
      <w:r w:rsidR="00B5598B">
        <w:t xml:space="preserve"> </w:t>
      </w:r>
      <w:r w:rsidR="00B5598B" w:rsidRPr="000D4903">
        <w:t>+0.35 ± 0.</w:t>
      </w:r>
      <w:r w:rsidR="00F847D5">
        <w:t>2</w:t>
      </w:r>
      <w:r w:rsidR="00B5598B" w:rsidRPr="000D4903">
        <w:t>0‰</w:t>
      </w:r>
      <w:r w:rsidR="00F847D5">
        <w:t xml:space="preserve"> 2sd </w:t>
      </w:r>
      <w:r w:rsidR="00F847D5">
        <w:fldChar w:fldCharType="begin" w:fldLock="1"/>
      </w:r>
      <w:r w:rsidR="00F847D5">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formations","type":"article-journal"},"uris":["http://www.mendeley.com/documents/?uuid=29817252-c301-3d5d-a5fd-676fd31f1cca"]}],"mendeley":{"formattedCitation":"(Wasylenki et al., 2015)","plainTextFormattedCitation":"(Wasylenki et al., 2015)","previouslyFormattedCitation":"(Wasylenki et al., 2015)"},"properties":{"noteIndex":0},"schema":"https://github.com/citation-style-language/schema/raw/master/csl-citation.json"}</w:instrText>
      </w:r>
      <w:r w:rsidR="00F847D5">
        <w:fldChar w:fldCharType="separate"/>
      </w:r>
      <w:r w:rsidR="00F847D5" w:rsidRPr="00F847D5">
        <w:rPr>
          <w:noProof/>
        </w:rPr>
        <w:t>(Wasylenki et al., 2015)</w:t>
      </w:r>
      <w:r w:rsidR="00F847D5">
        <w:fldChar w:fldCharType="end"/>
      </w:r>
      <w:r w:rsidR="00F847D5">
        <w:t xml:space="preserve"> and</w:t>
      </w:r>
      <w:r w:rsidR="00000574">
        <w:t xml:space="preserve"> </w:t>
      </w:r>
      <w:r w:rsidR="00000574" w:rsidRPr="000D4903">
        <w:t>Δ</w:t>
      </w:r>
      <w:r w:rsidR="00000574" w:rsidRPr="000D4903">
        <w:rPr>
          <w:vertAlign w:val="superscript"/>
        </w:rPr>
        <w:t>60/58</w:t>
      </w:r>
      <w:r w:rsidR="00000574" w:rsidRPr="000D4903">
        <w:t>Ni</w:t>
      </w:r>
      <w:r w:rsidR="00000574" w:rsidRPr="000D4903">
        <w:rPr>
          <w:vertAlign w:val="subscript"/>
        </w:rPr>
        <w:t>dissolved-</w:t>
      </w:r>
      <w:r w:rsidR="00F847D5">
        <w:rPr>
          <w:vertAlign w:val="subscript"/>
        </w:rPr>
        <w:t>goethite</w:t>
      </w:r>
      <w:r w:rsidR="00000574">
        <w:rPr>
          <w:vertAlign w:val="subscript"/>
        </w:rPr>
        <w:t xml:space="preserve"> </w:t>
      </w:r>
      <w:r w:rsidR="00000574" w:rsidRPr="000D4903">
        <w:t>=</w:t>
      </w:r>
      <w:r w:rsidR="00000574">
        <w:t xml:space="preserve"> </w:t>
      </w:r>
      <w:r w:rsidR="00000574" w:rsidRPr="000D4903">
        <w:t>+0.</w:t>
      </w:r>
      <w:r w:rsidR="00000574">
        <w:t>77</w:t>
      </w:r>
      <w:r w:rsidR="00000574" w:rsidRPr="000D4903">
        <w:t xml:space="preserve"> ± 0.</w:t>
      </w:r>
      <w:r w:rsidR="00F847D5">
        <w:t>23</w:t>
      </w:r>
      <w:r w:rsidR="00000574" w:rsidRPr="000D4903">
        <w:t>‰</w:t>
      </w:r>
      <w:r w:rsidR="00F847D5">
        <w:t xml:space="preserve"> 2sd </w:t>
      </w:r>
      <w:r w:rsidR="00F847D5">
        <w:fldChar w:fldCharType="begin" w:fldLock="1"/>
      </w:r>
      <w:r w:rsidR="00150B4B">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rsidR="00F847D5">
        <w:fldChar w:fldCharType="separate"/>
      </w:r>
      <w:r w:rsidR="00F847D5" w:rsidRPr="00F847D5">
        <w:rPr>
          <w:noProof/>
        </w:rPr>
        <w:t>(Gueguen et al., 2018)</w:t>
      </w:r>
      <w:r w:rsidR="00F847D5">
        <w:fldChar w:fldCharType="end"/>
      </w:r>
      <w:r w:rsidR="00B5598B">
        <w:t>)</w:t>
      </w:r>
      <w:r w:rsidR="000B6559">
        <w:t xml:space="preserve"> which agrees well with the offset between rivers and continents</w:t>
      </w:r>
      <w:r w:rsidR="00B5598B">
        <w:t xml:space="preserve">. </w:t>
      </w:r>
      <w:r w:rsidR="00834A05">
        <w:t xml:space="preserve">As mentioned, a single study proposed that Mn redox cycling provides a significant input of Ni, and is hypothesized to have an isotopic composition of </w:t>
      </w:r>
      <w:r w:rsidR="00150B4B">
        <w:t xml:space="preserve">+3‰ (calculated from a monte </w:t>
      </w:r>
      <w:proofErr w:type="spellStart"/>
      <w:r w:rsidR="00150B4B">
        <w:t>carlo</w:t>
      </w:r>
      <w:proofErr w:type="spellEnd"/>
      <w:r w:rsidR="00150B4B">
        <w:t xml:space="preserve"> simulation of the Ni marine budget</w:t>
      </w:r>
      <w:r w:rsidR="009413ED">
        <w:t xml:space="preserve"> and qualitatively from sediments they </w:t>
      </w:r>
      <w:commentRangeStart w:id="2"/>
      <w:r w:rsidR="009413ED">
        <w:t>presumed</w:t>
      </w:r>
      <w:commentRangeEnd w:id="2"/>
      <w:r w:rsidR="009413ED">
        <w:rPr>
          <w:rStyle w:val="CommentReference"/>
        </w:rPr>
        <w:commentReference w:id="2"/>
      </w:r>
      <w:r w:rsidR="009413ED">
        <w:t xml:space="preserve"> to have undergone the redox cycling process</w:t>
      </w:r>
      <w:r w:rsidR="00150B4B">
        <w:t xml:space="preserve">) </w:t>
      </w:r>
      <w:r w:rsidR="00150B4B">
        <w:fldChar w:fldCharType="begin" w:fldLock="1"/>
      </w:r>
      <w:r w:rsidR="00FE0AD6">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2020)","previouslyFormattedCitation":"(S. Little et al., 2020)"},"properties":{"noteIndex":0},"schema":"https://github.com/citation-style-language/schema/raw/master/csl-citation.json"}</w:instrText>
      </w:r>
      <w:r w:rsidR="00150B4B">
        <w:fldChar w:fldCharType="separate"/>
      </w:r>
      <w:r w:rsidR="00FE0AD6" w:rsidRPr="00FE0AD6">
        <w:rPr>
          <w:noProof/>
        </w:rPr>
        <w:t>(Little et al., 2020)</w:t>
      </w:r>
      <w:r w:rsidR="00150B4B">
        <w:fldChar w:fldCharType="end"/>
      </w:r>
      <w:r w:rsidR="00150B4B">
        <w:t>.</w:t>
      </w:r>
      <w:r w:rsidR="00F56A05">
        <w:t xml:space="preserve"> In summary, </w:t>
      </w:r>
      <w:proofErr w:type="gramStart"/>
      <w:r w:rsidR="00F56A05">
        <w:t>the majority of</w:t>
      </w:r>
      <w:proofErr w:type="gramEnd"/>
      <w:r w:rsidR="00F56A05">
        <w:t xml:space="preserve"> sources’ Ni isotopic compositions are restricted to a range of -0.1 to 1.38‰ which are generally lighter than seawater (ca. 1.3 to 1.7‰). </w:t>
      </w:r>
    </w:p>
    <w:p w14:paraId="539E5C02" w14:textId="77777777" w:rsidR="007B7C1C" w:rsidRPr="007B7C1C" w:rsidRDefault="00A7597F" w:rsidP="007B7C1C">
      <w:pPr>
        <w:spacing w:after="0"/>
        <w:jc w:val="both"/>
        <w:textAlignment w:val="baseline"/>
        <w:rPr>
          <w:b/>
          <w:bCs/>
        </w:rPr>
      </w:pPr>
      <w:r w:rsidRPr="007B7C1C">
        <w:rPr>
          <w:b/>
          <w:bCs/>
        </w:rPr>
        <w:t>Oceans</w:t>
      </w:r>
    </w:p>
    <w:p w14:paraId="4AADC815" w14:textId="58A6B47E" w:rsidR="00A7597F" w:rsidRDefault="00A7597F" w:rsidP="002D5F07">
      <w:pPr>
        <w:spacing w:after="0"/>
        <w:jc w:val="both"/>
        <w:textAlignment w:val="baseline"/>
      </w:pPr>
      <w:r>
        <w:t xml:space="preserve"> </w:t>
      </w:r>
      <w:commentRangeStart w:id="3"/>
      <w:r w:rsidR="007B7C1C">
        <w:t>The deep ocean is globally homogenous</w:t>
      </w:r>
      <w:commentRangeEnd w:id="3"/>
      <w:r w:rsidR="007B7C1C">
        <w:rPr>
          <w:rStyle w:val="CommentReference"/>
        </w:rPr>
        <w:commentReference w:id="3"/>
      </w:r>
      <w:r w:rsidR="007B7C1C">
        <w:t xml:space="preserve">, with an isotopic composition around 1.3‰ </w:t>
      </w:r>
      <w:r w:rsidR="007B7C1C">
        <w:fldChar w:fldCharType="begin" w:fldLock="1"/>
      </w:r>
      <w:r w:rsidR="007B7C1C">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rsidR="007B7C1C">
        <w:fldChar w:fldCharType="separate"/>
      </w:r>
      <w:r w:rsidR="007B7C1C" w:rsidRPr="00621DF7">
        <w:rPr>
          <w:noProof/>
        </w:rPr>
        <w:t>(Archer et al., 2020; Takano et al., 2017; Yang et al., 2020)</w:t>
      </w:r>
      <w:r w:rsidR="007B7C1C">
        <w:fldChar w:fldCharType="end"/>
      </w:r>
      <w:r w:rsidR="007B7C1C">
        <w:t xml:space="preserve"> while the surface ocean varies. The South Pacific </w:t>
      </w:r>
      <w:r w:rsidR="007B7C1C">
        <w:fldChar w:fldCharType="begin" w:fldLock="1"/>
      </w:r>
      <w:r w:rsidR="007B7C1C">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7B7C1C">
        <w:fldChar w:fldCharType="separate"/>
      </w:r>
      <w:r w:rsidR="007B7C1C" w:rsidRPr="00621DF7">
        <w:rPr>
          <w:noProof/>
        </w:rPr>
        <w:t>(Takano et al., 2017)</w:t>
      </w:r>
      <w:r w:rsidR="007B7C1C">
        <w:fldChar w:fldCharType="end"/>
      </w:r>
      <w:r w:rsidR="007B7C1C">
        <w:t xml:space="preserve">, North Pacific </w:t>
      </w:r>
      <w:r w:rsidR="007B7C1C">
        <w:fldChar w:fldCharType="begin" w:fldLock="1"/>
      </w:r>
      <w:r w:rsidR="007B7C1C">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7B7C1C">
        <w:fldChar w:fldCharType="separate"/>
      </w:r>
      <w:r w:rsidR="007B7C1C" w:rsidRPr="00621DF7">
        <w:rPr>
          <w:noProof/>
        </w:rPr>
        <w:t>(Yang et al., 2020)</w:t>
      </w:r>
      <w:r w:rsidR="007B7C1C">
        <w:fldChar w:fldCharType="end"/>
      </w:r>
      <w:r w:rsidR="007B7C1C">
        <w:t xml:space="preserve">,  and South Atlantic </w:t>
      </w:r>
      <w:r w:rsidR="007B7C1C">
        <w:fldChar w:fldCharType="begin" w:fldLock="1"/>
      </w:r>
      <w:r w:rsidR="007B7C1C">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7B7C1C">
        <w:fldChar w:fldCharType="separate"/>
      </w:r>
      <w:r w:rsidR="007B7C1C" w:rsidRPr="00621DF7">
        <w:rPr>
          <w:noProof/>
        </w:rPr>
        <w:t>(Archer et al., 2020)</w:t>
      </w:r>
      <w:r w:rsidR="007B7C1C">
        <w:fldChar w:fldCharType="end"/>
      </w:r>
      <w:r w:rsidR="007B7C1C">
        <w:t xml:space="preserve"> all show significant trends towards isotopically heavy values in the surface waters, up to 1.78‰, which are coupled with surface [Ni] depletions down to ca. 2 </w:t>
      </w:r>
      <w:proofErr w:type="spellStart"/>
      <w:r w:rsidR="007B7C1C">
        <w:t>nM.</w:t>
      </w:r>
      <w:proofErr w:type="spellEnd"/>
      <w:r w:rsidR="007B7C1C">
        <w:t xml:space="preserve"> On the other hand, the Indian sector of the Southern Ocean, which also displays a less pronounced, but similarly systematic surface [Ni] depletion, shows no isotopic enrichment in the heavier isotopes in surface waters </w:t>
      </w:r>
      <w:r w:rsidR="007B7C1C">
        <w:fldChar w:fldCharType="begin" w:fldLock="1"/>
      </w:r>
      <w:r w:rsidR="007B7C1C">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rsidR="007B7C1C">
        <w:fldChar w:fldCharType="separate"/>
      </w:r>
      <w:r w:rsidR="007B7C1C" w:rsidRPr="00621DF7">
        <w:rPr>
          <w:noProof/>
        </w:rPr>
        <w:t>(Wang et al., 2019)</w:t>
      </w:r>
      <w:r w:rsidR="007B7C1C">
        <w:fldChar w:fldCharType="end"/>
      </w:r>
      <w:r w:rsidR="007B7C1C">
        <w:t>. This discrepancy may be due to regional biology; Archer et al.</w:t>
      </w:r>
      <w:r w:rsidR="00E62BD2">
        <w:t xml:space="preserve"> (2020)</w:t>
      </w:r>
      <w:r w:rsidR="007B7C1C">
        <w:t xml:space="preserve">, hypothesize that the differing dominating species, cyanobacteria or diatoms, between south (diatom dominated) and north (cyanobacteria dominated) of the polar front results in the differing surface water isotopic compositions </w:t>
      </w:r>
      <w:r w:rsidR="007B7C1C">
        <w:fldChar w:fldCharType="begin" w:fldLock="1"/>
      </w:r>
      <w:r w:rsidR="007B7C1C">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7B7C1C">
        <w:fldChar w:fldCharType="separate"/>
      </w:r>
      <w:r w:rsidR="007B7C1C" w:rsidRPr="00621DF7">
        <w:rPr>
          <w:noProof/>
        </w:rPr>
        <w:t>(Archer et al., 2020)</w:t>
      </w:r>
      <w:r w:rsidR="007B7C1C">
        <w:fldChar w:fldCharType="end"/>
      </w:r>
      <w:r w:rsidR="007B7C1C">
        <w:t xml:space="preserve">. Additional studies in other diatom dominated waters or through culture experiments could further explore this hypothesis. </w:t>
      </w:r>
    </w:p>
    <w:p w14:paraId="5C3403FC" w14:textId="77777777" w:rsidR="00415B1F" w:rsidRDefault="002D5F07" w:rsidP="00415B1F">
      <w:pPr>
        <w:spacing w:after="0"/>
        <w:jc w:val="both"/>
        <w:textAlignment w:val="baseline"/>
        <w:rPr>
          <w:b/>
          <w:bCs/>
        </w:rPr>
      </w:pPr>
      <w:r w:rsidRPr="007B7C1C">
        <w:rPr>
          <w:b/>
          <w:bCs/>
        </w:rPr>
        <w:t>Outputs</w:t>
      </w:r>
    </w:p>
    <w:p w14:paraId="64678684" w14:textId="1074731F" w:rsidR="003B24DD" w:rsidRDefault="006276F5" w:rsidP="003B24DD">
      <w:pPr>
        <w:spacing w:after="0"/>
        <w:ind w:firstLine="720"/>
        <w:jc w:val="both"/>
        <w:textAlignment w:val="baseline"/>
      </w:pPr>
      <w:r>
        <w:lastRenderedPageBreak/>
        <w:t>Generally,</w:t>
      </w:r>
      <w:r w:rsidR="00415B1F">
        <w:t xml:space="preserve"> the major sinks appear to be isotopically heavier than seawater. </w:t>
      </w:r>
      <w:r w:rsidR="000A6CDD">
        <w:t>However, the isotopic compositions of Fe-Mn deposits have an incredibly broad range (</w:t>
      </w:r>
      <w:r w:rsidR="00334E68">
        <w:t>-1.</w:t>
      </w:r>
      <w:r w:rsidR="00415B1F">
        <w:t>8</w:t>
      </w:r>
      <w:r w:rsidR="00334E68">
        <w:t xml:space="preserve"> to +</w:t>
      </w:r>
      <w:r w:rsidR="00D67F0A">
        <w:t>2.5</w:t>
      </w:r>
      <w:r w:rsidR="00334E68" w:rsidRPr="003F7266">
        <w:t>‰</w:t>
      </w:r>
      <w:r w:rsidR="00334E68">
        <w:t>)</w:t>
      </w:r>
      <w:r w:rsidR="003923A0">
        <w:t xml:space="preserve">, which may be due to diagenetic processes </w:t>
      </w:r>
      <w:r w:rsidR="003923A0">
        <w:fldChar w:fldCharType="begin" w:fldLock="1"/>
      </w:r>
      <w:r w:rsidR="00FE0AD6">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Acta","id":"ITEM-3","issued":{"date-parts":[["2016"]]},"title":"Comparative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2016; Little et al., 2020)","plainTextFormattedCitation":"(Gall et al., 2013; Gueguen et al., 2016; Little et al., 2020)","previouslyFormattedCitation":"(Gall et al., 2013; Gueguen et al., 2016; S. Little et al., 2020)"},"properties":{"noteIndex":0},"schema":"https://github.com/citation-style-language/schema/raw/master/csl-citation.json"}</w:instrText>
      </w:r>
      <w:r w:rsidR="003923A0">
        <w:fldChar w:fldCharType="separate"/>
      </w:r>
      <w:r w:rsidR="00FE0AD6" w:rsidRPr="00FE0AD6">
        <w:rPr>
          <w:noProof/>
        </w:rPr>
        <w:t>(Gall et al., 2013; Gueguen et al., 2016; Little et al., 2020)</w:t>
      </w:r>
      <w:r w:rsidR="003923A0">
        <w:fldChar w:fldCharType="end"/>
      </w:r>
      <w:r w:rsidR="003923A0">
        <w:t xml:space="preserve"> (for additional discussion, see section XXX). E</w:t>
      </w:r>
      <w:r w:rsidR="00334E68">
        <w:t xml:space="preserve">xperimental results </w:t>
      </w:r>
      <w:r w:rsidR="00FF4C45">
        <w:t>consistently suggest that Fe-Mn deposits should be isotopically light compared to seawater (</w:t>
      </w:r>
      <w:r w:rsidR="00FF4C45" w:rsidRPr="0051481A">
        <w:t>Δ</w:t>
      </w:r>
      <w:r w:rsidR="00FF4C45" w:rsidRPr="0051481A">
        <w:rPr>
          <w:vertAlign w:val="superscript"/>
        </w:rPr>
        <w:t>60/58</w:t>
      </w:r>
      <w:r w:rsidR="00FF4C45" w:rsidRPr="0051481A">
        <w:t>Ni</w:t>
      </w:r>
      <w:r w:rsidR="00FF4C45">
        <w:rPr>
          <w:vertAlign w:val="subscript"/>
        </w:rPr>
        <w:t>aqueous</w:t>
      </w:r>
      <w:r w:rsidR="00D67F0A">
        <w:rPr>
          <w:vertAlign w:val="subscript"/>
        </w:rPr>
        <w:t xml:space="preserve">-Fe </w:t>
      </w:r>
      <w:proofErr w:type="spellStart"/>
      <w:r w:rsidR="00D67F0A">
        <w:rPr>
          <w:vertAlign w:val="subscript"/>
        </w:rPr>
        <w:t>oxyhydrides</w:t>
      </w:r>
      <w:proofErr w:type="spellEnd"/>
      <w:r w:rsidR="00FF4C45">
        <w:rPr>
          <w:vertAlign w:val="subscript"/>
        </w:rPr>
        <w:t xml:space="preserve"> </w:t>
      </w:r>
      <w:r w:rsidR="00FF4C45" w:rsidRPr="0051481A">
        <w:t>=</w:t>
      </w:r>
      <w:r w:rsidR="00FF4C45">
        <w:t xml:space="preserve"> </w:t>
      </w:r>
      <w:r w:rsidR="00FF4C45" w:rsidRPr="00BF6843">
        <w:t>−</w:t>
      </w:r>
      <w:r w:rsidR="00FF4C45" w:rsidRPr="0051481A">
        <w:t xml:space="preserve">0.35 </w:t>
      </w:r>
      <w:r w:rsidR="00FF4C45">
        <w:t xml:space="preserve">to </w:t>
      </w:r>
      <w:r w:rsidR="00FF4C45" w:rsidRPr="00BF6843">
        <w:t>−</w:t>
      </w:r>
      <w:r w:rsidR="00FF4C45" w:rsidRPr="0051481A">
        <w:t>0.77</w:t>
      </w:r>
      <w:r w:rsidR="00FF4C45" w:rsidRPr="00BF6843">
        <w:t>‰</w:t>
      </w:r>
      <w:r w:rsidR="00FF4C45">
        <w:t xml:space="preserve">; </w:t>
      </w:r>
      <w:r w:rsidR="00FF4C45" w:rsidRPr="0051481A">
        <w:t>Δ</w:t>
      </w:r>
      <w:r w:rsidR="00FF4C45" w:rsidRPr="0051481A">
        <w:rPr>
          <w:vertAlign w:val="superscript"/>
        </w:rPr>
        <w:t>60/58</w:t>
      </w:r>
      <w:r w:rsidR="00FF4C45" w:rsidRPr="0051481A">
        <w:t>Ni</w:t>
      </w:r>
      <w:r w:rsidR="00FF4C45">
        <w:rPr>
          <w:vertAlign w:val="subscript"/>
        </w:rPr>
        <w:t>Mn oxides</w:t>
      </w:r>
      <w:r w:rsidR="00FF4C45" w:rsidRPr="0051481A">
        <w:rPr>
          <w:vertAlign w:val="subscript"/>
        </w:rPr>
        <w:t>-</w:t>
      </w:r>
      <w:r w:rsidR="00FF4C45">
        <w:rPr>
          <w:vertAlign w:val="subscript"/>
        </w:rPr>
        <w:t>aqueous</w:t>
      </w:r>
      <w:r w:rsidR="00FF4C45">
        <w:t xml:space="preserve"> </w:t>
      </w:r>
      <w:r w:rsidR="00FF4C45" w:rsidRPr="00BF6843">
        <w:t>−2.76</w:t>
      </w:r>
      <w:r w:rsidR="00FF4C45">
        <w:t xml:space="preserve"> to </w:t>
      </w:r>
      <w:r w:rsidR="00FF4C45" w:rsidRPr="00BF6843">
        <w:t>−</w:t>
      </w:r>
      <w:r w:rsidR="00FF4C45">
        <w:t>4</w:t>
      </w:r>
      <w:r w:rsidR="00FF4C45" w:rsidRPr="00BF6843">
        <w:t>‰</w:t>
      </w:r>
      <w:r w:rsidR="00FF4C45">
        <w:t xml:space="preserve">) </w:t>
      </w:r>
      <w:r w:rsidR="00FF4C45">
        <w:fldChar w:fldCharType="begin" w:fldLock="1"/>
      </w:r>
      <w:r w:rsidR="00B5598B">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oxyhydroxide","type":"paper-conference"},"uris":["http://www.mendeley.com/documents/?uuid=1a35eba6-19dc-4e6b-b334-e079e58ded36"]},{"id":"ITEM-3","itemData":{"DOI":"10.1016/j.chemgeo.2020.119481","ISSN":"00092541","abstract":"Manganese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Geology","id":"ITEM-3","issue":"October 2019","issued":{"date-parts":[["2020"]]},"title":"Large nickel isotope fractionation caused by surface complexation reactions with hexagonal birnessite","type":"article-journal","volume":"537"},"uris":["http://www.mendeley.com/documents/?uuid=056c7e25-af00-4cb6-8f5b-0576e0b1990b"]},{"id":"ITEM-4","itemData":{"DOI":"10.1016/j.chemgeo.2015.02.007","ISSN":"00092541","abstract":"A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Geology","id":"ITEM-4","issued":{"date-parts":[["2015"]]},"title":"Ni isotope fractionation during sorption to ferrihydrite: Implications for Ni in banded iron formations","type":"article-journal"},"uris":["http://www.mendeley.com/documents/?uuid=29817252-c301-3d5d-a5fd-676fd31f1cca"]}],"mendeley":{"formattedCitation":"(Gueguen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rsidR="00FF4C45">
        <w:fldChar w:fldCharType="separate"/>
      </w:r>
      <w:r w:rsidR="00FF4C45" w:rsidRPr="00FF4C45">
        <w:rPr>
          <w:noProof/>
        </w:rPr>
        <w:t>(Gueguen et al., 2018; Sorensen et al., 2020; Wasylenki et al., 2019, 2015)</w:t>
      </w:r>
      <w:r w:rsidR="00FF4C45">
        <w:fldChar w:fldCharType="end"/>
      </w:r>
      <w:r w:rsidR="00FF4C45">
        <w:t xml:space="preserve">. </w:t>
      </w:r>
      <w:r w:rsidR="003923A0">
        <w:t xml:space="preserve">Generally, studies assign a primary </w:t>
      </w:r>
      <w:r w:rsidR="009A01BA">
        <w:t xml:space="preserve">Ni isotopic composition ca. </w:t>
      </w:r>
      <w:r w:rsidR="001F5D2A">
        <w:t>+</w:t>
      </w:r>
      <w:r w:rsidR="009A01BA">
        <w:t>1.6</w:t>
      </w:r>
      <w:r w:rsidR="009A01BA" w:rsidRPr="00BF6843">
        <w:t>‰</w:t>
      </w:r>
      <w:r w:rsidR="009A01BA">
        <w:t xml:space="preserve"> </w:t>
      </w:r>
      <w:r w:rsidR="003923A0">
        <w:t xml:space="preserve">to Fe-Mn deposits </w:t>
      </w:r>
      <w:r w:rsidR="009A01BA">
        <w:t>(based on the isotopic composition of Fe-Mn crusts analyzed by Gall et al., 2013 and Gueguen et al., 2016) which is isotopically heavier than deep seawater.</w:t>
      </w:r>
      <w:r w:rsidR="00975C31">
        <w:t xml:space="preserve"> </w:t>
      </w:r>
      <w:r w:rsidR="00FE7CDA">
        <w:t xml:space="preserve">Organic </w:t>
      </w:r>
      <w:r w:rsidR="001A2BC3">
        <w:t xml:space="preserve">rich matter </w:t>
      </w:r>
      <w:r w:rsidR="00EB7E98">
        <w:t>is assumed to have</w:t>
      </w:r>
      <w:r w:rsidR="00D67F0A">
        <w:t xml:space="preserve"> a </w:t>
      </w:r>
      <w:r w:rsidR="00972F86">
        <w:t>seawater like isotopic composition</w:t>
      </w:r>
      <w:r w:rsidR="00E847A5">
        <w:t xml:space="preserve"> (</w:t>
      </w:r>
      <w:r w:rsidR="00170FBA" w:rsidRPr="00170FBA">
        <w:t>+1.3 ± 0.4</w:t>
      </w:r>
      <w:r w:rsidR="00170FBA">
        <w:t>)</w:t>
      </w:r>
      <w:r w:rsidR="00D67F0A">
        <w:t xml:space="preserve"> based on the organic rich-pyrite fraction of samples from the upwelling sediments in the Peru Margin</w:t>
      </w:r>
      <w:r w:rsidR="00E847A5">
        <w:t xml:space="preserve"> </w:t>
      </w:r>
      <w:r w:rsidR="00E847A5">
        <w:fldChar w:fldCharType="begin" w:fldLock="1"/>
      </w:r>
      <w:r w:rsidR="00D12C41">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E847A5">
        <w:fldChar w:fldCharType="separate"/>
      </w:r>
      <w:r w:rsidR="00E847A5" w:rsidRPr="00E847A5">
        <w:rPr>
          <w:noProof/>
        </w:rPr>
        <w:t>(Ciscato et al., 2018)</w:t>
      </w:r>
      <w:r w:rsidR="00E847A5">
        <w:fldChar w:fldCharType="end"/>
      </w:r>
      <w:r w:rsidR="007233D6">
        <w:t>; h</w:t>
      </w:r>
      <w:commentRangeStart w:id="4"/>
      <w:r w:rsidR="007233D6">
        <w:t xml:space="preserve">owever, there is significant variation within shales </w:t>
      </w:r>
      <w:r w:rsidR="00D12C41">
        <w:t>(</w:t>
      </w:r>
      <w:r w:rsidR="00D12C41" w:rsidRPr="00D12C41">
        <w:t>δ</w:t>
      </w:r>
      <w:r w:rsidR="00D12C41" w:rsidRPr="00D12C41">
        <w:rPr>
          <w:vertAlign w:val="superscript"/>
        </w:rPr>
        <w:t>60</w:t>
      </w:r>
      <w:r w:rsidR="00D12C41" w:rsidRPr="00D12C41">
        <w:t>Ni = −0.84</w:t>
      </w:r>
      <w:r w:rsidR="00D12C41">
        <w:t xml:space="preserve"> to +</w:t>
      </w:r>
      <w:r w:rsidR="00D12C41" w:rsidRPr="00D12C41">
        <w:t>2.50‰)</w:t>
      </w:r>
      <w:r w:rsidR="00170FBA">
        <w:t xml:space="preserve"> </w:t>
      </w:r>
      <w:r w:rsidR="007233D6">
        <w:t xml:space="preserve">which may be due to </w:t>
      </w:r>
      <w:r w:rsidR="00E56A34">
        <w:t xml:space="preserve">degrees of </w:t>
      </w:r>
      <w:proofErr w:type="spellStart"/>
      <w:r w:rsidR="00E56A34">
        <w:t>sulfidization</w:t>
      </w:r>
      <w:proofErr w:type="spellEnd"/>
      <w:r w:rsidR="00E847A5">
        <w:t>/removal of Ni into sulfides and</w:t>
      </w:r>
      <w:r w:rsidR="00E56A34">
        <w:t xml:space="preserve"> </w:t>
      </w:r>
      <w:r w:rsidR="00E847A5">
        <w:t xml:space="preserve">variable </w:t>
      </w:r>
      <w:r w:rsidR="00E56A34">
        <w:t>source Ni</w:t>
      </w:r>
      <w:r w:rsidR="00D12C41">
        <w:t xml:space="preserve"> </w:t>
      </w:r>
      <w:r w:rsidR="00E847A5">
        <w:fldChar w:fldCharType="begin" w:fldLock="1"/>
      </w:r>
      <w:r w:rsidR="00E847A5">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E847A5">
        <w:fldChar w:fldCharType="separate"/>
      </w:r>
      <w:r w:rsidR="00E847A5" w:rsidRPr="00E847A5">
        <w:rPr>
          <w:noProof/>
        </w:rPr>
        <w:t>(Pašava et al., 2019; Porter et al., 2014)</w:t>
      </w:r>
      <w:r w:rsidR="00E847A5">
        <w:fldChar w:fldCharType="end"/>
      </w:r>
      <w:r w:rsidR="00E56A34">
        <w:t xml:space="preserve">. </w:t>
      </w:r>
      <w:r w:rsidR="00F0420A">
        <w:t xml:space="preserve">The primary isotopic composition of organic rich sediments is generally assigned a value of 1.2 in mass balance calculations (reflecting the Peru Margin sediments from </w:t>
      </w:r>
      <w:proofErr w:type="spellStart"/>
      <w:r w:rsidR="00F0420A">
        <w:t>Ciscato</w:t>
      </w:r>
      <w:proofErr w:type="spellEnd"/>
      <w:r w:rsidR="00F0420A">
        <w:t xml:space="preserve"> et al., 2018) </w:t>
      </w:r>
      <w:r w:rsidR="00F0420A">
        <w:fldChar w:fldCharType="begin" w:fldLock="1"/>
      </w:r>
      <w:r w:rsidR="00FE0AD6">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S. Little et al., 2020)"},"properties":{"noteIndex":0},"schema":"https://github.com/citation-style-language/schema/raw/master/csl-citation.json"}</w:instrText>
      </w:r>
      <w:r w:rsidR="00F0420A">
        <w:fldChar w:fldCharType="separate"/>
      </w:r>
      <w:r w:rsidR="00FE0AD6" w:rsidRPr="00FE0AD6">
        <w:rPr>
          <w:noProof/>
        </w:rPr>
        <w:t>(Ciscato et al., 2018; Little et al., 2020)</w:t>
      </w:r>
      <w:r w:rsidR="00F0420A">
        <w:fldChar w:fldCharType="end"/>
      </w:r>
      <w:r w:rsidR="00F0420A">
        <w:t xml:space="preserve">. </w:t>
      </w:r>
      <w:r w:rsidR="007233D6">
        <w:t xml:space="preserve">Euxinic </w:t>
      </w:r>
      <w:r w:rsidR="00EB7E98">
        <w:t xml:space="preserve">sulfide-rich </w:t>
      </w:r>
      <w:r w:rsidR="007233D6">
        <w:t>sediments</w:t>
      </w:r>
      <w:r w:rsidR="009C7FD5">
        <w:t xml:space="preserve"> </w:t>
      </w:r>
      <w:commentRangeEnd w:id="4"/>
      <w:r w:rsidR="009C7FD5">
        <w:rPr>
          <w:rStyle w:val="CommentReference"/>
        </w:rPr>
        <w:commentReference w:id="4"/>
      </w:r>
      <w:r w:rsidR="00994989">
        <w:t xml:space="preserve">from the Black Sea </w:t>
      </w:r>
      <w:r w:rsidR="00D12C41">
        <w:t xml:space="preserve">have an isotopic range of </w:t>
      </w:r>
      <w:r w:rsidR="00C83F9F">
        <w:t>+</w:t>
      </w:r>
      <w:r w:rsidR="00D12C41">
        <w:t xml:space="preserve">0.3 to </w:t>
      </w:r>
      <w:r w:rsidR="00C83F9F">
        <w:t>+</w:t>
      </w:r>
      <w:r w:rsidR="00D12C41">
        <w:t>0.6</w:t>
      </w:r>
      <w:r w:rsidR="00D12C41" w:rsidRPr="00BF6843">
        <w:t>‰</w:t>
      </w:r>
      <w:r w:rsidR="00D12C41">
        <w:t xml:space="preserve"> </w:t>
      </w:r>
      <w:r w:rsidR="00D12C41">
        <w:fldChar w:fldCharType="begin" w:fldLock="1"/>
      </w:r>
      <w:r w:rsidR="00D12C41">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D12C41">
        <w:fldChar w:fldCharType="separate"/>
      </w:r>
      <w:r w:rsidR="00D12C41" w:rsidRPr="00D12C41">
        <w:rPr>
          <w:noProof/>
        </w:rPr>
        <w:t>(Vance et al., 2016)</w:t>
      </w:r>
      <w:r w:rsidR="00D12C41">
        <w:fldChar w:fldCharType="end"/>
      </w:r>
      <w:r w:rsidR="00D12C41">
        <w:t xml:space="preserve"> and </w:t>
      </w:r>
      <w:proofErr w:type="spellStart"/>
      <w:r w:rsidR="00D12C41">
        <w:t>sulfidization</w:t>
      </w:r>
      <w:proofErr w:type="spellEnd"/>
      <w:r w:rsidR="00D12C41">
        <w:t xml:space="preserve"> in organic matter appears to produce isotopically lighter sediment in shales </w:t>
      </w:r>
      <w:r w:rsidR="00D12C41">
        <w:fldChar w:fldCharType="begin" w:fldLock="1"/>
      </w:r>
      <w:r w:rsidR="00C83F9F">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2019)","plainTextFormattedCitation":"(Pašava et al., 2019)","previouslyFormattedCitation":"(Pašava et al., 2019)"},"properties":{"noteIndex":0},"schema":"https://github.com/citation-style-language/schema/raw/master/csl-citation.json"}</w:instrText>
      </w:r>
      <w:r w:rsidR="00D12C41">
        <w:fldChar w:fldCharType="separate"/>
      </w:r>
      <w:r w:rsidR="00D12C41" w:rsidRPr="00D12C41">
        <w:rPr>
          <w:noProof/>
        </w:rPr>
        <w:t>(Pašava et al., 2019)</w:t>
      </w:r>
      <w:r w:rsidR="00D12C41">
        <w:fldChar w:fldCharType="end"/>
      </w:r>
      <w:r w:rsidR="00170FBA">
        <w:t>.</w:t>
      </w:r>
      <w:r w:rsidR="00923E09">
        <w:t xml:space="preserve"> </w:t>
      </w:r>
      <w:r w:rsidR="00EB7E98">
        <w:t xml:space="preserve">Generally euxinic sediments are assigned a Ni isotopic </w:t>
      </w:r>
      <w:r w:rsidR="008D060E">
        <w:t xml:space="preserve">composition of </w:t>
      </w:r>
      <w:r w:rsidR="001F5D2A">
        <w:t>+</w:t>
      </w:r>
      <w:r w:rsidR="008D060E">
        <w:t>0.45</w:t>
      </w:r>
      <w:r w:rsidR="001F5D2A" w:rsidRPr="00BF6843">
        <w:t>‰</w:t>
      </w:r>
      <w:r w:rsidR="008D060E">
        <w:t xml:space="preserve"> in isotope mass balance calculations</w:t>
      </w:r>
      <w:r w:rsidR="00FE0AD6">
        <w:t xml:space="preserve"> </w:t>
      </w:r>
      <w:r w:rsidR="00FE0AD6">
        <w:fldChar w:fldCharType="begin" w:fldLock="1"/>
      </w:r>
      <w:r w:rsidR="00FE0AD6">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Little et al., 2020)","plainTextFormattedCitation":"(Ciscato et al., 2018; Little et al., 2020)","previouslyFormattedCitation":"(Ciscato et al., 2018; S. H. Little et al., 2020)"},"properties":{"noteIndex":0},"schema":"https://github.com/citation-style-language/schema/raw/master/csl-citation.json"}</w:instrText>
      </w:r>
      <w:r w:rsidR="00FE0AD6">
        <w:fldChar w:fldCharType="separate"/>
      </w:r>
      <w:r w:rsidR="00FE0AD6" w:rsidRPr="00FE0AD6">
        <w:rPr>
          <w:noProof/>
        </w:rPr>
        <w:t>(Ciscato et al., 2018; Little et al., 2020)</w:t>
      </w:r>
      <w:r w:rsidR="00FE0AD6">
        <w:fldChar w:fldCharType="end"/>
      </w:r>
      <w:r w:rsidR="00FE0AD6">
        <w:t>.</w:t>
      </w:r>
      <w:commentRangeStart w:id="5"/>
      <w:r w:rsidR="00FE0AD6">
        <w:t xml:space="preserve"> </w:t>
      </w:r>
      <w:commentRangeEnd w:id="5"/>
      <w:r w:rsidR="008D668E">
        <w:rPr>
          <w:rStyle w:val="CommentReference"/>
        </w:rPr>
        <w:commentReference w:id="5"/>
      </w:r>
    </w:p>
    <w:p w14:paraId="1D171F39" w14:textId="77A2E5B5" w:rsidR="00F14C71" w:rsidRDefault="00F14C71" w:rsidP="005471EA">
      <w:pPr>
        <w:spacing w:after="0"/>
        <w:jc w:val="both"/>
        <w:textAlignment w:val="baseline"/>
      </w:pPr>
      <w:r>
        <w:t>Insert proposed solutions section</w:t>
      </w:r>
    </w:p>
    <w:p w14:paraId="23F28F46" w14:textId="77777777" w:rsidR="00F14C71" w:rsidRDefault="00F14C71" w:rsidP="00415B1F">
      <w:pPr>
        <w:spacing w:after="0"/>
        <w:ind w:firstLine="720"/>
        <w:jc w:val="both"/>
        <w:textAlignment w:val="baseline"/>
      </w:pPr>
    </w:p>
    <w:p w14:paraId="1A021BCE" w14:textId="1B158741" w:rsidR="003323E2" w:rsidRPr="00415B1F" w:rsidRDefault="00F14C71" w:rsidP="00415B1F">
      <w:pPr>
        <w:spacing w:after="0"/>
        <w:ind w:firstLine="720"/>
        <w:jc w:val="both"/>
        <w:textAlignment w:val="baseline"/>
        <w:rPr>
          <w:b/>
          <w:bCs/>
        </w:rPr>
      </w:pPr>
      <w:r>
        <w:t>[</w:t>
      </w:r>
      <w:r w:rsidR="003323E2">
        <w:t>From this data, there are two paths we can take to resolve the</w:t>
      </w:r>
      <w:r w:rsidR="00F84DFB">
        <w:t xml:space="preserve"> isotope </w:t>
      </w:r>
      <w:r w:rsidR="003323E2">
        <w:t>mass imbalance</w:t>
      </w:r>
      <w:r w:rsidR="00F84DFB">
        <w:t xml:space="preserve"> and then </w:t>
      </w:r>
      <w:r w:rsidR="000844C5">
        <w:t>apply the isotope mass balance constraint to the marine Ni budget. F</w:t>
      </w:r>
      <w:r w:rsidR="003323E2">
        <w:t>irst, we can explore the variability of the largest Ni sink, Fe-Mn deposits</w:t>
      </w:r>
      <w:r w:rsidR="007B5CB6">
        <w:t>, since without better systematic knowledge of how this sink fractionates</w:t>
      </w:r>
      <w:r w:rsidR="000C6E9B">
        <w:t xml:space="preserve"> Ni isotopes</w:t>
      </w:r>
      <w:r w:rsidR="007B5CB6">
        <w:t>, applying the isotope constraint is near impossible</w:t>
      </w:r>
      <w:r w:rsidR="003323E2">
        <w:t xml:space="preserve">. Second, we can search for new </w:t>
      </w:r>
      <w:r w:rsidR="00F84DFB">
        <w:t xml:space="preserve">potential </w:t>
      </w:r>
      <w:r w:rsidR="00FF1E48">
        <w:t xml:space="preserve">fluxes that might contribute to the isotope and mass imbalance. </w:t>
      </w:r>
      <w:r w:rsidR="00F15C6B">
        <w:t>To address each of these paths, I propose to explore the Ni isotope fractionation of Mn oxides and carbonates.</w:t>
      </w:r>
      <w:r>
        <w:t>]</w:t>
      </w:r>
      <w:r w:rsidR="00F15C6B">
        <w:t xml:space="preserve"> </w:t>
      </w:r>
    </w:p>
    <w:p w14:paraId="0000002B" w14:textId="586E036F" w:rsidR="00632BC9" w:rsidRDefault="002D1C0C" w:rsidP="00E9200B">
      <w:pPr>
        <w:jc w:val="both"/>
      </w:pPr>
      <w:r>
        <w:rPr>
          <w:noProof/>
        </w:rPr>
        <w:lastRenderedPageBreak/>
        <w:drawing>
          <wp:inline distT="0" distB="0" distL="0" distR="0" wp14:anchorId="01AD8D16" wp14:editId="66D964FF">
            <wp:extent cx="441960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917" t="25370" r="22276" b="9635"/>
                    <a:stretch/>
                  </pic:blipFill>
                  <pic:spPr bwMode="auto">
                    <a:xfrm>
                      <a:off x="0" y="0"/>
                      <a:ext cx="4419600" cy="2946400"/>
                    </a:xfrm>
                    <a:prstGeom prst="rect">
                      <a:avLst/>
                    </a:prstGeom>
                    <a:ln>
                      <a:noFill/>
                    </a:ln>
                    <a:extLst>
                      <a:ext uri="{53640926-AAD7-44D8-BBD7-CCE9431645EC}">
                        <a14:shadowObscured xmlns:a14="http://schemas.microsoft.com/office/drawing/2010/main"/>
                      </a:ext>
                    </a:extLst>
                  </pic:spPr>
                </pic:pic>
              </a:graphicData>
            </a:graphic>
          </wp:inline>
        </w:drawing>
      </w:r>
      <w:r>
        <w:t>Atlantic from Archer et al., 2020</w:t>
      </w:r>
    </w:p>
    <w:p w14:paraId="0F86A081" w14:textId="5C86241C" w:rsidR="00E9200B" w:rsidRDefault="00E9200B" w:rsidP="00E9200B">
      <w:pPr>
        <w:jc w:val="both"/>
      </w:pPr>
      <w:r>
        <w:rPr>
          <w:noProof/>
        </w:rPr>
        <w:drawing>
          <wp:inline distT="0" distB="0" distL="0" distR="0" wp14:anchorId="25574CCF" wp14:editId="450A6E27">
            <wp:extent cx="314325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917" t="27081" r="24199" b="18473"/>
                    <a:stretch/>
                  </pic:blipFill>
                  <pic:spPr bwMode="auto">
                    <a:xfrm>
                      <a:off x="0" y="0"/>
                      <a:ext cx="3143250" cy="1819275"/>
                    </a:xfrm>
                    <a:prstGeom prst="rect">
                      <a:avLst/>
                    </a:prstGeom>
                    <a:ln>
                      <a:noFill/>
                    </a:ln>
                    <a:extLst>
                      <a:ext uri="{53640926-AAD7-44D8-BBD7-CCE9431645EC}">
                        <a14:shadowObscured xmlns:a14="http://schemas.microsoft.com/office/drawing/2010/main"/>
                      </a:ext>
                    </a:extLst>
                  </pic:spPr>
                </pic:pic>
              </a:graphicData>
            </a:graphic>
          </wp:inline>
        </w:drawing>
      </w:r>
      <w:r>
        <w:t>Shun-</w:t>
      </w:r>
      <w:proofErr w:type="spellStart"/>
      <w:r>
        <w:t>chung</w:t>
      </w:r>
      <w:proofErr w:type="spellEnd"/>
      <w:r>
        <w:t xml:space="preserve"> Yang et al., 2020</w:t>
      </w:r>
    </w:p>
    <w:p w14:paraId="21242748" w14:textId="0CA232A2" w:rsidR="0025250C" w:rsidRDefault="0025250C" w:rsidP="00E9200B">
      <w:pPr>
        <w:jc w:val="both"/>
      </w:pPr>
      <w:r>
        <w:rPr>
          <w:noProof/>
        </w:rPr>
        <w:lastRenderedPageBreak/>
        <w:drawing>
          <wp:inline distT="0" distB="0" distL="0" distR="0" wp14:anchorId="7032172F" wp14:editId="1C191509">
            <wp:extent cx="2190750" cy="343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116" t="28221" r="58974" b="19042"/>
                    <a:stretch/>
                  </pic:blipFill>
                  <pic:spPr bwMode="auto">
                    <a:xfrm>
                      <a:off x="0" y="0"/>
                      <a:ext cx="2192814" cy="3437886"/>
                    </a:xfrm>
                    <a:prstGeom prst="rect">
                      <a:avLst/>
                    </a:prstGeom>
                    <a:ln>
                      <a:noFill/>
                    </a:ln>
                    <a:extLst>
                      <a:ext uri="{53640926-AAD7-44D8-BBD7-CCE9431645EC}">
                        <a14:shadowObscured xmlns:a14="http://schemas.microsoft.com/office/drawing/2010/main"/>
                      </a:ext>
                    </a:extLst>
                  </pic:spPr>
                </pic:pic>
              </a:graphicData>
            </a:graphic>
          </wp:inline>
        </w:drawing>
      </w:r>
      <w:r>
        <w:t>Takano et al., 2017 South Pacific</w:t>
      </w:r>
    </w:p>
    <w:p w14:paraId="1E928D14" w14:textId="0D1BD35F" w:rsidR="00DD1F65" w:rsidRDefault="00DD1F65" w:rsidP="00E9200B">
      <w:pPr>
        <w:jc w:val="both"/>
      </w:pPr>
      <w:r>
        <w:rPr>
          <w:noProof/>
        </w:rPr>
        <w:drawing>
          <wp:inline distT="0" distB="0" distL="0" distR="0" wp14:anchorId="0CCE8ECF" wp14:editId="3F70F001">
            <wp:extent cx="4752975" cy="346264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802" t="22235" r="27564" b="17332"/>
                    <a:stretch/>
                  </pic:blipFill>
                  <pic:spPr bwMode="auto">
                    <a:xfrm>
                      <a:off x="0" y="0"/>
                      <a:ext cx="4783967" cy="3485227"/>
                    </a:xfrm>
                    <a:prstGeom prst="rect">
                      <a:avLst/>
                    </a:prstGeom>
                    <a:ln>
                      <a:noFill/>
                    </a:ln>
                    <a:extLst>
                      <a:ext uri="{53640926-AAD7-44D8-BBD7-CCE9431645EC}">
                        <a14:shadowObscured xmlns:a14="http://schemas.microsoft.com/office/drawing/2010/main"/>
                      </a:ext>
                    </a:extLst>
                  </pic:spPr>
                </pic:pic>
              </a:graphicData>
            </a:graphic>
          </wp:inline>
        </w:drawing>
      </w:r>
      <w:r>
        <w:t>Wang et al., 2019 Southern Ocean (Indian Sector)</w:t>
      </w:r>
    </w:p>
    <w:p w14:paraId="7F888FDE" w14:textId="2CDD6D5A" w:rsidR="00CD16B0" w:rsidRDefault="00CD16B0" w:rsidP="00CD16B0">
      <w:pPr>
        <w:jc w:val="both"/>
      </w:pPr>
      <w:r>
        <w:rPr>
          <w:noProof/>
        </w:rPr>
        <w:lastRenderedPageBreak/>
        <w:drawing>
          <wp:inline distT="0" distB="0" distL="0" distR="0" wp14:anchorId="1F05F327" wp14:editId="7B8971C2">
            <wp:extent cx="4404995" cy="4468603"/>
            <wp:effectExtent l="0" t="0" r="0" b="8255"/>
            <wp:docPr id="3" name="Picture 3"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 schematic&#10;&#10;Description automatically generated"/>
                    <pic:cNvPicPr/>
                  </pic:nvPicPr>
                  <pic:blipFill rotWithShape="1">
                    <a:blip r:embed="rId17">
                      <a:extLst>
                        <a:ext uri="{28A0092B-C50C-407E-A947-70E740481C1C}">
                          <a14:useLocalDpi xmlns:a14="http://schemas.microsoft.com/office/drawing/2010/main" val="0"/>
                        </a:ext>
                      </a:extLst>
                    </a:blip>
                    <a:srcRect l="2810" t="6291" r="23077" b="35752"/>
                    <a:stretch/>
                  </pic:blipFill>
                  <pic:spPr bwMode="auto">
                    <a:xfrm>
                      <a:off x="0" y="0"/>
                      <a:ext cx="4405022" cy="4468630"/>
                    </a:xfrm>
                    <a:prstGeom prst="rect">
                      <a:avLst/>
                    </a:prstGeom>
                    <a:ln>
                      <a:noFill/>
                    </a:ln>
                    <a:extLst>
                      <a:ext uri="{53640926-AAD7-44D8-BBD7-CCE9431645EC}">
                        <a14:shadowObscured xmlns:a14="http://schemas.microsoft.com/office/drawing/2010/main"/>
                      </a:ext>
                    </a:extLst>
                  </pic:spPr>
                </pic:pic>
              </a:graphicData>
            </a:graphic>
          </wp:inline>
        </w:drawing>
      </w:r>
      <w:r w:rsidR="00680AB4">
        <w:t>gall et al., 2013</w:t>
      </w:r>
    </w:p>
    <w:sectPr w:rsidR="00CD16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Juliet Baransky" w:date="2021-01-03T12:36:00Z" w:initials="EJB">
    <w:p w14:paraId="401AA075" w14:textId="02941FDC" w:rsidR="00066E75" w:rsidRDefault="00066E75">
      <w:pPr>
        <w:pStyle w:val="CommentText"/>
      </w:pPr>
      <w:r>
        <w:rPr>
          <w:rStyle w:val="CommentReference"/>
        </w:rPr>
        <w:annotationRef/>
      </w:r>
      <w:r>
        <w:t>I say this, but then I later discuss the wild variability in these values…</w:t>
      </w:r>
    </w:p>
  </w:comment>
  <w:comment w:id="1" w:author="Eva Juliet Baransky" w:date="2021-03-01T14:16:00Z" w:initials="EJB">
    <w:p w14:paraId="081CE97B" w14:textId="70C899FD" w:rsidR="00980381" w:rsidRDefault="00980381">
      <w:pPr>
        <w:pStyle w:val="CommentText"/>
      </w:pPr>
      <w:r>
        <w:rPr>
          <w:rStyle w:val="CommentReference"/>
        </w:rPr>
        <w:annotationRef/>
      </w:r>
      <w:r>
        <w:t xml:space="preserve">Should I mention seasonality affects? </w:t>
      </w:r>
    </w:p>
  </w:comment>
  <w:comment w:id="2" w:author="Eva Juliet Baransky" w:date="2021-03-01T13:32:00Z" w:initials="EJB">
    <w:p w14:paraId="021835E1" w14:textId="1E3E849F" w:rsidR="009413ED" w:rsidRDefault="009413ED">
      <w:pPr>
        <w:pStyle w:val="CommentText"/>
      </w:pPr>
      <w:r>
        <w:rPr>
          <w:rStyle w:val="CommentReference"/>
        </w:rPr>
        <w:annotationRef/>
      </w:r>
      <w:r>
        <w:t>Did they presume or did they know?</w:t>
      </w:r>
    </w:p>
  </w:comment>
  <w:comment w:id="3" w:author="Eva Juliet Baransky" w:date="2020-12-29T12:55:00Z" w:initials="EJB">
    <w:p w14:paraId="22AD91FF" w14:textId="1E88FBE7" w:rsidR="007B7C1C" w:rsidRDefault="007B7C1C" w:rsidP="007B7C1C">
      <w:pPr>
        <w:pStyle w:val="CommentText"/>
      </w:pPr>
      <w:r>
        <w:rPr>
          <w:rStyle w:val="CommentReference"/>
        </w:rPr>
        <w:annotationRef/>
      </w:r>
      <w:r>
        <w:t xml:space="preserve">Do I want to add some information about Ni speciation with ligands and things? I could discuss the fractionations with different isotopic comps </w:t>
      </w:r>
      <w:proofErr w:type="spellStart"/>
      <w:proofErr w:type="gramStart"/>
      <w:r>
        <w:t>Fujii</w:t>
      </w:r>
      <w:proofErr w:type="spellEnd"/>
      <w:r>
        <w:t xml:space="preserve">  et al.</w:t>
      </w:r>
      <w:proofErr w:type="gramEnd"/>
      <w:r>
        <w:t xml:space="preserve">, 2011 </w:t>
      </w:r>
      <w:r w:rsidR="00F56A05">
        <w:t>?</w:t>
      </w:r>
    </w:p>
  </w:comment>
  <w:comment w:id="4" w:author="Eva Juliet Baransky" w:date="2021-01-01T15:56:00Z" w:initials="EJB">
    <w:p w14:paraId="43F27BEA" w14:textId="77777777" w:rsidR="009C7FD5" w:rsidRDefault="009C7FD5">
      <w:pPr>
        <w:pStyle w:val="CommentText"/>
      </w:pPr>
      <w:r>
        <w:rPr>
          <w:rStyle w:val="CommentReference"/>
        </w:rPr>
        <w:annotationRef/>
      </w:r>
      <w:r>
        <w:t>I think I need to mention Porter et al., 2014</w:t>
      </w:r>
    </w:p>
    <w:p w14:paraId="5D8DC058" w14:textId="5DE9F952" w:rsidR="001D4586" w:rsidRDefault="001D4586">
      <w:pPr>
        <w:pStyle w:val="CommentText"/>
      </w:pPr>
      <w:r>
        <w:t>I think I need to talk</w:t>
      </w:r>
      <w:r w:rsidR="00294CD8">
        <w:t xml:space="preserve"> to Laura about the organic stuff</w:t>
      </w:r>
    </w:p>
  </w:comment>
  <w:comment w:id="5" w:author="Eva Juliet Baransky" w:date="2021-03-01T14:53:00Z" w:initials="EJB">
    <w:p w14:paraId="01F3EACF" w14:textId="76BC61A3" w:rsidR="008D668E" w:rsidRDefault="008D668E">
      <w:pPr>
        <w:pStyle w:val="CommentText"/>
      </w:pPr>
      <w:r>
        <w:rPr>
          <w:rStyle w:val="CommentReference"/>
        </w:rPr>
        <w:annotationRef/>
      </w:r>
      <w:r>
        <w:t xml:space="preserve">I should add a sentence about carbonate Ni isotopic composition (maybe include particulate data from Brandi, </w:t>
      </w:r>
      <w:proofErr w:type="spellStart"/>
      <w:r>
        <w:t>Ciscato</w:t>
      </w:r>
      <w:proofErr w:type="spellEnd"/>
      <w:r>
        <w:t xml:space="preserve"> carbonate rich fraction, and new </w:t>
      </w:r>
      <w:proofErr w:type="spellStart"/>
      <w:r>
        <w:t>alvarez</w:t>
      </w:r>
      <w:proofErr w:type="spellEnd"/>
      <w:r>
        <w:t xml:space="preserv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1AA075" w15:done="0"/>
  <w15:commentEx w15:paraId="081CE97B" w15:done="0"/>
  <w15:commentEx w15:paraId="021835E1" w15:done="0"/>
  <w15:commentEx w15:paraId="22AD91FF" w15:done="0"/>
  <w15:commentEx w15:paraId="5D8DC058" w15:done="0"/>
  <w15:commentEx w15:paraId="01F3E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38BE" w16cex:dateUtc="2021-01-03T19:36:00Z"/>
  <w16cex:commentExtensible w16cex:durableId="23E775C6" w16cex:dateUtc="2021-03-01T21:16:00Z"/>
  <w16cex:commentExtensible w16cex:durableId="23E76B7D" w16cex:dateUtc="2021-03-01T20:32:00Z"/>
  <w16cex:commentExtensible w16cex:durableId="23E76000" w16cex:dateUtc="2020-12-29T17:55:00Z"/>
  <w16cex:commentExtensible w16cex:durableId="2399C4A8" w16cex:dateUtc="2021-01-01T22:56:00Z"/>
  <w16cex:commentExtensible w16cex:durableId="23E77E4E" w16cex:dateUtc="2021-03-01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1AA075" w16cid:durableId="239C38BE"/>
  <w16cid:commentId w16cid:paraId="081CE97B" w16cid:durableId="23E775C6"/>
  <w16cid:commentId w16cid:paraId="021835E1" w16cid:durableId="23E76B7D"/>
  <w16cid:commentId w16cid:paraId="22AD91FF" w16cid:durableId="23E76000"/>
  <w16cid:commentId w16cid:paraId="5D8DC058" w16cid:durableId="2399C4A8"/>
  <w16cid:commentId w16cid:paraId="01F3EACF" w16cid:durableId="23E77E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2CD39" w14:textId="77777777" w:rsidR="00F34154" w:rsidRDefault="00F34154" w:rsidP="00834A05">
      <w:pPr>
        <w:spacing w:after="0" w:line="240" w:lineRule="auto"/>
      </w:pPr>
      <w:r>
        <w:separator/>
      </w:r>
    </w:p>
  </w:endnote>
  <w:endnote w:type="continuationSeparator" w:id="0">
    <w:p w14:paraId="6336F66F" w14:textId="77777777" w:rsidR="00F34154" w:rsidRDefault="00F34154" w:rsidP="00834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AC4DF" w14:textId="77777777" w:rsidR="00F34154" w:rsidRDefault="00F34154" w:rsidP="00834A05">
      <w:pPr>
        <w:spacing w:after="0" w:line="240" w:lineRule="auto"/>
      </w:pPr>
      <w:r>
        <w:separator/>
      </w:r>
    </w:p>
  </w:footnote>
  <w:footnote w:type="continuationSeparator" w:id="0">
    <w:p w14:paraId="42C63E6C" w14:textId="77777777" w:rsidR="00F34154" w:rsidRDefault="00F34154" w:rsidP="00834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D0336"/>
    <w:multiLevelType w:val="multilevel"/>
    <w:tmpl w:val="B7860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01CF9"/>
    <w:multiLevelType w:val="hybridMultilevel"/>
    <w:tmpl w:val="88709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F0363"/>
    <w:multiLevelType w:val="multilevel"/>
    <w:tmpl w:val="48C65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0"/>
  </w:num>
  <w:num w:numId="4">
    <w:abstractNumId w:val="0"/>
    <w:lvlOverride w:ilvl="0">
      <w:lvl w:ilvl="0">
        <w:numFmt w:val="decimal"/>
        <w:lvlText w:val=""/>
        <w:lvlJc w:val="left"/>
      </w:lvl>
    </w:lvlOverride>
    <w:lvlOverride w:ilvl="1">
      <w:lvl w:ilvl="1">
        <w:numFmt w:val="lowerLetter"/>
        <w:lvlText w:val="%2."/>
        <w:lvlJc w:val="left"/>
      </w:lvl>
    </w:lvlOverride>
  </w:num>
  <w:num w:numId="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C9"/>
    <w:rsid w:val="00000574"/>
    <w:rsid w:val="00001162"/>
    <w:rsid w:val="00027AEF"/>
    <w:rsid w:val="0004437C"/>
    <w:rsid w:val="00051BE9"/>
    <w:rsid w:val="00051D83"/>
    <w:rsid w:val="000647F7"/>
    <w:rsid w:val="00066E75"/>
    <w:rsid w:val="0007646B"/>
    <w:rsid w:val="000844C5"/>
    <w:rsid w:val="000A6CDD"/>
    <w:rsid w:val="000B2B4E"/>
    <w:rsid w:val="000B6559"/>
    <w:rsid w:val="000C14C0"/>
    <w:rsid w:val="000C46BD"/>
    <w:rsid w:val="000C61FD"/>
    <w:rsid w:val="000C6E9B"/>
    <w:rsid w:val="000D4903"/>
    <w:rsid w:val="000E3C6B"/>
    <w:rsid w:val="000E5A5D"/>
    <w:rsid w:val="000E795D"/>
    <w:rsid w:val="000F208A"/>
    <w:rsid w:val="0010015C"/>
    <w:rsid w:val="00150B4B"/>
    <w:rsid w:val="00170FBA"/>
    <w:rsid w:val="001803A9"/>
    <w:rsid w:val="0018157B"/>
    <w:rsid w:val="001A1B89"/>
    <w:rsid w:val="001A2BC3"/>
    <w:rsid w:val="001D050B"/>
    <w:rsid w:val="001D4586"/>
    <w:rsid w:val="001E43B5"/>
    <w:rsid w:val="001F5B4B"/>
    <w:rsid w:val="001F5D2A"/>
    <w:rsid w:val="00202992"/>
    <w:rsid w:val="002164CC"/>
    <w:rsid w:val="00221B66"/>
    <w:rsid w:val="00231AAF"/>
    <w:rsid w:val="00243734"/>
    <w:rsid w:val="00246BE7"/>
    <w:rsid w:val="0025250C"/>
    <w:rsid w:val="0025367E"/>
    <w:rsid w:val="002641CF"/>
    <w:rsid w:val="002753C4"/>
    <w:rsid w:val="00277A72"/>
    <w:rsid w:val="00282DAB"/>
    <w:rsid w:val="002832C3"/>
    <w:rsid w:val="00294CD8"/>
    <w:rsid w:val="002C3391"/>
    <w:rsid w:val="002D1C0C"/>
    <w:rsid w:val="002D1D74"/>
    <w:rsid w:val="002D5F07"/>
    <w:rsid w:val="002E7742"/>
    <w:rsid w:val="00300B90"/>
    <w:rsid w:val="00300FC2"/>
    <w:rsid w:val="0030744B"/>
    <w:rsid w:val="00322441"/>
    <w:rsid w:val="00324D6B"/>
    <w:rsid w:val="003251DC"/>
    <w:rsid w:val="0032657D"/>
    <w:rsid w:val="003323E2"/>
    <w:rsid w:val="00334E68"/>
    <w:rsid w:val="00355571"/>
    <w:rsid w:val="00380C5B"/>
    <w:rsid w:val="00386DE8"/>
    <w:rsid w:val="003923A0"/>
    <w:rsid w:val="003A08D4"/>
    <w:rsid w:val="003A10F5"/>
    <w:rsid w:val="003A1C97"/>
    <w:rsid w:val="003B0F21"/>
    <w:rsid w:val="003B24DD"/>
    <w:rsid w:val="003B473F"/>
    <w:rsid w:val="003C0FAE"/>
    <w:rsid w:val="003C7659"/>
    <w:rsid w:val="003D3902"/>
    <w:rsid w:val="003D59C5"/>
    <w:rsid w:val="003F7266"/>
    <w:rsid w:val="003F7621"/>
    <w:rsid w:val="00407DB4"/>
    <w:rsid w:val="00415B1F"/>
    <w:rsid w:val="00422566"/>
    <w:rsid w:val="00422BA4"/>
    <w:rsid w:val="00427928"/>
    <w:rsid w:val="00435F02"/>
    <w:rsid w:val="00437986"/>
    <w:rsid w:val="00440948"/>
    <w:rsid w:val="00454D56"/>
    <w:rsid w:val="004558BC"/>
    <w:rsid w:val="00464BC0"/>
    <w:rsid w:val="00476687"/>
    <w:rsid w:val="0048672E"/>
    <w:rsid w:val="004874FA"/>
    <w:rsid w:val="004A768E"/>
    <w:rsid w:val="004B14DB"/>
    <w:rsid w:val="004B31AA"/>
    <w:rsid w:val="004B4E84"/>
    <w:rsid w:val="004B5AC8"/>
    <w:rsid w:val="004C6B73"/>
    <w:rsid w:val="004C71EC"/>
    <w:rsid w:val="004C7D64"/>
    <w:rsid w:val="004D005E"/>
    <w:rsid w:val="004E6993"/>
    <w:rsid w:val="004F5EC1"/>
    <w:rsid w:val="004F6D1D"/>
    <w:rsid w:val="00511338"/>
    <w:rsid w:val="0051481A"/>
    <w:rsid w:val="005300F0"/>
    <w:rsid w:val="0053114E"/>
    <w:rsid w:val="00546E8A"/>
    <w:rsid w:val="005471EA"/>
    <w:rsid w:val="005510DC"/>
    <w:rsid w:val="00553574"/>
    <w:rsid w:val="005553EB"/>
    <w:rsid w:val="00557095"/>
    <w:rsid w:val="00560998"/>
    <w:rsid w:val="005770F9"/>
    <w:rsid w:val="005826B8"/>
    <w:rsid w:val="005934BB"/>
    <w:rsid w:val="005A1863"/>
    <w:rsid w:val="005A2B1A"/>
    <w:rsid w:val="005A690A"/>
    <w:rsid w:val="005B0584"/>
    <w:rsid w:val="005B4015"/>
    <w:rsid w:val="005C06A3"/>
    <w:rsid w:val="005C7D41"/>
    <w:rsid w:val="005C7DB0"/>
    <w:rsid w:val="005D0FBC"/>
    <w:rsid w:val="005D7EA9"/>
    <w:rsid w:val="005E1B01"/>
    <w:rsid w:val="005E71E2"/>
    <w:rsid w:val="005F296C"/>
    <w:rsid w:val="006102DF"/>
    <w:rsid w:val="0061236C"/>
    <w:rsid w:val="00614C88"/>
    <w:rsid w:val="00621DF7"/>
    <w:rsid w:val="006276F5"/>
    <w:rsid w:val="00632BC9"/>
    <w:rsid w:val="00641549"/>
    <w:rsid w:val="0065126A"/>
    <w:rsid w:val="00657419"/>
    <w:rsid w:val="0066108D"/>
    <w:rsid w:val="006801FF"/>
    <w:rsid w:val="00680AB4"/>
    <w:rsid w:val="00693D50"/>
    <w:rsid w:val="00697444"/>
    <w:rsid w:val="00697BEA"/>
    <w:rsid w:val="006A6E0D"/>
    <w:rsid w:val="006B6574"/>
    <w:rsid w:val="006C0A99"/>
    <w:rsid w:val="006D7992"/>
    <w:rsid w:val="006E0A96"/>
    <w:rsid w:val="006F0851"/>
    <w:rsid w:val="006F3198"/>
    <w:rsid w:val="006F4329"/>
    <w:rsid w:val="006F607E"/>
    <w:rsid w:val="00722AC9"/>
    <w:rsid w:val="007233D6"/>
    <w:rsid w:val="00724C4B"/>
    <w:rsid w:val="007302E4"/>
    <w:rsid w:val="007340A7"/>
    <w:rsid w:val="00740A48"/>
    <w:rsid w:val="00740ED2"/>
    <w:rsid w:val="00741775"/>
    <w:rsid w:val="00762CED"/>
    <w:rsid w:val="00770FC4"/>
    <w:rsid w:val="00797743"/>
    <w:rsid w:val="007A4B7A"/>
    <w:rsid w:val="007B3FB5"/>
    <w:rsid w:val="007B5CB6"/>
    <w:rsid w:val="007B6BFD"/>
    <w:rsid w:val="007B7C1C"/>
    <w:rsid w:val="007D74DB"/>
    <w:rsid w:val="007F01E1"/>
    <w:rsid w:val="00804A9C"/>
    <w:rsid w:val="0081233F"/>
    <w:rsid w:val="00820128"/>
    <w:rsid w:val="00834A05"/>
    <w:rsid w:val="00834B04"/>
    <w:rsid w:val="008401E0"/>
    <w:rsid w:val="008564A6"/>
    <w:rsid w:val="008633C1"/>
    <w:rsid w:val="0087091F"/>
    <w:rsid w:val="0087358D"/>
    <w:rsid w:val="008A2704"/>
    <w:rsid w:val="008A589D"/>
    <w:rsid w:val="008B0FBB"/>
    <w:rsid w:val="008B666A"/>
    <w:rsid w:val="008C035B"/>
    <w:rsid w:val="008D060E"/>
    <w:rsid w:val="008D31D5"/>
    <w:rsid w:val="008D603A"/>
    <w:rsid w:val="008D639D"/>
    <w:rsid w:val="008D668E"/>
    <w:rsid w:val="008E02D5"/>
    <w:rsid w:val="008E3F00"/>
    <w:rsid w:val="008F60A3"/>
    <w:rsid w:val="00900D7F"/>
    <w:rsid w:val="00903EC6"/>
    <w:rsid w:val="00905D72"/>
    <w:rsid w:val="009115E4"/>
    <w:rsid w:val="00914C35"/>
    <w:rsid w:val="00923E09"/>
    <w:rsid w:val="00926544"/>
    <w:rsid w:val="0093240D"/>
    <w:rsid w:val="00932481"/>
    <w:rsid w:val="00933AF6"/>
    <w:rsid w:val="00934386"/>
    <w:rsid w:val="009413ED"/>
    <w:rsid w:val="009559E0"/>
    <w:rsid w:val="00972DAD"/>
    <w:rsid w:val="00972F86"/>
    <w:rsid w:val="00973C22"/>
    <w:rsid w:val="00975C31"/>
    <w:rsid w:val="009774CF"/>
    <w:rsid w:val="00980381"/>
    <w:rsid w:val="00987D93"/>
    <w:rsid w:val="00994989"/>
    <w:rsid w:val="009A01BA"/>
    <w:rsid w:val="009B1D30"/>
    <w:rsid w:val="009B485E"/>
    <w:rsid w:val="009B517C"/>
    <w:rsid w:val="009C2C9E"/>
    <w:rsid w:val="009C3C30"/>
    <w:rsid w:val="009C7FD5"/>
    <w:rsid w:val="009D0F13"/>
    <w:rsid w:val="009E0861"/>
    <w:rsid w:val="009F19C7"/>
    <w:rsid w:val="00A10C52"/>
    <w:rsid w:val="00A35439"/>
    <w:rsid w:val="00A44F0F"/>
    <w:rsid w:val="00A470D7"/>
    <w:rsid w:val="00A52952"/>
    <w:rsid w:val="00A554D3"/>
    <w:rsid w:val="00A60883"/>
    <w:rsid w:val="00A7597F"/>
    <w:rsid w:val="00A940FF"/>
    <w:rsid w:val="00AA2D1A"/>
    <w:rsid w:val="00AB028D"/>
    <w:rsid w:val="00AE742E"/>
    <w:rsid w:val="00AF5A85"/>
    <w:rsid w:val="00AF5CFB"/>
    <w:rsid w:val="00B36984"/>
    <w:rsid w:val="00B37309"/>
    <w:rsid w:val="00B40FF4"/>
    <w:rsid w:val="00B41207"/>
    <w:rsid w:val="00B5284A"/>
    <w:rsid w:val="00B5598B"/>
    <w:rsid w:val="00B62161"/>
    <w:rsid w:val="00B6301D"/>
    <w:rsid w:val="00B64A88"/>
    <w:rsid w:val="00B6558B"/>
    <w:rsid w:val="00B70DE5"/>
    <w:rsid w:val="00B83259"/>
    <w:rsid w:val="00B833F3"/>
    <w:rsid w:val="00B92BC3"/>
    <w:rsid w:val="00BA3D53"/>
    <w:rsid w:val="00BA4AB8"/>
    <w:rsid w:val="00BA68AE"/>
    <w:rsid w:val="00BC01D9"/>
    <w:rsid w:val="00BC0D1F"/>
    <w:rsid w:val="00BD030E"/>
    <w:rsid w:val="00BE1148"/>
    <w:rsid w:val="00BE286C"/>
    <w:rsid w:val="00BF1A8C"/>
    <w:rsid w:val="00BF3045"/>
    <w:rsid w:val="00BF3463"/>
    <w:rsid w:val="00BF6843"/>
    <w:rsid w:val="00BF7A56"/>
    <w:rsid w:val="00C2531D"/>
    <w:rsid w:val="00C26777"/>
    <w:rsid w:val="00C332B0"/>
    <w:rsid w:val="00C35206"/>
    <w:rsid w:val="00C36DB7"/>
    <w:rsid w:val="00C4589E"/>
    <w:rsid w:val="00C536A9"/>
    <w:rsid w:val="00C61F25"/>
    <w:rsid w:val="00C70F85"/>
    <w:rsid w:val="00C82403"/>
    <w:rsid w:val="00C82F10"/>
    <w:rsid w:val="00C83F9F"/>
    <w:rsid w:val="00C85CDE"/>
    <w:rsid w:val="00C91795"/>
    <w:rsid w:val="00C96DB1"/>
    <w:rsid w:val="00CB3FBC"/>
    <w:rsid w:val="00CD16B0"/>
    <w:rsid w:val="00CD2FE7"/>
    <w:rsid w:val="00CE34BA"/>
    <w:rsid w:val="00CF6CEC"/>
    <w:rsid w:val="00D12C41"/>
    <w:rsid w:val="00D20FDC"/>
    <w:rsid w:val="00D21898"/>
    <w:rsid w:val="00D23C59"/>
    <w:rsid w:val="00D303D3"/>
    <w:rsid w:val="00D44884"/>
    <w:rsid w:val="00D44C2F"/>
    <w:rsid w:val="00D46D75"/>
    <w:rsid w:val="00D51DE2"/>
    <w:rsid w:val="00D56103"/>
    <w:rsid w:val="00D67F0A"/>
    <w:rsid w:val="00D70683"/>
    <w:rsid w:val="00D709DF"/>
    <w:rsid w:val="00D800FC"/>
    <w:rsid w:val="00D8074C"/>
    <w:rsid w:val="00D81A39"/>
    <w:rsid w:val="00DB0E3D"/>
    <w:rsid w:val="00DC7857"/>
    <w:rsid w:val="00DD1F65"/>
    <w:rsid w:val="00DD5229"/>
    <w:rsid w:val="00DD6EAA"/>
    <w:rsid w:val="00DE2312"/>
    <w:rsid w:val="00E02028"/>
    <w:rsid w:val="00E03E39"/>
    <w:rsid w:val="00E217FA"/>
    <w:rsid w:val="00E22B5C"/>
    <w:rsid w:val="00E2539C"/>
    <w:rsid w:val="00E3156F"/>
    <w:rsid w:val="00E47229"/>
    <w:rsid w:val="00E51803"/>
    <w:rsid w:val="00E5391D"/>
    <w:rsid w:val="00E56A34"/>
    <w:rsid w:val="00E62BD2"/>
    <w:rsid w:val="00E847A5"/>
    <w:rsid w:val="00E86841"/>
    <w:rsid w:val="00E9200B"/>
    <w:rsid w:val="00EA0705"/>
    <w:rsid w:val="00EA1CA8"/>
    <w:rsid w:val="00EB7E98"/>
    <w:rsid w:val="00EE2BA6"/>
    <w:rsid w:val="00F0420A"/>
    <w:rsid w:val="00F075BC"/>
    <w:rsid w:val="00F14477"/>
    <w:rsid w:val="00F14C71"/>
    <w:rsid w:val="00F15C6B"/>
    <w:rsid w:val="00F34154"/>
    <w:rsid w:val="00F40096"/>
    <w:rsid w:val="00F50ADE"/>
    <w:rsid w:val="00F56A05"/>
    <w:rsid w:val="00F619A4"/>
    <w:rsid w:val="00F74A9B"/>
    <w:rsid w:val="00F800E5"/>
    <w:rsid w:val="00F806DB"/>
    <w:rsid w:val="00F847D5"/>
    <w:rsid w:val="00F84DFB"/>
    <w:rsid w:val="00F8715F"/>
    <w:rsid w:val="00F92BFC"/>
    <w:rsid w:val="00F93041"/>
    <w:rsid w:val="00FB17A4"/>
    <w:rsid w:val="00FD07EA"/>
    <w:rsid w:val="00FD4E58"/>
    <w:rsid w:val="00FD78FA"/>
    <w:rsid w:val="00FD7F43"/>
    <w:rsid w:val="00FE0AD6"/>
    <w:rsid w:val="00FE3CB5"/>
    <w:rsid w:val="00FE4C87"/>
    <w:rsid w:val="00FE7CDA"/>
    <w:rsid w:val="00FF0799"/>
    <w:rsid w:val="00FF1E48"/>
    <w:rsid w:val="00FF3880"/>
    <w:rsid w:val="00FF4C45"/>
    <w:rsid w:val="00FF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02D63"/>
  <w15:docId w15:val="{8F7C98A0-D2D5-4A80-9BEB-FCF87482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468C"/>
    <w:pPr>
      <w:ind w:left="720"/>
      <w:contextualSpacing/>
    </w:pPr>
    <w:rPr>
      <w:rFonts w:asciiTheme="minorHAnsi" w:hAnsiTheme="minorHAnsi" w:cstheme="minorBidi"/>
      <w:sz w:val="22"/>
    </w:rPr>
  </w:style>
  <w:style w:type="character" w:styleId="CommentReference">
    <w:name w:val="annotation reference"/>
    <w:basedOn w:val="DefaultParagraphFont"/>
    <w:uiPriority w:val="99"/>
    <w:semiHidden/>
    <w:unhideWhenUsed/>
    <w:rsid w:val="00C66E77"/>
    <w:rPr>
      <w:sz w:val="16"/>
      <w:szCs w:val="16"/>
    </w:rPr>
  </w:style>
  <w:style w:type="paragraph" w:styleId="CommentText">
    <w:name w:val="annotation text"/>
    <w:basedOn w:val="Normal"/>
    <w:link w:val="CommentTextChar"/>
    <w:uiPriority w:val="99"/>
    <w:semiHidden/>
    <w:unhideWhenUsed/>
    <w:rsid w:val="00C66E77"/>
    <w:pPr>
      <w:spacing w:line="240" w:lineRule="auto"/>
    </w:pPr>
    <w:rPr>
      <w:sz w:val="20"/>
      <w:szCs w:val="20"/>
    </w:rPr>
  </w:style>
  <w:style w:type="character" w:customStyle="1" w:styleId="CommentTextChar">
    <w:name w:val="Comment Text Char"/>
    <w:basedOn w:val="DefaultParagraphFont"/>
    <w:link w:val="CommentText"/>
    <w:uiPriority w:val="99"/>
    <w:semiHidden/>
    <w:rsid w:val="00C66E77"/>
    <w:rPr>
      <w:sz w:val="20"/>
      <w:szCs w:val="20"/>
    </w:rPr>
  </w:style>
  <w:style w:type="paragraph" w:styleId="CommentSubject">
    <w:name w:val="annotation subject"/>
    <w:basedOn w:val="CommentText"/>
    <w:next w:val="CommentText"/>
    <w:link w:val="CommentSubjectChar"/>
    <w:uiPriority w:val="99"/>
    <w:semiHidden/>
    <w:unhideWhenUsed/>
    <w:rsid w:val="00C66E77"/>
    <w:rPr>
      <w:b/>
      <w:bCs/>
    </w:rPr>
  </w:style>
  <w:style w:type="character" w:customStyle="1" w:styleId="CommentSubjectChar">
    <w:name w:val="Comment Subject Char"/>
    <w:basedOn w:val="CommentTextChar"/>
    <w:link w:val="CommentSubject"/>
    <w:uiPriority w:val="99"/>
    <w:semiHidden/>
    <w:rsid w:val="00C66E77"/>
    <w:rPr>
      <w:b/>
      <w:bCs/>
      <w:sz w:val="20"/>
      <w:szCs w:val="20"/>
    </w:rPr>
  </w:style>
  <w:style w:type="paragraph" w:styleId="BalloonText">
    <w:name w:val="Balloon Text"/>
    <w:basedOn w:val="Normal"/>
    <w:link w:val="BalloonTextChar"/>
    <w:uiPriority w:val="99"/>
    <w:semiHidden/>
    <w:unhideWhenUsed/>
    <w:rsid w:val="00C66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E77"/>
    <w:rPr>
      <w:rFonts w:ascii="Segoe UI" w:hAnsi="Segoe UI" w:cs="Segoe UI"/>
      <w:sz w:val="18"/>
      <w:szCs w:val="18"/>
    </w:rPr>
  </w:style>
  <w:style w:type="paragraph" w:styleId="Header">
    <w:name w:val="header"/>
    <w:basedOn w:val="Normal"/>
    <w:link w:val="HeaderChar"/>
    <w:uiPriority w:val="99"/>
    <w:unhideWhenUsed/>
    <w:rsid w:val="00D65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02C"/>
  </w:style>
  <w:style w:type="paragraph" w:styleId="Footer">
    <w:name w:val="footer"/>
    <w:basedOn w:val="Normal"/>
    <w:link w:val="FooterChar"/>
    <w:uiPriority w:val="99"/>
    <w:unhideWhenUsed/>
    <w:rsid w:val="00D65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0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F7963"/>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38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Wi9fI3tEQI2FAbspuivj4EEuUg==">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09666D-E65A-4F72-A772-CA61D346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5</Pages>
  <Words>16874</Words>
  <Characters>96186</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Juliet Baransky</dc:creator>
  <cp:lastModifiedBy>Eva Juliet Baransky</cp:lastModifiedBy>
  <cp:revision>276</cp:revision>
  <dcterms:created xsi:type="dcterms:W3CDTF">2020-12-21T22:55:00Z</dcterms:created>
  <dcterms:modified xsi:type="dcterms:W3CDTF">2021-03-13T04:05:00Z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http://www.zotero.org/styles/earth-and-planetary-science-letters</vt:lpwstr>
  </property>
  <property fmtid="{D5CDD505-2E9C-101B-9397-08002B2CF9AE}" pid="24" name="Mendeley Unique User Id_1">
    <vt:lpwstr>7ea801a9-11a5-3b88-b402-872f43c25890</vt:lpwstr>
  </property>
</Properties>
</file>