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E3FD9" w14:textId="1BEEA902" w:rsidR="00B62509" w:rsidRDefault="00B62509" w:rsidP="00B62509">
      <w:pPr>
        <w:spacing w:after="0"/>
        <w:jc w:val="both"/>
        <w:textAlignment w:val="baseline"/>
        <w:rPr>
          <w:color w:val="000000"/>
        </w:rPr>
      </w:pPr>
      <w:r>
        <w:rPr>
          <w:color w:val="000000"/>
        </w:rPr>
        <w:t>General idea</w:t>
      </w:r>
    </w:p>
    <w:p w14:paraId="6A1726DA" w14:textId="53E2EEC1" w:rsidR="00A14D83" w:rsidRDefault="00A14D83" w:rsidP="00B62509">
      <w:pPr>
        <w:spacing w:after="0"/>
        <w:ind w:firstLine="720"/>
        <w:jc w:val="both"/>
        <w:textAlignment w:val="baseline"/>
      </w:pPr>
      <w:r w:rsidRPr="00BE6F09">
        <w:rPr>
          <w:color w:val="000000"/>
        </w:rPr>
        <w:t>Despite Ni’s biogeochemical importance, we have a poor understanding of its marine cycling</w:t>
      </w:r>
      <w:r>
        <w:rPr>
          <w:color w:val="000000"/>
        </w:rPr>
        <w:t>,</w:t>
      </w:r>
      <w:r w:rsidRPr="00BE6F09">
        <w:rPr>
          <w:color w:val="000000"/>
        </w:rPr>
        <w:t xml:space="preserve"> </w:t>
      </w:r>
      <w:r>
        <w:rPr>
          <w:color w:val="000000"/>
        </w:rPr>
        <w:t>even in the modern oceans</w:t>
      </w:r>
      <w:r w:rsidRPr="00BE6F09">
        <w:rPr>
          <w:color w:val="000000"/>
        </w:rPr>
        <w:t xml:space="preserve">. </w:t>
      </w:r>
      <w:r w:rsidR="000C46BD">
        <w:t xml:space="preserve">In </w:t>
      </w:r>
      <w:commentRangeStart w:id="0"/>
      <w:r w:rsidR="000C46BD">
        <w:t xml:space="preserve">1976, </w:t>
      </w:r>
      <w:r w:rsidR="00FD7F43">
        <w:t>Krishnaswami</w:t>
      </w:r>
      <w:commentRangeEnd w:id="0"/>
      <w:r w:rsidR="00FD7F43">
        <w:t xml:space="preserve"> </w:t>
      </w:r>
      <w:r w:rsidR="002641CF">
        <w:rPr>
          <w:rStyle w:val="CommentReference"/>
        </w:rPr>
        <w:commentReference w:id="0"/>
      </w:r>
      <w:r w:rsidR="00FD7F43">
        <w:fldChar w:fldCharType="begin" w:fldLock="1"/>
      </w:r>
      <w:r w:rsidR="0004437C">
        <w: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1976)","plainTextFormattedCitation":"(Krishnaswami, 1976)","previouslyFormattedCitation":"(Krishnaswami, 1976)"},"properties":{"noteIndex":0},"schema":"https://github.com/citation-style-language/schema/raw/master/csl-citation.json"}</w:instrText>
      </w:r>
      <w:r w:rsidR="00FD7F43">
        <w:fldChar w:fldCharType="separate"/>
      </w:r>
      <w:r w:rsidR="00FD7F43" w:rsidRPr="00FD7F43">
        <w:rPr>
          <w:noProof/>
        </w:rPr>
        <w:t>(Krishnaswami, 1976)</w:t>
      </w:r>
      <w:r w:rsidR="00FD7F43">
        <w:fldChar w:fldCharType="end"/>
      </w:r>
      <w:r w:rsidR="000C46BD">
        <w:t xml:space="preserve">, identified a massive </w:t>
      </w:r>
      <w:r w:rsidR="0030310B">
        <w:t xml:space="preserve">Ni </w:t>
      </w:r>
      <w:r w:rsidR="000C46BD">
        <w:t>mass imbalance</w:t>
      </w:r>
      <w:r w:rsidR="0030310B">
        <w:t xml:space="preserve">. In the several decades that have followed, we have yet to resolve the imbalance. </w:t>
      </w:r>
      <w:r w:rsidR="0030310B" w:rsidRPr="00BE6F09">
        <w:rPr>
          <w:color w:val="000000"/>
        </w:rPr>
        <w:t xml:space="preserve">Currently, our best estimates indicate </w:t>
      </w:r>
      <w:r w:rsidR="0030310B">
        <w:rPr>
          <w:color w:val="000000"/>
        </w:rPr>
        <w:t xml:space="preserve">that </w:t>
      </w:r>
      <w:r w:rsidR="0030310B" w:rsidRPr="00BE6F09">
        <w:rPr>
          <w:color w:val="000000"/>
        </w:rPr>
        <w:t xml:space="preserve">Ni sink fluxes </w:t>
      </w:r>
      <w:r w:rsidR="0030310B">
        <w:rPr>
          <w:color w:val="000000"/>
        </w:rPr>
        <w:t xml:space="preserve">from the ocean </w:t>
      </w:r>
      <w:r w:rsidR="0030310B" w:rsidRPr="00BE6F09">
        <w:rPr>
          <w:color w:val="000000"/>
        </w:rPr>
        <w:t>are twice the size of source fluxes</w:t>
      </w:r>
      <w:r w:rsidR="0030310B">
        <w:t xml:space="preserve"> </w:t>
      </w:r>
      <w:r w:rsidR="0030310B">
        <w:fldChar w:fldCharType="begin" w:fldLock="1"/>
      </w:r>
      <w:r w:rsidR="0030310B">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rsidR="0030310B">
        <w:fldChar w:fldCharType="separate"/>
      </w:r>
      <w:r w:rsidR="0030310B" w:rsidRPr="00621DF7">
        <w:rPr>
          <w:noProof/>
        </w:rPr>
        <w:t>(Ciscato et al., 2018; Gall et al., 2013; Sclater et al., 1976)</w:t>
      </w:r>
      <w:r w:rsidR="0030310B">
        <w:fldChar w:fldCharType="end"/>
      </w:r>
      <w:r w:rsidR="0030310B">
        <w:rPr>
          <w:color w:val="000000"/>
        </w:rPr>
        <w:t xml:space="preserve">. </w:t>
      </w:r>
      <w:r w:rsidR="0030310B">
        <w:t xml:space="preserve">If this were true, the ocean would be rapidly depleted in Ni, but there is no evidence for such deviation from steady. </w:t>
      </w:r>
      <w:r w:rsidR="0032657D">
        <w:t xml:space="preserve">Once the modern marine Ni budget is balanced, we will have identified the key modern controls of marine Ni cycling and this will enable robust modelling of the marine Ni cycle, and the subsequent affects, over time. </w:t>
      </w:r>
    </w:p>
    <w:p w14:paraId="6AC48C27" w14:textId="15E64B33" w:rsidR="00B62509" w:rsidRPr="00B62509" w:rsidRDefault="00B62509" w:rsidP="00B62509">
      <w:pPr>
        <w:spacing w:after="0"/>
        <w:jc w:val="both"/>
        <w:textAlignment w:val="baseline"/>
        <w:rPr>
          <w:b/>
          <w:bCs/>
        </w:rPr>
      </w:pPr>
      <w:r w:rsidRPr="00B62509">
        <w:rPr>
          <w:b/>
          <w:bCs/>
        </w:rPr>
        <w:t>Inputs</w:t>
      </w:r>
    </w:p>
    <w:p w14:paraId="2264D2E7" w14:textId="5968FE50" w:rsidR="00B62509" w:rsidRDefault="00B62509" w:rsidP="0004437C">
      <w:pPr>
        <w:spacing w:after="0"/>
        <w:ind w:firstLine="720"/>
        <w:jc w:val="both"/>
        <w:textAlignment w:val="baseline"/>
      </w:pPr>
      <w:commentRangeStart w:id="1"/>
      <w:r>
        <w:t xml:space="preserve">The </w:t>
      </w:r>
      <w:commentRangeEnd w:id="1"/>
      <w:r w:rsidR="0099379D">
        <w:rPr>
          <w:rStyle w:val="CommentReference"/>
        </w:rPr>
        <w:commentReference w:id="1"/>
      </w:r>
      <w:r>
        <w:t xml:space="preserve">primary sources, which total </w:t>
      </w:r>
      <w:r>
        <w:t>3.68 x 10</w:t>
      </w:r>
      <w:r>
        <w:rPr>
          <w:vertAlign w:val="superscript"/>
        </w:rPr>
        <w:t>8</w:t>
      </w:r>
      <w:r>
        <w:t xml:space="preserve"> to 1.63 x 10</w:t>
      </w:r>
      <w:r>
        <w:rPr>
          <w:vertAlign w:val="superscript"/>
        </w:rPr>
        <w:t>9</w:t>
      </w:r>
      <w:r>
        <w:t xml:space="preserve"> </w:t>
      </w:r>
      <w:r>
        <w:t xml:space="preserve">Ni </w:t>
      </w:r>
      <w:r>
        <w:t>mol/</w:t>
      </w:r>
      <w:proofErr w:type="spellStart"/>
      <w:r>
        <w:t>yr</w:t>
      </w:r>
      <w:proofErr w:type="spellEnd"/>
      <w:r>
        <w:t>, Ni appear to be dust and rivers (with a potential significant contribution from a benthic flux discussed later)</w:t>
      </w:r>
      <w:r w:rsidR="004C7D64">
        <w:t xml:space="preserve"> </w:t>
      </w:r>
      <w:r w:rsidR="004C7D64">
        <w:fldChar w:fldCharType="begin" w:fldLock="1"/>
      </w:r>
      <w:r w:rsidR="000231A7">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budget","type":"article-journal","volume":"547"},"uris":["http://www.mendeley.com/documents/?uuid=f607925b-4382-4ec6-84d0-54cce6d64a1c"]}],"mendeley":{"formattedCitation":"(Ciscato et al., 2018; Gall et al., 2013; Little et al., 2020)","plainTextFormattedCitation":"(Ciscato et al., 2018; Gall et al., 2013; Little et al., 2020)","previouslyFormattedCitation":"(Ciscato et al., 2018; Gall et al., 2013; Little et al., 2020)"},"properties":{"noteIndex":0},"schema":"https://github.com/citation-style-language/schema/raw/master/csl-citation.json"}</w:instrText>
      </w:r>
      <w:r w:rsidR="004C7D64">
        <w:fldChar w:fldCharType="separate"/>
      </w:r>
      <w:r w:rsidR="004C71EC" w:rsidRPr="004C71EC">
        <w:rPr>
          <w:noProof/>
        </w:rPr>
        <w:t>(Ciscato et al., 2018; Gall et al., 2013; Little et al., 2020)</w:t>
      </w:r>
      <w:r w:rsidR="004C7D64">
        <w:fldChar w:fldCharType="end"/>
      </w:r>
      <w:r w:rsidR="004C7D64">
        <w:t xml:space="preserve">. </w:t>
      </w:r>
      <w:r w:rsidR="004D005E">
        <w:t>Dust</w:t>
      </w:r>
      <w:r w:rsidR="005D0FBC">
        <w:t xml:space="preserve"> is estimated to contribute </w:t>
      </w:r>
      <w:r w:rsidR="00DD6EAA">
        <w:t>2</w:t>
      </w:r>
      <w:r w:rsidR="00F74A9B">
        <w:t xml:space="preserve">% to </w:t>
      </w:r>
      <w:r w:rsidR="00DD6EAA">
        <w:t>28</w:t>
      </w:r>
      <w:r w:rsidR="00F74A9B">
        <w:t>% of the total marine Ni flux</w:t>
      </w:r>
      <w:r w:rsidR="004C7D64">
        <w:t>.</w:t>
      </w:r>
      <w:r w:rsidR="00DD6EAA">
        <w:t xml:space="preserve"> </w:t>
      </w:r>
      <w:r w:rsidR="0010015C">
        <w:t>Rivers are the main</w:t>
      </w:r>
      <w:r w:rsidR="00422BA4">
        <w:t xml:space="preserve"> </w:t>
      </w:r>
      <w:r w:rsidR="0010015C">
        <w:t xml:space="preserve">contributor of Ni to the oceans </w:t>
      </w:r>
      <w:r w:rsidR="00422BA4">
        <w:t xml:space="preserve">and make up an estimated 32% to 97% of the total marine </w:t>
      </w:r>
      <w:commentRangeStart w:id="2"/>
      <w:r w:rsidR="00422BA4">
        <w:t>Ni flux</w:t>
      </w:r>
      <w:commentRangeEnd w:id="2"/>
      <w:r w:rsidR="00991CC4">
        <w:rPr>
          <w:rStyle w:val="CommentReference"/>
        </w:rPr>
        <w:commentReference w:id="2"/>
      </w:r>
      <w:r w:rsidR="00422BA4">
        <w:t xml:space="preserve">. </w:t>
      </w:r>
      <w:r>
        <w:t>Other suggested sources include riverine particulate matter</w:t>
      </w:r>
      <w:r w:rsidR="00991CC4">
        <w:t xml:space="preserve"> and a benthic flux from Mn oxide diagenesis. </w:t>
      </w:r>
      <w:commentRangeStart w:id="3"/>
      <w:r w:rsidR="00D46D75">
        <w:t xml:space="preserve">How much Ni is retained in the particulate load versus the dissolved load and how much the particulate load could be mobilized remains unclear. </w:t>
      </w:r>
      <w:commentRangeEnd w:id="3"/>
      <w:r w:rsidR="00991CC4">
        <w:rPr>
          <w:rStyle w:val="CommentReference"/>
        </w:rPr>
        <w:commentReference w:id="3"/>
      </w:r>
      <w:r w:rsidR="00991AE3" w:rsidRPr="00991AE3">
        <w:t xml:space="preserve"> </w:t>
      </w:r>
      <w:r w:rsidR="00991AE3">
        <w:t xml:space="preserve">A recent </w:t>
      </w:r>
      <w:r w:rsidR="009E4666">
        <w:t>study suggests</w:t>
      </w:r>
      <w:r w:rsidR="00991AE3">
        <w:t xml:space="preserve"> a significant benthic source from Mn oxide redox cycling and/or diagenetic processes is of the appropriate size to resolve the imbalance</w:t>
      </w:r>
      <w:r w:rsidR="00991AE3">
        <w:t xml:space="preserve"> (</w:t>
      </w:r>
      <w:r w:rsidR="00991AE3" w:rsidRPr="005E1B01">
        <w:t>0.6 to 2.3</w:t>
      </w:r>
      <w:r w:rsidR="00991AE3">
        <w:t xml:space="preserve"> x 10</w:t>
      </w:r>
      <w:r w:rsidR="00991AE3">
        <w:rPr>
          <w:vertAlign w:val="superscript"/>
        </w:rPr>
        <w:t>8</w:t>
      </w:r>
      <w:r w:rsidR="00991AE3">
        <w:t xml:space="preserve"> mol/</w:t>
      </w:r>
      <w:proofErr w:type="spellStart"/>
      <w:r w:rsidR="00991AE3">
        <w:t>yr</w:t>
      </w:r>
      <w:proofErr w:type="spellEnd"/>
      <w:r w:rsidR="00991AE3">
        <w:t>)</w:t>
      </w:r>
      <w:r w:rsidR="00991AE3">
        <w:t xml:space="preserve"> </w:t>
      </w:r>
      <w:r w:rsidR="00991AE3">
        <w:fldChar w:fldCharType="begin" w:fldLock="1"/>
      </w:r>
      <w:r w:rsidR="000231A7">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rsidR="00991AE3">
        <w:fldChar w:fldCharType="separate"/>
      </w:r>
      <w:r w:rsidR="00991AE3" w:rsidRPr="004C71EC">
        <w:rPr>
          <w:noProof/>
        </w:rPr>
        <w:t>(Little et al., 2020)</w:t>
      </w:r>
      <w:r w:rsidR="00991AE3">
        <w:fldChar w:fldCharType="end"/>
      </w:r>
      <w:r w:rsidR="00991AE3">
        <w:t xml:space="preserve">. However, </w:t>
      </w:r>
      <w:commentRangeStart w:id="4"/>
      <w:r w:rsidR="00991AE3">
        <w:t>the</w:t>
      </w:r>
      <w:r w:rsidR="009E4666">
        <w:t xml:space="preserve">ir </w:t>
      </w:r>
      <w:commentRangeEnd w:id="4"/>
      <w:r w:rsidR="009E4666">
        <w:rPr>
          <w:rStyle w:val="CommentReference"/>
        </w:rPr>
        <w:commentReference w:id="4"/>
      </w:r>
      <w:r w:rsidR="009E4666">
        <w:t xml:space="preserve">calculations rely on </w:t>
      </w:r>
      <w:r w:rsidR="00991AE3">
        <w:t>size of this flux and the exact mechanisms at play remain unclear and require further exploration (see section XXX for further discussion).</w:t>
      </w:r>
    </w:p>
    <w:p w14:paraId="7B1D37E2" w14:textId="7E0BDF71" w:rsidR="00BF578F" w:rsidRPr="00BF578F" w:rsidRDefault="00BF578F" w:rsidP="00BF578F">
      <w:pPr>
        <w:spacing w:after="0"/>
        <w:jc w:val="both"/>
        <w:textAlignment w:val="baseline"/>
        <w:rPr>
          <w:b/>
          <w:bCs/>
        </w:rPr>
      </w:pPr>
      <w:r w:rsidRPr="00BF578F">
        <w:rPr>
          <w:b/>
          <w:bCs/>
        </w:rPr>
        <w:t>Outputs</w:t>
      </w:r>
    </w:p>
    <w:p w14:paraId="177ACA8B" w14:textId="2D46553C" w:rsidR="00D709DF" w:rsidRDefault="002641CF" w:rsidP="00B6558B">
      <w:pPr>
        <w:spacing w:after="0"/>
        <w:ind w:firstLine="720"/>
        <w:jc w:val="both"/>
        <w:textAlignment w:val="baseline"/>
      </w:pPr>
      <w:r>
        <w:t>Once Ni enters the ocean, its fate is a little less clear</w:t>
      </w:r>
      <w:r w:rsidR="00D12C41">
        <w:t xml:space="preserve">. </w:t>
      </w:r>
      <w:r w:rsidR="00AF5A85">
        <w:t xml:space="preserve">Previous studies </w:t>
      </w:r>
      <w:r w:rsidR="005553EB">
        <w:t xml:space="preserve">have </w:t>
      </w:r>
      <w:r w:rsidR="00AF5A85">
        <w:t xml:space="preserve">focused on Fe-Mn deposits, organic rich matter, and </w:t>
      </w:r>
      <w:r w:rsidR="00277A72">
        <w:t>euxinic sediments</w:t>
      </w:r>
      <w:r w:rsidR="005300F0">
        <w:t>.</w:t>
      </w:r>
      <w:r w:rsidR="00D709DF">
        <w:t xml:space="preserve"> </w:t>
      </w:r>
      <w:r w:rsidR="00F14477">
        <w:t xml:space="preserve">Fe-Mn deposits are </w:t>
      </w:r>
      <w:r w:rsidR="007B6BFD">
        <w:t xml:space="preserve">typically </w:t>
      </w:r>
      <w:r w:rsidR="00F14477">
        <w:t>believed to represent the most significant sink;</w:t>
      </w:r>
      <w:r w:rsidR="00C536A9">
        <w:t xml:space="preserve"> they compromise between 16% to 73% of the total estimated Ni sink </w:t>
      </w:r>
      <w:r w:rsidR="00C536A9">
        <w:fldChar w:fldCharType="begin" w:fldLock="1"/>
      </w:r>
      <w:r w:rsidR="000231A7">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budget","type":"article-journal","volume":"547"},"uris":["http://www.mendeley.com/documents/?uuid=f607925b-4382-4ec6-84d0-54cce6d64a1c"]}],"mendeley":{"formattedCitation":"(Ciscato et al., 2018; Gall et al., 2013; Little et al., 2020)","plainTextFormattedCitation":"(Ciscato et al., 2018; Gall et al., 2013; Little et al., 2020)","previouslyFormattedCitation":"(Ciscato et al., 2018; Gall et al., 2013; Little et al., 2020)"},"properties":{"noteIndex":0},"schema":"https://github.com/citation-style-language/schema/raw/master/csl-citation.json"}</w:instrText>
      </w:r>
      <w:r w:rsidR="00C536A9">
        <w:fldChar w:fldCharType="separate"/>
      </w:r>
      <w:r w:rsidR="00C536A9" w:rsidRPr="00C536A9">
        <w:rPr>
          <w:noProof/>
        </w:rPr>
        <w:t>(Ciscato et al., 2018; Gall et al., 2013; Little et al., 2020)</w:t>
      </w:r>
      <w:r w:rsidR="00C536A9">
        <w:fldChar w:fldCharType="end"/>
      </w:r>
      <w:r w:rsidR="00C536A9">
        <w:t>.</w:t>
      </w:r>
      <w:r w:rsidR="00F14477">
        <w:t xml:space="preserve"> </w:t>
      </w:r>
      <w:r w:rsidR="00FE7CDA">
        <w:t xml:space="preserve">Organic </w:t>
      </w:r>
      <w:r w:rsidR="001A2BC3">
        <w:t>rich matter is estimated to be the next most significant sink</w:t>
      </w:r>
      <w:r w:rsidR="00933AF6">
        <w:t xml:space="preserve"> and</w:t>
      </w:r>
      <w:r w:rsidR="001A2BC3">
        <w:t xml:space="preserve"> make up </w:t>
      </w:r>
      <w:r w:rsidR="008D31D5">
        <w:t>23 to 34% of the total estimated Ni sink</w:t>
      </w:r>
      <w:r w:rsidR="002832C3">
        <w:t xml:space="preserve"> </w:t>
      </w:r>
      <w:r w:rsidR="002832C3">
        <w:fldChar w:fldCharType="begin" w:fldLock="1"/>
      </w:r>
      <w:r w:rsidR="000231A7">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rsidR="002832C3">
        <w:fldChar w:fldCharType="separate"/>
      </w:r>
      <w:r w:rsidR="002832C3" w:rsidRPr="002832C3">
        <w:rPr>
          <w:noProof/>
        </w:rPr>
        <w:t>(Ciscato et al., 2018; Little et al., 2020)</w:t>
      </w:r>
      <w:r w:rsidR="002832C3">
        <w:fldChar w:fldCharType="end"/>
      </w:r>
      <w:r w:rsidR="008D31D5">
        <w:t>.</w:t>
      </w:r>
      <w:r w:rsidR="001E43B5">
        <w:t xml:space="preserve"> </w:t>
      </w:r>
      <w:commentRangeStart w:id="5"/>
      <w:r w:rsidR="007233D6">
        <w:t>Euxinic sediments</w:t>
      </w:r>
      <w:r w:rsidR="009C7FD5">
        <w:t xml:space="preserve"> </w:t>
      </w:r>
      <w:commentRangeEnd w:id="5"/>
      <w:r w:rsidR="000231A7">
        <w:rPr>
          <w:rStyle w:val="CommentReference"/>
        </w:rPr>
        <w:commentReference w:id="5"/>
      </w:r>
      <w:r w:rsidR="009C7FD5">
        <w:t>appear to be a much smaller constituent of the total Ni sink</w:t>
      </w:r>
      <w:r w:rsidR="007233D6">
        <w:t xml:space="preserve">, around 2.5% </w:t>
      </w:r>
      <w:r w:rsidR="007233D6">
        <w:fldChar w:fldCharType="begin" w:fldLock="1"/>
      </w:r>
      <w:r w:rsidR="00B45601">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Sea","type":"article-journal","volume":"374"},"uris":["http://www.mendeley.com/documents/?uuid=5374985e-4110-3893-9a8b-a680fbb0094c"]}],"mendeley":{"formattedCitation":"(Ciscato et al., 2018; Vance et al., 2016)","plainTextFormattedCitation":"(Ciscato et al., 2018; Vance et al., 2016)","previouslyFormattedCitation":"(Ciscato et al., 2018; Little et al., 2020)"},"properties":{"noteIndex":0},"schema":"https://github.com/citation-style-language/schema/raw/master/csl-citation.json"}</w:instrText>
      </w:r>
      <w:r w:rsidR="007233D6">
        <w:fldChar w:fldCharType="separate"/>
      </w:r>
      <w:r w:rsidR="00B45601" w:rsidRPr="00B45601">
        <w:rPr>
          <w:noProof/>
        </w:rPr>
        <w:t>(Ciscato et al., 2018; Vance et al., 2016)</w:t>
      </w:r>
      <w:r w:rsidR="007233D6">
        <w:fldChar w:fldCharType="end"/>
      </w:r>
      <w:r w:rsidR="00994989">
        <w:t xml:space="preserve">, </w:t>
      </w:r>
      <w:commentRangeStart w:id="6"/>
      <w:r w:rsidR="00994989">
        <w:t xml:space="preserve">although the significance of </w:t>
      </w:r>
      <w:proofErr w:type="spellStart"/>
      <w:r w:rsidR="00994989">
        <w:t>sulfidizat</w:t>
      </w:r>
      <w:r w:rsidR="00B45601">
        <w:t>i</w:t>
      </w:r>
      <w:r w:rsidR="00994989">
        <w:t>on</w:t>
      </w:r>
      <w:proofErr w:type="spellEnd"/>
      <w:r w:rsidR="00994989">
        <w:t xml:space="preserve"> in organic matter has not been assessed. </w:t>
      </w:r>
      <w:commentRangeEnd w:id="6"/>
      <w:r w:rsidR="00994989">
        <w:rPr>
          <w:rStyle w:val="CommentReference"/>
        </w:rPr>
        <w:commentReference w:id="6"/>
      </w:r>
      <w:r w:rsidR="004F4595">
        <w:t xml:space="preserve">Some believe that </w:t>
      </w:r>
      <w:r w:rsidR="000231A7">
        <w:t>carbonates</w:t>
      </w:r>
      <w:r w:rsidR="004F4595">
        <w:t xml:space="preserve"> are a</w:t>
      </w:r>
      <w:r w:rsidR="000231A7">
        <w:t>n insignificant</w:t>
      </w:r>
      <w:r w:rsidR="004F4595">
        <w:t xml:space="preserve"> sink (similar in size to euxinic sediments)</w:t>
      </w:r>
      <w:r w:rsidR="000231A7">
        <w:t xml:space="preserve"> </w:t>
      </w:r>
      <w:r w:rsidR="000231A7">
        <w:fldChar w:fldCharType="begin" w:fldLock="1"/>
      </w:r>
      <w:r w:rsidR="00B45601">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rsidR="000231A7">
        <w:fldChar w:fldCharType="separate"/>
      </w:r>
      <w:r w:rsidR="000231A7" w:rsidRPr="000231A7">
        <w:rPr>
          <w:noProof/>
        </w:rPr>
        <w:t>(Ciscato et al., 2018; Little et al., 2020)</w:t>
      </w:r>
      <w:r w:rsidR="000231A7">
        <w:fldChar w:fldCharType="end"/>
      </w:r>
      <w:r w:rsidR="000231A7">
        <w:t xml:space="preserve">, but a recent study argues the ubiquity </w:t>
      </w:r>
      <w:r w:rsidR="00B251B6">
        <w:t xml:space="preserve">of carbonate deposition </w:t>
      </w:r>
      <w:r w:rsidR="00CD39FC">
        <w:t>causes</w:t>
      </w:r>
      <w:r w:rsidR="00B251B6">
        <w:t xml:space="preserve"> the carbonate Ni sink</w:t>
      </w:r>
      <w:r w:rsidR="00CD39FC">
        <w:t xml:space="preserve"> to be as sizeable as the </w:t>
      </w:r>
      <w:r w:rsidR="00B251B6">
        <w:t>riverine input (</w:t>
      </w:r>
      <w:r w:rsidR="00516B29" w:rsidRPr="00516B29">
        <w:t>1.5 to 6.7 x</w:t>
      </w:r>
      <w:r w:rsidR="00516B29">
        <w:t xml:space="preserve"> </w:t>
      </w:r>
      <w:r w:rsidR="00516B29" w:rsidRPr="00516B29">
        <w:t>10</w:t>
      </w:r>
      <w:r w:rsidR="00516B29" w:rsidRPr="00516B29">
        <w:rPr>
          <w:vertAlign w:val="superscript"/>
        </w:rPr>
        <w:t>8</w:t>
      </w:r>
      <w:r w:rsidR="00516B29">
        <w:rPr>
          <w:vertAlign w:val="superscript"/>
        </w:rPr>
        <w:t xml:space="preserve"> </w:t>
      </w:r>
      <w:r w:rsidR="00516B29">
        <w:t>Ni mol/</w:t>
      </w:r>
      <w:proofErr w:type="spellStart"/>
      <w:r w:rsidR="00516B29">
        <w:t>yr</w:t>
      </w:r>
      <w:proofErr w:type="spellEnd"/>
      <w:r w:rsidR="00516B29">
        <w:t>) (Alvarez study 2021).</w:t>
      </w:r>
    </w:p>
    <w:p w14:paraId="7E40B7BC" w14:textId="40A676A7" w:rsidR="000C7307" w:rsidRPr="00EA74D5" w:rsidRDefault="000C7307" w:rsidP="000C7307">
      <w:pPr>
        <w:spacing w:after="0"/>
        <w:jc w:val="both"/>
        <w:textAlignment w:val="baseline"/>
        <w:rPr>
          <w:b/>
          <w:bCs/>
        </w:rPr>
      </w:pPr>
      <w:r w:rsidRPr="00EA74D5">
        <w:rPr>
          <w:b/>
          <w:bCs/>
        </w:rPr>
        <w:t>Resolving the imbalance</w:t>
      </w:r>
    </w:p>
    <w:p w14:paraId="2DE15EA3" w14:textId="16081505" w:rsidR="000A28EF" w:rsidRDefault="000A28EF" w:rsidP="000A28EF">
      <w:pPr>
        <w:spacing w:after="0" w:line="240" w:lineRule="auto"/>
        <w:ind w:firstLine="720"/>
        <w:contextualSpacing/>
        <w:jc w:val="both"/>
      </w:pPr>
      <w:r>
        <w:t xml:space="preserve"> There are two potential causes of the imbalance (1) missing fluxes or (2) inaccurate flux estimates, or both. </w:t>
      </w:r>
      <w:r w:rsidR="00653471">
        <w:t>Concerning cause 1, o</w:t>
      </w:r>
      <w:r>
        <w:t>btaining better estimates is a challenging task</w:t>
      </w:r>
      <w:r w:rsidRPr="004164EA">
        <w:t xml:space="preserve">. </w:t>
      </w:r>
      <w:r>
        <w:t>However, assuming</w:t>
      </w:r>
      <w:r w:rsidRPr="004164EA">
        <w:t xml:space="preserve"> the ocean is </w:t>
      </w:r>
      <w:r>
        <w:t>at or near</w:t>
      </w:r>
      <w:r w:rsidRPr="004164EA">
        <w:t xml:space="preserve"> steady state with respect to Ni,</w:t>
      </w:r>
      <w:r>
        <w:t xml:space="preserve"> </w:t>
      </w:r>
      <w:r w:rsidRPr="004164EA">
        <w:t>the fluxes and the abundance weighted isotopic compositions</w:t>
      </w:r>
      <w:r>
        <w:t xml:space="preserve"> of the Ni sources and sinks should balance. Therefore, we can use isotope mass balance to constrain</w:t>
      </w:r>
      <w:r w:rsidRPr="004164EA">
        <w:rPr>
          <w:color w:val="000000"/>
        </w:rPr>
        <w:t xml:space="preserve"> the </w:t>
      </w:r>
      <w:r>
        <w:rPr>
          <w:color w:val="000000"/>
        </w:rPr>
        <w:t>fluxes and Ni marine budget</w:t>
      </w:r>
      <w:r w:rsidRPr="004164EA">
        <w:rPr>
          <w:color w:val="000000"/>
        </w:rPr>
        <w:t xml:space="preserve"> in three dimensions (</w:t>
      </w:r>
      <w:r w:rsidRPr="00911B40">
        <w:rPr>
          <w:i/>
          <w:iCs/>
          <w:color w:val="000000"/>
        </w:rPr>
        <w:t>i.e.,</w:t>
      </w:r>
      <w:r>
        <w:rPr>
          <w:color w:val="000000"/>
        </w:rPr>
        <w:t xml:space="preserve"> mass </w:t>
      </w:r>
      <w:r w:rsidRPr="004164EA">
        <w:rPr>
          <w:color w:val="000000"/>
        </w:rPr>
        <w:t xml:space="preserve">flux, </w:t>
      </w:r>
      <w:r>
        <w:rPr>
          <w:color w:val="000000"/>
        </w:rPr>
        <w:t>Ni concentration,</w:t>
      </w:r>
      <w:r w:rsidRPr="004164EA">
        <w:rPr>
          <w:color w:val="000000"/>
        </w:rPr>
        <w:t xml:space="preserve"> and δ</w:t>
      </w:r>
      <w:r w:rsidRPr="004164EA">
        <w:rPr>
          <w:color w:val="000000"/>
          <w:vertAlign w:val="superscript"/>
        </w:rPr>
        <w:t>60/58</w:t>
      </w:r>
      <w:r w:rsidRPr="004164EA">
        <w:rPr>
          <w:color w:val="000000"/>
        </w:rPr>
        <w:t>Ni</w:t>
      </w:r>
      <w:r>
        <w:rPr>
          <w:color w:val="000000"/>
        </w:rPr>
        <w:t xml:space="preserve">, where </w:t>
      </w:r>
      <w:r w:rsidRPr="004164EA">
        <w:t>δ</w:t>
      </w:r>
      <w:r w:rsidRPr="004164EA">
        <w:rPr>
          <w:vertAlign w:val="superscript"/>
        </w:rPr>
        <w:t>60/58</w:t>
      </w:r>
      <w:r w:rsidRPr="004164EA">
        <w:t>Ni</w:t>
      </w:r>
      <w:r w:rsidRPr="004164EA">
        <w:rPr>
          <w:vertAlign w:val="subscript"/>
        </w:rPr>
        <w:t>sample</w:t>
      </w:r>
      <w:r w:rsidRPr="004164EA">
        <w:t xml:space="preserve"> = (</w:t>
      </w:r>
      <w:r w:rsidRPr="004164EA">
        <w:rPr>
          <w:vertAlign w:val="superscript"/>
        </w:rPr>
        <w:t>60/58</w:t>
      </w:r>
      <w:r w:rsidRPr="004164EA">
        <w:t>Ni</w:t>
      </w:r>
      <w:r w:rsidRPr="004164EA">
        <w:rPr>
          <w:vertAlign w:val="subscript"/>
        </w:rPr>
        <w:t>sample</w:t>
      </w:r>
      <w:r w:rsidRPr="004164EA">
        <w:t>/</w:t>
      </w:r>
      <w:r w:rsidRPr="004164EA">
        <w:rPr>
          <w:vertAlign w:val="superscript"/>
        </w:rPr>
        <w:t>60/58</w:t>
      </w:r>
      <w:r w:rsidRPr="004164EA">
        <w:t>Ni</w:t>
      </w:r>
      <w:r w:rsidRPr="004164EA">
        <w:rPr>
          <w:vertAlign w:val="subscript"/>
        </w:rPr>
        <w:t>standard</w:t>
      </w:r>
      <w:r w:rsidRPr="004164EA">
        <w:t xml:space="preserve"> -1) x 1000‰</w:t>
      </w:r>
      <w:r>
        <w:rPr>
          <w:color w:val="000000"/>
        </w:rPr>
        <w:t>).</w:t>
      </w:r>
      <w:r w:rsidRPr="004164EA">
        <w:rPr>
          <w:color w:val="000000"/>
        </w:rPr>
        <w:t xml:space="preserve"> </w:t>
      </w:r>
      <w:bookmarkStart w:id="7" w:name="_Hlk63688902"/>
      <w:r>
        <w:rPr>
          <w:color w:val="222222"/>
          <w:shd w:val="clear" w:color="auto" w:fill="FFFFFF"/>
        </w:rPr>
        <w:t>To apply this approach, we must know t</w:t>
      </w:r>
      <w:r w:rsidRPr="004A56F7">
        <w:rPr>
          <w:color w:val="222222"/>
          <w:shd w:val="clear" w:color="auto" w:fill="FFFFFF"/>
        </w:rPr>
        <w:t>he isotopic compositions of major fluxes</w:t>
      </w:r>
      <w:r>
        <w:rPr>
          <w:color w:val="222222"/>
          <w:shd w:val="clear" w:color="auto" w:fill="FFFFFF"/>
        </w:rPr>
        <w:t>.</w:t>
      </w:r>
      <w:r>
        <w:t xml:space="preserve"> While the isotopic compositions of known sources are reasonably well characterized, </w:t>
      </w:r>
      <w:bookmarkEnd w:id="7"/>
      <w:r>
        <w:t xml:space="preserve">the sinks, which are dependent on the isotopic composition of seawater and the sink’s </w:t>
      </w:r>
      <w:r w:rsidRPr="00E75FB7">
        <w:t xml:space="preserve">isotope fractionation </w:t>
      </w:r>
      <w:r w:rsidRPr="00E75FB7">
        <w:lastRenderedPageBreak/>
        <w:t>(Δ</w:t>
      </w:r>
      <w:r w:rsidRPr="00E75FB7">
        <w:rPr>
          <w:vertAlign w:val="superscript"/>
        </w:rPr>
        <w:t>60/58</w:t>
      </w:r>
      <w:r w:rsidRPr="00E75FB7">
        <w:t>Ni</w:t>
      </w:r>
      <w:r w:rsidRPr="00E75FB7">
        <w:rPr>
          <w:vertAlign w:val="subscript"/>
        </w:rPr>
        <w:t>solution-output</w:t>
      </w:r>
      <w:r w:rsidRPr="00E75FB7">
        <w:t xml:space="preserve"> = δ</w:t>
      </w:r>
      <w:r w:rsidRPr="00E75FB7">
        <w:rPr>
          <w:vertAlign w:val="superscript"/>
        </w:rPr>
        <w:t>60/58</w:t>
      </w:r>
      <w:r w:rsidRPr="00E75FB7">
        <w:t>Ni</w:t>
      </w:r>
      <w:r w:rsidRPr="00E75FB7">
        <w:rPr>
          <w:vertAlign w:val="subscript"/>
        </w:rPr>
        <w:t>solution</w:t>
      </w:r>
      <w:r w:rsidRPr="00E75FB7">
        <w:t xml:space="preserve"> </w:t>
      </w:r>
      <w:r>
        <w:t xml:space="preserve">- </w:t>
      </w:r>
      <w:r w:rsidRPr="00E75FB7">
        <w:t>δ</w:t>
      </w:r>
      <w:r w:rsidRPr="00E75FB7">
        <w:rPr>
          <w:vertAlign w:val="superscript"/>
        </w:rPr>
        <w:t>60/58</w:t>
      </w:r>
      <w:r w:rsidRPr="00E75FB7">
        <w:t>Ni</w:t>
      </w:r>
      <w:r>
        <w:rPr>
          <w:vertAlign w:val="subscript"/>
        </w:rPr>
        <w:t>sink</w:t>
      </w:r>
      <w:r w:rsidRPr="00E75FB7">
        <w:t>)</w:t>
      </w:r>
      <w:r>
        <w:t xml:space="preserve">, are difficult to ascertain. Once the major isotope parameters have been identified, we can apply the isotope mass balance constraint, evaluate the flux estimates, and hopefully resolve the mass imbalance. </w:t>
      </w:r>
    </w:p>
    <w:p w14:paraId="417FEF9E" w14:textId="49A990F8" w:rsidR="00025394" w:rsidRDefault="00025394" w:rsidP="00025394">
      <w:pPr>
        <w:spacing w:after="0" w:line="240" w:lineRule="auto"/>
        <w:contextualSpacing/>
        <w:jc w:val="both"/>
      </w:pPr>
    </w:p>
    <w:p w14:paraId="4D22BB5C" w14:textId="39F86DF4" w:rsidR="000C7307" w:rsidRDefault="000C7307" w:rsidP="000C7307">
      <w:pPr>
        <w:spacing w:after="0"/>
        <w:jc w:val="both"/>
        <w:textAlignment w:val="baseline"/>
      </w:pPr>
    </w:p>
    <w:p w14:paraId="2232BB8A" w14:textId="0F515BA0" w:rsidR="000C7307" w:rsidRDefault="000C7307" w:rsidP="000C7307">
      <w:pPr>
        <w:spacing w:after="0"/>
        <w:jc w:val="both"/>
        <w:textAlignment w:val="baseline"/>
      </w:pPr>
    </w:p>
    <w:p w14:paraId="3F34CF55" w14:textId="6802D149" w:rsidR="000C7307" w:rsidRDefault="000C7307" w:rsidP="000C7307">
      <w:pPr>
        <w:spacing w:after="0"/>
        <w:jc w:val="both"/>
        <w:textAlignment w:val="baseline"/>
      </w:pPr>
    </w:p>
    <w:p w14:paraId="7F888FDE" w14:textId="7B2ED909" w:rsidR="00CD16B0" w:rsidRDefault="00CD16B0" w:rsidP="00CD16B0">
      <w:pPr>
        <w:jc w:val="both"/>
      </w:pPr>
    </w:p>
    <w:sectPr w:rsidR="00CD16B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 Juliet Baransky" w:date="2020-12-29T12:26:00Z" w:initials="EJB">
    <w:p w14:paraId="3F72CA90" w14:textId="3A3A3E70" w:rsidR="002641CF" w:rsidRDefault="002641CF">
      <w:pPr>
        <w:pStyle w:val="CommentText"/>
      </w:pPr>
      <w:r>
        <w:rPr>
          <w:rStyle w:val="CommentReference"/>
        </w:rPr>
        <w:annotationRef/>
      </w:r>
      <w:r>
        <w:t xml:space="preserve">Maybe I should cite the </w:t>
      </w:r>
      <w:proofErr w:type="spellStart"/>
      <w:r>
        <w:t>koshinwara</w:t>
      </w:r>
      <w:proofErr w:type="spellEnd"/>
      <w:r>
        <w:t xml:space="preserve"> or whatever, 1970’s guy?</w:t>
      </w:r>
    </w:p>
  </w:comment>
  <w:comment w:id="1" w:author="Eva Juliet Baransky" w:date="2021-02-27T15:13:00Z" w:initials="EJB">
    <w:p w14:paraId="31DFBF8A" w14:textId="2DA826AD" w:rsidR="0099379D" w:rsidRDefault="0099379D">
      <w:pPr>
        <w:pStyle w:val="CommentText"/>
      </w:pPr>
      <w:r>
        <w:rPr>
          <w:rStyle w:val="CommentReference"/>
        </w:rPr>
        <w:annotationRef/>
      </w:r>
      <w:r>
        <w:t>I should maybe give some concentration data</w:t>
      </w:r>
    </w:p>
  </w:comment>
  <w:comment w:id="2" w:author="Eva Juliet Baransky" w:date="2021-02-27T13:24:00Z" w:initials="EJB">
    <w:p w14:paraId="28FC9272" w14:textId="7C3A723C" w:rsidR="00991CC4" w:rsidRDefault="00991CC4">
      <w:pPr>
        <w:pStyle w:val="CommentText"/>
      </w:pPr>
      <w:r>
        <w:rPr>
          <w:rStyle w:val="CommentReference"/>
        </w:rPr>
        <w:annotationRef/>
      </w:r>
      <w:r>
        <w:t>I should maybe flesh out which rivers seem important to the budget and how Ni behaves in estuaries.</w:t>
      </w:r>
    </w:p>
  </w:comment>
  <w:comment w:id="3" w:author="Eva Juliet Baransky" w:date="2021-02-27T13:23:00Z" w:initials="EJB">
    <w:p w14:paraId="05781976" w14:textId="36670376" w:rsidR="00991CC4" w:rsidRDefault="00991CC4">
      <w:pPr>
        <w:pStyle w:val="CommentText"/>
      </w:pPr>
      <w:r>
        <w:rPr>
          <w:rStyle w:val="CommentReference"/>
        </w:rPr>
        <w:annotationRef/>
      </w:r>
      <w:r>
        <w:t>I should look more into this</w:t>
      </w:r>
    </w:p>
  </w:comment>
  <w:comment w:id="4" w:author="Eva Juliet Baransky" w:date="2021-02-27T13:35:00Z" w:initials="EJB">
    <w:p w14:paraId="5906FE96" w14:textId="689C5695" w:rsidR="009E4666" w:rsidRDefault="009E4666">
      <w:pPr>
        <w:pStyle w:val="CommentText"/>
      </w:pPr>
      <w:r>
        <w:rPr>
          <w:rStyle w:val="CommentReference"/>
        </w:rPr>
        <w:annotationRef/>
      </w:r>
      <w:r>
        <w:t xml:space="preserve">Comment on </w:t>
      </w:r>
      <w:r w:rsidR="00BF578F">
        <w:t>how they calculated this flux and how further research is clearly needed.</w:t>
      </w:r>
    </w:p>
  </w:comment>
  <w:comment w:id="5" w:author="Eva Juliet Baransky" w:date="2021-02-27T15:02:00Z" w:initials="EJB">
    <w:p w14:paraId="1DFC4C9C" w14:textId="6FA55B9E" w:rsidR="000231A7" w:rsidRDefault="000231A7">
      <w:pPr>
        <w:pStyle w:val="CommentText"/>
      </w:pPr>
      <w:r>
        <w:rPr>
          <w:rStyle w:val="CommentReference"/>
        </w:rPr>
        <w:annotationRef/>
      </w:r>
      <w:r>
        <w:t xml:space="preserve">Should I include Ni’s affinity for these different sinks? </w:t>
      </w:r>
    </w:p>
  </w:comment>
  <w:comment w:id="6" w:author="Eva Juliet Baransky" w:date="2021-01-03T12:12:00Z" w:initials="EJB">
    <w:p w14:paraId="2CED6967" w14:textId="5A38B8C8" w:rsidR="00994989" w:rsidRDefault="00994989">
      <w:pPr>
        <w:pStyle w:val="CommentText"/>
      </w:pPr>
      <w:r>
        <w:rPr>
          <w:rStyle w:val="CommentReference"/>
        </w:rPr>
        <w:annotationRef/>
      </w:r>
      <w:r>
        <w:t xml:space="preserve">Not sure if this is true, need to talk to </w:t>
      </w:r>
      <w:proofErr w:type="spellStart"/>
      <w:r>
        <w:t>laura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72CA90" w15:done="0"/>
  <w15:commentEx w15:paraId="31DFBF8A" w15:done="0"/>
  <w15:commentEx w15:paraId="28FC9272" w15:done="0"/>
  <w15:commentEx w15:paraId="05781976" w15:done="0"/>
  <w15:commentEx w15:paraId="5906FE96" w15:done="0"/>
  <w15:commentEx w15:paraId="1DFC4C9C" w15:done="0"/>
  <w15:commentEx w15:paraId="2CED69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9EFD" w16cex:dateUtc="2020-12-29T17:26:00Z"/>
  <w16cex:commentExtensible w16cex:durableId="23E4E029" w16cex:dateUtc="2021-02-27T22:13:00Z"/>
  <w16cex:commentExtensible w16cex:durableId="23E4C69C" w16cex:dateUtc="2021-02-27T20:24:00Z"/>
  <w16cex:commentExtensible w16cex:durableId="23E4C668" w16cex:dateUtc="2021-02-27T20:23:00Z"/>
  <w16cex:commentExtensible w16cex:durableId="23E4C93D" w16cex:dateUtc="2021-02-27T20:35:00Z"/>
  <w16cex:commentExtensible w16cex:durableId="23E4DD6A" w16cex:dateUtc="2021-02-27T22:02:00Z"/>
  <w16cex:commentExtensible w16cex:durableId="239C3326" w16cex:dateUtc="2021-01-03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72CA90" w16cid:durableId="23959EFD"/>
  <w16cid:commentId w16cid:paraId="31DFBF8A" w16cid:durableId="23E4E029"/>
  <w16cid:commentId w16cid:paraId="28FC9272" w16cid:durableId="23E4C69C"/>
  <w16cid:commentId w16cid:paraId="05781976" w16cid:durableId="23E4C668"/>
  <w16cid:commentId w16cid:paraId="5906FE96" w16cid:durableId="23E4C93D"/>
  <w16cid:commentId w16cid:paraId="1DFC4C9C" w16cid:durableId="23E4DD6A"/>
  <w16cid:commentId w16cid:paraId="2CED6967" w16cid:durableId="239C33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D0336"/>
    <w:multiLevelType w:val="multilevel"/>
    <w:tmpl w:val="B78608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A01CF9"/>
    <w:multiLevelType w:val="hybridMultilevel"/>
    <w:tmpl w:val="88709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F0363"/>
    <w:multiLevelType w:val="multilevel"/>
    <w:tmpl w:val="48C65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0"/>
  </w:num>
  <w:num w:numId="4">
    <w:abstractNumId w:val="0"/>
    <w:lvlOverride w:ilvl="0">
      <w:lvl w:ilvl="0">
        <w:numFmt w:val="decimal"/>
        <w:lvlText w:val=""/>
        <w:lvlJc w:val="left"/>
      </w:lvl>
    </w:lvlOverride>
    <w:lvlOverride w:ilvl="1">
      <w:lvl w:ilvl="1">
        <w:numFmt w:val="lowerLetter"/>
        <w:lvlText w:val="%2."/>
        <w:lvlJc w:val="left"/>
      </w:lvl>
    </w:lvlOverride>
  </w:num>
  <w:num w:numId="5">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BC9"/>
    <w:rsid w:val="00001162"/>
    <w:rsid w:val="000231A7"/>
    <w:rsid w:val="00025394"/>
    <w:rsid w:val="00027AEF"/>
    <w:rsid w:val="0004437C"/>
    <w:rsid w:val="00051BE9"/>
    <w:rsid w:val="00051D83"/>
    <w:rsid w:val="000647F7"/>
    <w:rsid w:val="00066E75"/>
    <w:rsid w:val="0007646B"/>
    <w:rsid w:val="000A28EF"/>
    <w:rsid w:val="000A6CDD"/>
    <w:rsid w:val="000B2B4E"/>
    <w:rsid w:val="000C14C0"/>
    <w:rsid w:val="000C46BD"/>
    <w:rsid w:val="000C61FD"/>
    <w:rsid w:val="000C7307"/>
    <w:rsid w:val="000D4903"/>
    <w:rsid w:val="000E3C6B"/>
    <w:rsid w:val="000E5A5D"/>
    <w:rsid w:val="000E795D"/>
    <w:rsid w:val="000F208A"/>
    <w:rsid w:val="0010015C"/>
    <w:rsid w:val="00170FBA"/>
    <w:rsid w:val="001803A9"/>
    <w:rsid w:val="0018157B"/>
    <w:rsid w:val="001A1B89"/>
    <w:rsid w:val="001A2BC3"/>
    <w:rsid w:val="001D050B"/>
    <w:rsid w:val="001D4586"/>
    <w:rsid w:val="001E43B5"/>
    <w:rsid w:val="001F5B4B"/>
    <w:rsid w:val="001F6EB4"/>
    <w:rsid w:val="00202992"/>
    <w:rsid w:val="002164CC"/>
    <w:rsid w:val="00231AAF"/>
    <w:rsid w:val="00246BE7"/>
    <w:rsid w:val="0025250C"/>
    <w:rsid w:val="0025367E"/>
    <w:rsid w:val="002641CF"/>
    <w:rsid w:val="002753C4"/>
    <w:rsid w:val="00277A72"/>
    <w:rsid w:val="00282DAB"/>
    <w:rsid w:val="002832C3"/>
    <w:rsid w:val="00294CD8"/>
    <w:rsid w:val="002C3391"/>
    <w:rsid w:val="002D1C0C"/>
    <w:rsid w:val="002D1D74"/>
    <w:rsid w:val="002E7742"/>
    <w:rsid w:val="00300B90"/>
    <w:rsid w:val="00300FC2"/>
    <w:rsid w:val="0030310B"/>
    <w:rsid w:val="00322441"/>
    <w:rsid w:val="00324D6B"/>
    <w:rsid w:val="003251DC"/>
    <w:rsid w:val="0032657D"/>
    <w:rsid w:val="00334E68"/>
    <w:rsid w:val="00355571"/>
    <w:rsid w:val="00380C5B"/>
    <w:rsid w:val="00386DE8"/>
    <w:rsid w:val="003923A0"/>
    <w:rsid w:val="003A08D4"/>
    <w:rsid w:val="003A10F5"/>
    <w:rsid w:val="003B0F21"/>
    <w:rsid w:val="003B473F"/>
    <w:rsid w:val="003C0FAE"/>
    <w:rsid w:val="003C7659"/>
    <w:rsid w:val="003D3902"/>
    <w:rsid w:val="003D59C5"/>
    <w:rsid w:val="003F7266"/>
    <w:rsid w:val="003F7621"/>
    <w:rsid w:val="00407DB4"/>
    <w:rsid w:val="00422566"/>
    <w:rsid w:val="00422BA4"/>
    <w:rsid w:val="00427928"/>
    <w:rsid w:val="00435F02"/>
    <w:rsid w:val="00437986"/>
    <w:rsid w:val="00440948"/>
    <w:rsid w:val="00454D56"/>
    <w:rsid w:val="004558BC"/>
    <w:rsid w:val="00464BC0"/>
    <w:rsid w:val="00476687"/>
    <w:rsid w:val="0048672E"/>
    <w:rsid w:val="004874FA"/>
    <w:rsid w:val="004A768E"/>
    <w:rsid w:val="004B14DB"/>
    <w:rsid w:val="004B31AA"/>
    <w:rsid w:val="004B4E84"/>
    <w:rsid w:val="004B5AC8"/>
    <w:rsid w:val="004C6B73"/>
    <w:rsid w:val="004C71EC"/>
    <w:rsid w:val="004C7D64"/>
    <w:rsid w:val="004D005E"/>
    <w:rsid w:val="004E6993"/>
    <w:rsid w:val="004F4595"/>
    <w:rsid w:val="004F6D1D"/>
    <w:rsid w:val="00500CF2"/>
    <w:rsid w:val="00511338"/>
    <w:rsid w:val="0051481A"/>
    <w:rsid w:val="00516B29"/>
    <w:rsid w:val="005300F0"/>
    <w:rsid w:val="0053114E"/>
    <w:rsid w:val="00546E8A"/>
    <w:rsid w:val="005510DC"/>
    <w:rsid w:val="005553EB"/>
    <w:rsid w:val="00557095"/>
    <w:rsid w:val="00560998"/>
    <w:rsid w:val="005770F9"/>
    <w:rsid w:val="005934BB"/>
    <w:rsid w:val="005A2B1A"/>
    <w:rsid w:val="005A690A"/>
    <w:rsid w:val="005B0584"/>
    <w:rsid w:val="005B4015"/>
    <w:rsid w:val="005C06A3"/>
    <w:rsid w:val="005C7D41"/>
    <w:rsid w:val="005C7DB0"/>
    <w:rsid w:val="005D0FBC"/>
    <w:rsid w:val="005D7EA9"/>
    <w:rsid w:val="005E1B01"/>
    <w:rsid w:val="005E71E2"/>
    <w:rsid w:val="005F296C"/>
    <w:rsid w:val="006102DF"/>
    <w:rsid w:val="006116CD"/>
    <w:rsid w:val="0061236C"/>
    <w:rsid w:val="00614C88"/>
    <w:rsid w:val="00621DF7"/>
    <w:rsid w:val="00632BC9"/>
    <w:rsid w:val="00641549"/>
    <w:rsid w:val="0065126A"/>
    <w:rsid w:val="00653471"/>
    <w:rsid w:val="0066108D"/>
    <w:rsid w:val="006801FF"/>
    <w:rsid w:val="00680AB4"/>
    <w:rsid w:val="00693D50"/>
    <w:rsid w:val="00697444"/>
    <w:rsid w:val="00697BEA"/>
    <w:rsid w:val="006A6E0D"/>
    <w:rsid w:val="006B6574"/>
    <w:rsid w:val="006C0A99"/>
    <w:rsid w:val="006D7992"/>
    <w:rsid w:val="006E0A96"/>
    <w:rsid w:val="006F0851"/>
    <w:rsid w:val="006F3198"/>
    <w:rsid w:val="006F4329"/>
    <w:rsid w:val="006F607E"/>
    <w:rsid w:val="00722AC9"/>
    <w:rsid w:val="007233D6"/>
    <w:rsid w:val="00724C4B"/>
    <w:rsid w:val="007302E4"/>
    <w:rsid w:val="007340A7"/>
    <w:rsid w:val="00740ED2"/>
    <w:rsid w:val="00741775"/>
    <w:rsid w:val="00762CED"/>
    <w:rsid w:val="00770FC4"/>
    <w:rsid w:val="00797743"/>
    <w:rsid w:val="007A4B7A"/>
    <w:rsid w:val="007B6BFD"/>
    <w:rsid w:val="007C13C5"/>
    <w:rsid w:val="007D74DB"/>
    <w:rsid w:val="007F01E1"/>
    <w:rsid w:val="00804A9C"/>
    <w:rsid w:val="0081233F"/>
    <w:rsid w:val="00820128"/>
    <w:rsid w:val="00834B04"/>
    <w:rsid w:val="008401E0"/>
    <w:rsid w:val="008564A6"/>
    <w:rsid w:val="008633C1"/>
    <w:rsid w:val="0087091F"/>
    <w:rsid w:val="0087358D"/>
    <w:rsid w:val="008A2704"/>
    <w:rsid w:val="008A589D"/>
    <w:rsid w:val="008B0FBB"/>
    <w:rsid w:val="008B666A"/>
    <w:rsid w:val="008C035B"/>
    <w:rsid w:val="008D31D5"/>
    <w:rsid w:val="008D603A"/>
    <w:rsid w:val="008D639D"/>
    <w:rsid w:val="008E02D5"/>
    <w:rsid w:val="008E3F00"/>
    <w:rsid w:val="00903EC6"/>
    <w:rsid w:val="00905D72"/>
    <w:rsid w:val="009115E4"/>
    <w:rsid w:val="00914C35"/>
    <w:rsid w:val="00923E09"/>
    <w:rsid w:val="0093240D"/>
    <w:rsid w:val="00932481"/>
    <w:rsid w:val="00933AF6"/>
    <w:rsid w:val="00934386"/>
    <w:rsid w:val="009559E0"/>
    <w:rsid w:val="00972DAD"/>
    <w:rsid w:val="00972F86"/>
    <w:rsid w:val="00973C22"/>
    <w:rsid w:val="00975C31"/>
    <w:rsid w:val="009774CF"/>
    <w:rsid w:val="00987D93"/>
    <w:rsid w:val="00991AE3"/>
    <w:rsid w:val="00991CC4"/>
    <w:rsid w:val="0099379D"/>
    <w:rsid w:val="00994989"/>
    <w:rsid w:val="009A01BA"/>
    <w:rsid w:val="009B1D30"/>
    <w:rsid w:val="009B485E"/>
    <w:rsid w:val="009B517C"/>
    <w:rsid w:val="009C2C9E"/>
    <w:rsid w:val="009C3C30"/>
    <w:rsid w:val="009C7FD5"/>
    <w:rsid w:val="009D0F13"/>
    <w:rsid w:val="009D7AED"/>
    <w:rsid w:val="009E0861"/>
    <w:rsid w:val="009E4666"/>
    <w:rsid w:val="009F19C7"/>
    <w:rsid w:val="00A10C52"/>
    <w:rsid w:val="00A14D83"/>
    <w:rsid w:val="00A35439"/>
    <w:rsid w:val="00A44F0F"/>
    <w:rsid w:val="00A470D7"/>
    <w:rsid w:val="00A52952"/>
    <w:rsid w:val="00A554D3"/>
    <w:rsid w:val="00A60883"/>
    <w:rsid w:val="00A940FF"/>
    <w:rsid w:val="00AA2D1A"/>
    <w:rsid w:val="00AB028D"/>
    <w:rsid w:val="00AE742E"/>
    <w:rsid w:val="00AF5A85"/>
    <w:rsid w:val="00AF5CFB"/>
    <w:rsid w:val="00B251B6"/>
    <w:rsid w:val="00B36984"/>
    <w:rsid w:val="00B40FF4"/>
    <w:rsid w:val="00B41207"/>
    <w:rsid w:val="00B45601"/>
    <w:rsid w:val="00B5284A"/>
    <w:rsid w:val="00B62509"/>
    <w:rsid w:val="00B6301D"/>
    <w:rsid w:val="00B64A88"/>
    <w:rsid w:val="00B6558B"/>
    <w:rsid w:val="00B70DE5"/>
    <w:rsid w:val="00B83259"/>
    <w:rsid w:val="00B833F3"/>
    <w:rsid w:val="00B92BC3"/>
    <w:rsid w:val="00BA68AE"/>
    <w:rsid w:val="00BC01D9"/>
    <w:rsid w:val="00BC0D1F"/>
    <w:rsid w:val="00BD030E"/>
    <w:rsid w:val="00BE286C"/>
    <w:rsid w:val="00BF1A8C"/>
    <w:rsid w:val="00BF578F"/>
    <w:rsid w:val="00BF6843"/>
    <w:rsid w:val="00C2531D"/>
    <w:rsid w:val="00C26777"/>
    <w:rsid w:val="00C332B0"/>
    <w:rsid w:val="00C36DB7"/>
    <w:rsid w:val="00C4589E"/>
    <w:rsid w:val="00C536A9"/>
    <w:rsid w:val="00C61F25"/>
    <w:rsid w:val="00C82F10"/>
    <w:rsid w:val="00C83F9F"/>
    <w:rsid w:val="00C85CDE"/>
    <w:rsid w:val="00C91795"/>
    <w:rsid w:val="00CB3FBC"/>
    <w:rsid w:val="00CD16B0"/>
    <w:rsid w:val="00CD2FE7"/>
    <w:rsid w:val="00CD39FC"/>
    <w:rsid w:val="00CE34BA"/>
    <w:rsid w:val="00CF6CEC"/>
    <w:rsid w:val="00D12C41"/>
    <w:rsid w:val="00D20FDC"/>
    <w:rsid w:val="00D23C59"/>
    <w:rsid w:val="00D303D3"/>
    <w:rsid w:val="00D44884"/>
    <w:rsid w:val="00D44C2F"/>
    <w:rsid w:val="00D46D75"/>
    <w:rsid w:val="00D51DE2"/>
    <w:rsid w:val="00D56103"/>
    <w:rsid w:val="00D70683"/>
    <w:rsid w:val="00D709DF"/>
    <w:rsid w:val="00D800FC"/>
    <w:rsid w:val="00D8074C"/>
    <w:rsid w:val="00D81A39"/>
    <w:rsid w:val="00DB0E3D"/>
    <w:rsid w:val="00DC7857"/>
    <w:rsid w:val="00DD1F65"/>
    <w:rsid w:val="00DD5229"/>
    <w:rsid w:val="00DD6EAA"/>
    <w:rsid w:val="00DE2312"/>
    <w:rsid w:val="00E02028"/>
    <w:rsid w:val="00E03E39"/>
    <w:rsid w:val="00E217FA"/>
    <w:rsid w:val="00E22B5C"/>
    <w:rsid w:val="00E2539C"/>
    <w:rsid w:val="00E3156F"/>
    <w:rsid w:val="00E47229"/>
    <w:rsid w:val="00E51803"/>
    <w:rsid w:val="00E5391D"/>
    <w:rsid w:val="00E56A34"/>
    <w:rsid w:val="00E847A5"/>
    <w:rsid w:val="00E86841"/>
    <w:rsid w:val="00E9200B"/>
    <w:rsid w:val="00EA0705"/>
    <w:rsid w:val="00EA74D5"/>
    <w:rsid w:val="00EE2BA6"/>
    <w:rsid w:val="00F0420A"/>
    <w:rsid w:val="00F075BC"/>
    <w:rsid w:val="00F14477"/>
    <w:rsid w:val="00F40096"/>
    <w:rsid w:val="00F619A4"/>
    <w:rsid w:val="00F74A9B"/>
    <w:rsid w:val="00F800E5"/>
    <w:rsid w:val="00F806DB"/>
    <w:rsid w:val="00F8715F"/>
    <w:rsid w:val="00F92BFC"/>
    <w:rsid w:val="00F93041"/>
    <w:rsid w:val="00FB17A4"/>
    <w:rsid w:val="00FD07EA"/>
    <w:rsid w:val="00FD3F9B"/>
    <w:rsid w:val="00FD4E58"/>
    <w:rsid w:val="00FD7F43"/>
    <w:rsid w:val="00FE3CB5"/>
    <w:rsid w:val="00FE4C87"/>
    <w:rsid w:val="00FE7CDA"/>
    <w:rsid w:val="00FF0799"/>
    <w:rsid w:val="00FF3880"/>
    <w:rsid w:val="00FF4C45"/>
    <w:rsid w:val="00FF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2D63"/>
  <w15:docId w15:val="{8F7C98A0-D2D5-4A80-9BEB-FCF87482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1468C"/>
    <w:pPr>
      <w:ind w:left="720"/>
      <w:contextualSpacing/>
    </w:pPr>
    <w:rPr>
      <w:rFonts w:asciiTheme="minorHAnsi" w:hAnsiTheme="minorHAnsi" w:cstheme="minorBidi"/>
      <w:sz w:val="22"/>
    </w:rPr>
  </w:style>
  <w:style w:type="character" w:styleId="CommentReference">
    <w:name w:val="annotation reference"/>
    <w:basedOn w:val="DefaultParagraphFont"/>
    <w:uiPriority w:val="99"/>
    <w:semiHidden/>
    <w:unhideWhenUsed/>
    <w:rsid w:val="00C66E77"/>
    <w:rPr>
      <w:sz w:val="16"/>
      <w:szCs w:val="16"/>
    </w:rPr>
  </w:style>
  <w:style w:type="paragraph" w:styleId="CommentText">
    <w:name w:val="annotation text"/>
    <w:basedOn w:val="Normal"/>
    <w:link w:val="CommentTextChar"/>
    <w:uiPriority w:val="99"/>
    <w:semiHidden/>
    <w:unhideWhenUsed/>
    <w:rsid w:val="00C66E77"/>
    <w:pPr>
      <w:spacing w:line="240" w:lineRule="auto"/>
    </w:pPr>
    <w:rPr>
      <w:sz w:val="20"/>
      <w:szCs w:val="20"/>
    </w:rPr>
  </w:style>
  <w:style w:type="character" w:customStyle="1" w:styleId="CommentTextChar">
    <w:name w:val="Comment Text Char"/>
    <w:basedOn w:val="DefaultParagraphFont"/>
    <w:link w:val="CommentText"/>
    <w:uiPriority w:val="99"/>
    <w:semiHidden/>
    <w:rsid w:val="00C66E77"/>
    <w:rPr>
      <w:sz w:val="20"/>
      <w:szCs w:val="20"/>
    </w:rPr>
  </w:style>
  <w:style w:type="paragraph" w:styleId="CommentSubject">
    <w:name w:val="annotation subject"/>
    <w:basedOn w:val="CommentText"/>
    <w:next w:val="CommentText"/>
    <w:link w:val="CommentSubjectChar"/>
    <w:uiPriority w:val="99"/>
    <w:semiHidden/>
    <w:unhideWhenUsed/>
    <w:rsid w:val="00C66E77"/>
    <w:rPr>
      <w:b/>
      <w:bCs/>
    </w:rPr>
  </w:style>
  <w:style w:type="character" w:customStyle="1" w:styleId="CommentSubjectChar">
    <w:name w:val="Comment Subject Char"/>
    <w:basedOn w:val="CommentTextChar"/>
    <w:link w:val="CommentSubject"/>
    <w:uiPriority w:val="99"/>
    <w:semiHidden/>
    <w:rsid w:val="00C66E77"/>
    <w:rPr>
      <w:b/>
      <w:bCs/>
      <w:sz w:val="20"/>
      <w:szCs w:val="20"/>
    </w:rPr>
  </w:style>
  <w:style w:type="paragraph" w:styleId="BalloonText">
    <w:name w:val="Balloon Text"/>
    <w:basedOn w:val="Normal"/>
    <w:link w:val="BalloonTextChar"/>
    <w:uiPriority w:val="99"/>
    <w:semiHidden/>
    <w:unhideWhenUsed/>
    <w:rsid w:val="00C66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E77"/>
    <w:rPr>
      <w:rFonts w:ascii="Segoe UI" w:hAnsi="Segoe UI" w:cs="Segoe UI"/>
      <w:sz w:val="18"/>
      <w:szCs w:val="18"/>
    </w:rPr>
  </w:style>
  <w:style w:type="paragraph" w:styleId="Header">
    <w:name w:val="header"/>
    <w:basedOn w:val="Normal"/>
    <w:link w:val="HeaderChar"/>
    <w:uiPriority w:val="99"/>
    <w:unhideWhenUsed/>
    <w:rsid w:val="00D65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02C"/>
  </w:style>
  <w:style w:type="paragraph" w:styleId="Footer">
    <w:name w:val="footer"/>
    <w:basedOn w:val="Normal"/>
    <w:link w:val="FooterChar"/>
    <w:uiPriority w:val="99"/>
    <w:unhideWhenUsed/>
    <w:rsid w:val="00D65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02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F7963"/>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38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Wi9fI3tEQI2FAbspuivj4EEuUg==">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09666D-E65A-4F72-A772-CA61D3464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8188</Words>
  <Characters>46674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Juliet Baransky</dc:creator>
  <cp:lastModifiedBy>Eva Juliet Baransky</cp:lastModifiedBy>
  <cp:revision>23</cp:revision>
  <dcterms:created xsi:type="dcterms:W3CDTF">2021-02-27T20:03:00Z</dcterms:created>
  <dcterms:modified xsi:type="dcterms:W3CDTF">2021-02-27T23:09:00Z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http://www.zotero.org/styles/earth-and-planetary-science-letters</vt:lpwstr>
  </property>
  <property fmtid="{D5CDD505-2E9C-101B-9397-08002B2CF9AE}" pid="13" name="Mendeley Recent Style Name 5_1">
    <vt:lpwstr>Earth and Planetary Science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http://www.zotero.org/styles/earth-and-planetary-science-letters</vt:lpwstr>
  </property>
  <property fmtid="{D5CDD505-2E9C-101B-9397-08002B2CF9AE}" pid="24" name="Mendeley Unique User Id_1">
    <vt:lpwstr>7ea801a9-11a5-3b88-b402-872f43c25890</vt:lpwstr>
  </property>
</Properties>
</file>