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A05E" w14:textId="39B2248E" w:rsidR="00CC258E" w:rsidRDefault="00CC258E" w:rsidP="00CC258E">
      <w:pPr>
        <w:pStyle w:val="Heading1"/>
      </w:pPr>
      <w:bookmarkStart w:id="0" w:name="_Toc78742001"/>
      <w:bookmarkStart w:id="1" w:name="_Toc78742117"/>
      <w:r>
        <w:t>Proposed Work</w:t>
      </w:r>
      <w:bookmarkEnd w:id="0"/>
      <w:bookmarkEnd w:id="1"/>
    </w:p>
    <w:p w14:paraId="08D03D53" w14:textId="3CBDD2A6" w:rsidR="00CC258E" w:rsidRDefault="00CC258E" w:rsidP="00CC258E">
      <w:pPr>
        <w:ind w:firstLine="720"/>
        <w:jc w:val="both"/>
      </w:pPr>
      <w:r>
        <w:t xml:space="preserve">While the apparent marine Ni isotope imbalance seems quite complicated and will take several studies to resolve, we can begin to investigate the cause by tackling </w:t>
      </w:r>
      <w:r w:rsidR="00E66E91">
        <w:t>two</w:t>
      </w:r>
      <w:r>
        <w:t xml:space="preserve"> high priority knowledge </w:t>
      </w:r>
      <w:r w:rsidRPr="007C6B97">
        <w:t xml:space="preserve">gaps. The aim of this dissertation is </w:t>
      </w:r>
      <w:r w:rsidR="007C6B97" w:rsidRPr="007C6B97">
        <w:t xml:space="preserve">to </w:t>
      </w:r>
      <w:r w:rsidR="004323DB" w:rsidRPr="007C6B97">
        <w:t>investigate</w:t>
      </w:r>
      <w:r w:rsidR="004323DB">
        <w:t xml:space="preserve"> the following questions:</w:t>
      </w:r>
    </w:p>
    <w:p w14:paraId="37CD4057" w14:textId="77777777" w:rsidR="00CC258E" w:rsidRDefault="00CC258E" w:rsidP="00CC258E">
      <w:pPr>
        <w:pStyle w:val="Heading2"/>
      </w:pPr>
      <w:bookmarkStart w:id="2" w:name="_Toc78742002"/>
      <w:bookmarkStart w:id="3" w:name="_Toc78742118"/>
      <w:r>
        <w:t>Guiding Questions</w:t>
      </w:r>
      <w:bookmarkEnd w:id="2"/>
      <w:bookmarkEnd w:id="3"/>
      <w:r>
        <w:t xml:space="preserve"> </w:t>
      </w:r>
    </w:p>
    <w:p w14:paraId="582A235E" w14:textId="5D6C7930" w:rsidR="00CC258E" w:rsidRPr="008E3EE2" w:rsidRDefault="00CC258E" w:rsidP="00CC25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Are marine carbonates an isotopically light sink of Ni? Does carbonate </w:t>
      </w:r>
      <w:r w:rsidR="00C77F2A">
        <w:rPr>
          <w:rFonts w:ascii="Times New Roman" w:hAnsi="Times New Roman" w:cs="Times New Roman"/>
          <w:sz w:val="24"/>
          <w:szCs w:val="24"/>
        </w:rPr>
        <w:t xml:space="preserve">early </w:t>
      </w:r>
      <w:r>
        <w:rPr>
          <w:rFonts w:ascii="Times New Roman" w:hAnsi="Times New Roman" w:cs="Times New Roman"/>
          <w:sz w:val="24"/>
          <w:szCs w:val="24"/>
        </w:rPr>
        <w:t>diagenesis lead to release or uptake of additional Ni and how does this impact the effective Ni isotopic composition and Ni mass flux of carbonates?</w:t>
      </w:r>
      <w:r w:rsidR="00C77F2A">
        <w:rPr>
          <w:rFonts w:ascii="Times New Roman" w:hAnsi="Times New Roman" w:cs="Times New Roman"/>
          <w:sz w:val="24"/>
          <w:szCs w:val="24"/>
        </w:rPr>
        <w:t xml:space="preserve"> Finally, can carbonates be used as a faithful geologic record of Ni isotopic composition?</w:t>
      </w:r>
    </w:p>
    <w:p w14:paraId="7129792E" w14:textId="5946EC17" w:rsidR="008C500F" w:rsidRDefault="00CC258E" w:rsidP="008C500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differences in mineralogy or accumulation rate?</w:t>
      </w:r>
    </w:p>
    <w:p w14:paraId="10DC1AA1" w14:textId="075D190C" w:rsidR="00E66E91" w:rsidRPr="00E66E91" w:rsidRDefault="00E66E91" w:rsidP="00E66E91">
      <w:pPr>
        <w:jc w:val="both"/>
      </w:pPr>
      <w:r>
        <w:t xml:space="preserve">The </w:t>
      </w:r>
      <w:r w:rsidR="007975C6">
        <w:t xml:space="preserve">above questions will inform the first and second chapter of the dissertation. </w:t>
      </w:r>
      <w:commentRangeStart w:id="4"/>
      <w:r w:rsidR="007975C6">
        <w:t xml:space="preserve">The </w:t>
      </w:r>
      <w:r>
        <w:t xml:space="preserve">third and final chapter of the dissertation will be guided by the challenges and knowledge </w:t>
      </w:r>
      <w:r w:rsidR="007975C6">
        <w:t xml:space="preserve">gaps </w:t>
      </w:r>
      <w:r>
        <w:t xml:space="preserve">described in the </w:t>
      </w:r>
      <w:r w:rsidR="007975C6">
        <w:t>literature review, but will not be described in detail here.</w:t>
      </w:r>
      <w:commentRangeEnd w:id="4"/>
      <w:r w:rsidR="007975C6">
        <w:rPr>
          <w:rStyle w:val="CommentReference"/>
        </w:rPr>
        <w:commentReference w:id="4"/>
      </w:r>
    </w:p>
    <w:p w14:paraId="065AACA1" w14:textId="1B18192E" w:rsidR="00CC258E" w:rsidRDefault="00CC258E" w:rsidP="00CC258E">
      <w:pPr>
        <w:pStyle w:val="Heading2"/>
      </w:pPr>
      <w:r>
        <w:t xml:space="preserve">Hypotheses </w:t>
      </w:r>
      <w:r w:rsidR="00AD60D3">
        <w:t>and Project Summary</w:t>
      </w:r>
    </w:p>
    <w:p w14:paraId="5F9D4566" w14:textId="77777777" w:rsidR="00CC258E" w:rsidRDefault="00CC258E" w:rsidP="00CC258E">
      <w:pPr>
        <w:pStyle w:val="ListParagraph"/>
        <w:numPr>
          <w:ilvl w:val="0"/>
          <w:numId w:val="2"/>
        </w:numPr>
      </w:pPr>
      <w:r>
        <w:t>Carbonates – sample selection and justification</w:t>
      </w:r>
    </w:p>
    <w:p w14:paraId="2F7C3AA3" w14:textId="77777777" w:rsidR="00CC258E" w:rsidRPr="006C38B2" w:rsidRDefault="00CC258E" w:rsidP="00CC258E">
      <w:pPr>
        <w:pStyle w:val="ListParagraph"/>
        <w:numPr>
          <w:ilvl w:val="0"/>
          <w:numId w:val="2"/>
        </w:numPr>
      </w:pPr>
      <w:r>
        <w:t>Mn oxides – hypotheses and proposed experiments</w:t>
      </w:r>
    </w:p>
    <w:p w14:paraId="4BE25E39" w14:textId="78682AC3" w:rsidR="00CC258E" w:rsidRDefault="00C77F2A" w:rsidP="00C77F2A">
      <w:pPr>
        <w:jc w:val="both"/>
      </w:pPr>
      <w:r>
        <w:t>Carbonates</w:t>
      </w:r>
    </w:p>
    <w:p w14:paraId="4F3D6191" w14:textId="62A0A077" w:rsidR="00C77F2A" w:rsidRDefault="00C77F2A" w:rsidP="006650E7">
      <w:pPr>
        <w:ind w:firstLine="720"/>
        <w:jc w:val="both"/>
      </w:pPr>
      <w:r>
        <w:t xml:space="preserve">Carbonates are a ubiquitous sediment across time </w:t>
      </w:r>
      <w:r w:rsidR="00044F13">
        <w:t xml:space="preserve">and space and may be a nontrivial </w:t>
      </w:r>
      <w:r w:rsidR="003F522E">
        <w:t xml:space="preserve">and perhaps isotopically light </w:t>
      </w:r>
      <w:r w:rsidR="00044F13">
        <w:t xml:space="preserve">sink of Ni. </w:t>
      </w:r>
      <w:r w:rsidR="00423F12">
        <w:t>There is clear disagreement within the community about its</w:t>
      </w:r>
      <w:r w:rsidR="006F2FEF">
        <w:t xml:space="preserve"> importance to the modern marine Ni budget</w:t>
      </w:r>
      <w:r w:rsidR="00423F12">
        <w:t>, with estimates</w:t>
      </w:r>
      <w:r w:rsidR="006F2FEF">
        <w:t xml:space="preserve"> for its output</w:t>
      </w:r>
      <w:r w:rsidR="00423F12">
        <w:t xml:space="preserve"> ranging from 3</w:t>
      </w:r>
      <w:r w:rsidR="00BB49A6">
        <w:t xml:space="preserve"> to 180</w:t>
      </w:r>
      <w:r w:rsidR="00423F12">
        <w:t>% of the riverine input</w:t>
      </w:r>
      <w:r w:rsidR="006F2FEF">
        <w:t xml:space="preserve"> </w:t>
      </w:r>
      <w:r w:rsidR="006F2FEF">
        <w:fldChar w:fldCharType="begin" w:fldLock="1"/>
      </w:r>
      <w:r w:rsidR="00212572">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Acta","id":"ITEM-2","issued":{"date-parts":[["2021"]]},"page":"184-198","title":"Nickel isotope fractionation as a function of carbonate growth rate during Ni coprecipitation with calcite","type":"article-journal","volume":"299"},"uris":["http://www.mendeley.com/documents/?uuid=70003b12-9380-49ba-a41e-8ace5b291460"]}],"mendeley":{"formattedCitation":"(Alvarez et al., 2021; Ciscato et al., 2018)","plainTextFormattedCitation":"(Alvarez et al., 2021; Ciscato et al., 2018)","previouslyFormattedCitation":"(Alvarez et al., 2021; Ciscato et al., 2018)"},"properties":{"noteIndex":0},"schema":"https://github.com/citation-style-language/schema/raw/master/csl-citation.json"}</w:instrText>
      </w:r>
      <w:r w:rsidR="006F2FEF">
        <w:fldChar w:fldCharType="separate"/>
      </w:r>
      <w:r w:rsidR="006F2FEF" w:rsidRPr="006F2FEF">
        <w:rPr>
          <w:noProof/>
        </w:rPr>
        <w:t>(Alvarez et al., 2021; Ciscato et al., 2018)</w:t>
      </w:r>
      <w:r w:rsidR="006F2FEF">
        <w:fldChar w:fldCharType="end"/>
      </w:r>
      <w:r w:rsidR="00423F12">
        <w:t xml:space="preserve">. </w:t>
      </w:r>
      <w:r w:rsidR="008032C0">
        <w:t>The</w:t>
      </w:r>
      <w:r w:rsidR="007D553D">
        <w:t xml:space="preserve"> estimate at the</w:t>
      </w:r>
      <w:r w:rsidR="008032C0">
        <w:t xml:space="preserve"> lower end of that range </w:t>
      </w:r>
      <w:r w:rsidR="007D553D">
        <w:t>likely underestimated the flux because only includes</w:t>
      </w:r>
      <w:r w:rsidR="00701D00">
        <w:t xml:space="preserve"> </w:t>
      </w:r>
      <w:r w:rsidR="008032C0">
        <w:t>Ni associated with TOC in carbonates and</w:t>
      </w:r>
      <w:r w:rsidR="006F2FEF">
        <w:t xml:space="preserve"> omit</w:t>
      </w:r>
      <w:r w:rsidR="007D553D">
        <w:t>s</w:t>
      </w:r>
      <w:r w:rsidR="006F2FEF">
        <w:t xml:space="preserve"> any Ni which might incorporate into the </w:t>
      </w:r>
      <w:r w:rsidR="00701D00">
        <w:t>inorganic component</w:t>
      </w:r>
      <w:r w:rsidR="008032C0">
        <w:t xml:space="preserve">. </w:t>
      </w:r>
      <w:r w:rsidR="00DA0282">
        <w:t>Nickel</w:t>
      </w:r>
      <w:r w:rsidR="008032C0">
        <w:t xml:space="preserve"> has been </w:t>
      </w:r>
      <w:r w:rsidR="007B7E3E">
        <w:t xml:space="preserve">experimentally </w:t>
      </w:r>
      <w:r w:rsidR="008032C0">
        <w:t xml:space="preserve">found to partition moderately into abiotic and biotic </w:t>
      </w:r>
      <w:r w:rsidR="007B7E3E">
        <w:t>calcite</w:t>
      </w:r>
      <w:r w:rsidR="00DA0282">
        <w:t xml:space="preserve">, suggesting the inorganic component may </w:t>
      </w:r>
      <w:r w:rsidR="00212572">
        <w:t>be important to consider as a host of</w:t>
      </w:r>
      <w:r w:rsidR="00DA0282">
        <w:t xml:space="preserve"> Ni</w:t>
      </w:r>
      <w:r w:rsidR="00212572">
        <w:t xml:space="preserve"> </w:t>
      </w:r>
      <w:r w:rsidR="00212572">
        <w:fldChar w:fldCharType="begin" w:fldLock="1"/>
      </w:r>
      <w:r w:rsidR="006814BE">
        <w:instrText xml:space="preserve">ADDIN CSL_CITATION {"citationItems":[{"id":"ITEM-1","itemData":{"DOI":"10.1016/j.marmicro.2020.101854","ISSN":"03778398","abstract":"Benthic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Micropaleontology","id":"ITEM-1","issued":{"date-parts":[["2020","4","1"]]},"publisher":"Elsevier B.V.","title":"Incorporation of heavy metals in experimentally grown foraminifera from Sapelo Island, Georgia and Little Duck Key, Florida, U.S.A.","type":"article-journal","volume":"156"},"uris":["http://www.mendeley.com/documents/?uuid=3cf8f65a-1807-3ad6-83ad-9fdf7f20d91c"]},{"id":"ITEM-2","itemData":{"DOI":"10.1016/j.gca.2007.04.006","ISSN":"00167037","abstract":"Partitioning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6814BE">
        <w:rPr>
          <w:rFonts w:ascii="Cambria Math" w:hAnsi="Cambria Math" w:cs="Cambria Math"/>
        </w:rPr>
        <w:instrText>∼</w:instrText>
      </w:r>
      <w:r w:rsidR="006814BE">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coprecipitation","type":"article-journal"},"uris":["http://www.mendeley.com/documents/?uuid=ab9fa0bc-c3fc-33f2-a3ce-be24c41c3901"]},{"id":"ITEM-3","itemData":{"DOI":"10.1016/j.gca.2021.02.019","ISSN":"00167037","abstract":"The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Acta","id":"ITEM-3","issued":{"date-parts":[["2021"]]},"page":"184-198","title":"Nickel isotope fractionation as a function of carbonate growth rate during Ni coprecipitation with calcite","type":"article-journal","volume":"299"},"uris":["http://www.mendeley.com/documents/?uuid=70003b12-9380-49ba-a41e-8ace5b291460"]},{"id":"ITEM-4","itemData":{"DOI":"10.5194/bg-7-2339-2010","ISSN":"17264170","abstract":"The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-4","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tepida","type":"article-journal","volume":"7"},"uris":["http://www.mendeley.com/documents/?uuid=2b9b137a-e93b-3232-a1c0-4f8dfde0bb0c"]}],"mendeley":{"formattedCitation":"(Alvarez et al., 2021; Lakshtanov and Stipp, 2007; Munsel et al., 2010; Smith et al., 2020)","plainTextFormattedCitation":"(Alvarez et al., 2021; Lakshtanov and Stipp, 2007; Munsel et al., 2010; Smith et al., 2020)","previouslyFormattedCitation":"(Alvarez et al., 2021; Lakshtanov and Stipp, 2007; Munsel et al., 2010; Smith et al., 2020)"},"properties":{"noteIndex":0},"schema":"https://github.com/citation-style-language/schema/raw/master/csl-citation.json"}</w:instrText>
      </w:r>
      <w:r w:rsidR="00212572">
        <w:fldChar w:fldCharType="separate"/>
      </w:r>
      <w:r w:rsidR="00212572" w:rsidRPr="00212572">
        <w:rPr>
          <w:noProof/>
        </w:rPr>
        <w:t>(Alvarez et al., 2021; Lakshtanov and Stipp, 2007; Munsel et al., 2010; Smith et al., 2020)</w:t>
      </w:r>
      <w:r w:rsidR="00212572">
        <w:fldChar w:fldCharType="end"/>
      </w:r>
      <w:r w:rsidR="007B7E3E">
        <w:t>.</w:t>
      </w:r>
      <w:r w:rsidR="006F2FEF">
        <w:t xml:space="preserve"> </w:t>
      </w:r>
      <w:r w:rsidR="00756BBB">
        <w:t xml:space="preserve">The estimate at the higher end of the range </w:t>
      </w:r>
      <w:r w:rsidR="007D553D">
        <w:t xml:space="preserve">likely overestimated the flux because of the odd </w:t>
      </w:r>
      <w:r w:rsidR="001377DC">
        <w:t>sample set</w:t>
      </w:r>
      <w:r w:rsidR="007D553D">
        <w:t xml:space="preserve"> selection</w:t>
      </w:r>
      <w:r w:rsidR="00F675C2">
        <w:t xml:space="preserve"> (i.e., carboniferous limestones from a single region with </w:t>
      </w:r>
      <w:commentRangeStart w:id="5"/>
      <w:r w:rsidR="00F675C2">
        <w:t>typically higher [Ni] than more modern carbonates</w:t>
      </w:r>
      <w:commentRangeEnd w:id="5"/>
      <w:r w:rsidR="00F675C2">
        <w:rPr>
          <w:rStyle w:val="CommentReference"/>
        </w:rPr>
        <w:commentReference w:id="5"/>
      </w:r>
      <w:r w:rsidR="00F675C2">
        <w:t xml:space="preserve">) </w:t>
      </w:r>
      <w:r w:rsidR="007D553D">
        <w:t xml:space="preserve">to represent the average Ni concentration of </w:t>
      </w:r>
      <w:r w:rsidR="001377DC">
        <w:t>primary carbonates</w:t>
      </w:r>
      <w:r w:rsidR="006814BE">
        <w:t xml:space="preserve"> </w:t>
      </w:r>
      <w:r w:rsidR="006814BE">
        <w:fldChar w:fldCharType="begin" w:fldLock="1"/>
      </w:r>
      <w:r w:rsidR="008A4717">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calcite","type":"article-journal","volume":"299"},"uris":["http://www.mendeley.com/documents/?uuid=70003b12-9380-49ba-a41e-8ace5b291460"]},{"id":"ITEM-2","itemData":{"DOI":"10.1016/j.gca.2014.07.001","ISSN":"00167037","abstract":"A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Acta","id":"ITEM-2","issued":{"date-parts":[["2014"]]},"page":"508-531","publisher":"Elsevier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limestones","type":"article-journal","volume":"141"},"uris":["http://www.mendeley.com/documents/?uuid=6bd6750b-c382-434f-9da6-8426c440a8e6"]}],"mendeley":{"formattedCitation":"(Alvarez et al., 2021; Zhao and Zheng, 2014)","plainTextFormattedCitation":"(Alvarez et al., 2021; Zhao and Zheng, 2014)","previouslyFormattedCitation":"(Alvarez et al., 2021; Zhao and Zheng, 2014)"},"properties":{"noteIndex":0},"schema":"https://github.com/citation-style-language/schema/raw/master/csl-citation.json"}</w:instrText>
      </w:r>
      <w:r w:rsidR="006814BE">
        <w:fldChar w:fldCharType="separate"/>
      </w:r>
      <w:r w:rsidR="006814BE" w:rsidRPr="006814BE">
        <w:rPr>
          <w:noProof/>
        </w:rPr>
        <w:t>(Alvarez et al., 2021; Zhao and Zheng, 2014)</w:t>
      </w:r>
      <w:r w:rsidR="006814BE">
        <w:fldChar w:fldCharType="end"/>
      </w:r>
      <w:r w:rsidR="007D553D">
        <w:t xml:space="preserve">. </w:t>
      </w:r>
      <w:r w:rsidR="007D28D1">
        <w:t xml:space="preserve">We anticipate that the true estimation lies somewhere between these </w:t>
      </w:r>
      <w:r w:rsidR="006E0F46">
        <w:t>values</w:t>
      </w:r>
      <w:r w:rsidR="009A4864">
        <w:t xml:space="preserve">, </w:t>
      </w:r>
      <w:commentRangeStart w:id="6"/>
      <w:r w:rsidR="009A4864">
        <w:t xml:space="preserve">but, </w:t>
      </w:r>
      <w:commentRangeEnd w:id="6"/>
      <w:r w:rsidR="00231AA1">
        <w:rPr>
          <w:rStyle w:val="CommentReference"/>
        </w:rPr>
        <w:commentReference w:id="6"/>
      </w:r>
      <w:r w:rsidR="009A4864">
        <w:t>until this is resolved, we cannot accurately model the modern</w:t>
      </w:r>
      <w:commentRangeStart w:id="7"/>
      <w:r w:rsidR="006E0F46">
        <w:t xml:space="preserve"> marine Ni budget</w:t>
      </w:r>
      <w:commentRangeEnd w:id="7"/>
      <w:r w:rsidR="006E0F46">
        <w:rPr>
          <w:rStyle w:val="CommentReference"/>
        </w:rPr>
        <w:commentReference w:id="7"/>
      </w:r>
      <w:r w:rsidR="007D28D1">
        <w:t xml:space="preserve">. </w:t>
      </w:r>
      <w:r w:rsidR="00F658BF">
        <w:t xml:space="preserve">In addition, the available isotope data </w:t>
      </w:r>
      <w:r w:rsidR="00756BBB">
        <w:t xml:space="preserve">points to carbonate being isotopically light </w:t>
      </w:r>
      <w:r w:rsidR="003F522E">
        <w:t>relative</w:t>
      </w:r>
      <w:r w:rsidR="00756BBB">
        <w:t xml:space="preserve"> to seawater, but </w:t>
      </w:r>
      <w:r w:rsidR="00C3789C">
        <w:t>we lack measurements of any modern marine carbonates</w:t>
      </w:r>
      <w:r w:rsidR="006E0F46">
        <w:t xml:space="preserve">. </w:t>
      </w:r>
      <w:commentRangeStart w:id="8"/>
      <w:r w:rsidR="00734178">
        <w:t>Alvarez et al 2021</w:t>
      </w:r>
      <w:r w:rsidR="005A065E">
        <w:t>compared an inferred bond length of Ni-O in calcite (</w:t>
      </w:r>
      <w:r w:rsidR="005A065E" w:rsidRPr="005A065E">
        <w:t>2.11</w:t>
      </w:r>
      <w:r w:rsidR="005A065E" w:rsidRPr="005A065E">
        <w:rPr>
          <w:color w:val="000000"/>
        </w:rPr>
        <w:t xml:space="preserve"> </w:t>
      </w:r>
      <w:r w:rsidR="005A065E" w:rsidRPr="00383CE5">
        <w:rPr>
          <w:color w:val="000000"/>
        </w:rPr>
        <w:t>Å</w:t>
      </w:r>
      <w:r w:rsidR="005A065E">
        <w:t>) to the Ni-O bond length in the</w:t>
      </w:r>
      <w:r w:rsidR="00784FB9">
        <w:t xml:space="preserve"> Ni aquo complex (</w:t>
      </w:r>
      <w:r w:rsidR="00784FB9" w:rsidRPr="00784FB9">
        <w:t>2.05 to 2.</w:t>
      </w:r>
      <w:r w:rsidR="00784FB9" w:rsidRPr="00383CE5">
        <w:t>07</w:t>
      </w:r>
      <w:r w:rsidR="00784FB9" w:rsidRPr="00383CE5">
        <w:t xml:space="preserve"> </w:t>
      </w:r>
      <w:r w:rsidR="00784FB9" w:rsidRPr="00383CE5">
        <w:rPr>
          <w:color w:val="000000"/>
        </w:rPr>
        <w:t>Å</w:t>
      </w:r>
      <w:r w:rsidR="00784FB9">
        <w:t xml:space="preserve">) </w:t>
      </w:r>
      <w:r w:rsidR="005A065E">
        <w:t xml:space="preserve">to explain why they observed isotopically lighter Ni in the solid compared to solution. </w:t>
      </w:r>
    </w:p>
    <w:commentRangeEnd w:id="8"/>
    <w:p w14:paraId="2371F718" w14:textId="77777777" w:rsidR="006A694E" w:rsidRDefault="005A065E" w:rsidP="000B7DC3">
      <w:pPr>
        <w:ind w:firstLine="360"/>
        <w:jc w:val="both"/>
      </w:pPr>
      <w:r>
        <w:rPr>
          <w:rStyle w:val="CommentReference"/>
        </w:rPr>
        <w:lastRenderedPageBreak/>
        <w:commentReference w:id="8"/>
      </w:r>
      <w:r w:rsidR="00231AA1">
        <w:t>I propose to perform the first Ni isotope measurements of modern marine carbonates to obtain a representative δ</w:t>
      </w:r>
      <w:r w:rsidR="00231AA1">
        <w:rPr>
          <w:vertAlign w:val="superscript"/>
        </w:rPr>
        <w:t>60</w:t>
      </w:r>
      <w:r w:rsidR="00231AA1">
        <w:t xml:space="preserve">Ni for carbonates and help assess its importance to the budget. </w:t>
      </w:r>
      <w:r w:rsidR="00704016">
        <w:t xml:space="preserve">For this study, we have selected a set of well-characterized, primary to diagenetically altered shallow-water carbonates from the Great Bahama Bank. </w:t>
      </w:r>
      <w:r w:rsidR="0067308F">
        <w:t xml:space="preserve">Our set includes samples from short cores (representing primary carbonates) and the </w:t>
      </w:r>
      <w:proofErr w:type="spellStart"/>
      <w:r w:rsidR="0067308F">
        <w:t>Clino</w:t>
      </w:r>
      <w:proofErr w:type="spellEnd"/>
      <w:r w:rsidR="0067308F">
        <w:t xml:space="preserve"> (</w:t>
      </w:r>
      <w:commentRangeStart w:id="9"/>
      <w:r w:rsidR="0067308F">
        <w:t xml:space="preserve">representing end members </w:t>
      </w:r>
      <w:r w:rsidR="00475213">
        <w:t xml:space="preserve">for </w:t>
      </w:r>
      <w:r w:rsidR="00B76E0D">
        <w:t xml:space="preserve">forms of meteoric diagenesis, </w:t>
      </w:r>
      <w:r w:rsidR="0067308F">
        <w:t>aragonite to low magnesium calcite neomorphism</w:t>
      </w:r>
      <w:r w:rsidR="00B76E0D">
        <w:t>,</w:t>
      </w:r>
      <w:r w:rsidR="0067308F">
        <w:t xml:space="preserve"> and marine burial diagenesis</w:t>
      </w:r>
      <w:commentRangeEnd w:id="9"/>
      <w:r w:rsidR="0067308F">
        <w:rPr>
          <w:rStyle w:val="CommentReference"/>
        </w:rPr>
        <w:commentReference w:id="9"/>
      </w:r>
      <w:r w:rsidR="0067308F">
        <w:t xml:space="preserve">) and </w:t>
      </w:r>
      <w:proofErr w:type="spellStart"/>
      <w:r w:rsidR="0067308F">
        <w:t>Unda</w:t>
      </w:r>
      <w:proofErr w:type="spellEnd"/>
      <w:r w:rsidR="0067308F">
        <w:t xml:space="preserve"> cores (representing massive dolomitization). </w:t>
      </w:r>
    </w:p>
    <w:p w14:paraId="3DF5F170" w14:textId="77777777" w:rsidR="00C52BF7" w:rsidRDefault="00616692" w:rsidP="006A694E">
      <w:pPr>
        <w:ind w:firstLine="360"/>
        <w:jc w:val="both"/>
      </w:pPr>
      <w:r>
        <w:t xml:space="preserve">Unfortunately, by virtue of </w:t>
      </w:r>
      <w:r w:rsidR="002455C5">
        <w:t>selecting shallow-water</w:t>
      </w:r>
      <w:r w:rsidR="00E412D1">
        <w:t xml:space="preserve"> carbonates,</w:t>
      </w:r>
      <w:r w:rsidR="002455C5">
        <w:t xml:space="preserve"> we are </w:t>
      </w:r>
      <w:r w:rsidR="00E4792A">
        <w:t xml:space="preserve">not capturing the </w:t>
      </w:r>
      <w:r w:rsidR="00225182">
        <w:t xml:space="preserve">Ni </w:t>
      </w:r>
      <w:r w:rsidR="00127F2B">
        <w:t>isotopic composition of pelagic carbonates</w:t>
      </w:r>
      <w:r w:rsidR="00225182">
        <w:t xml:space="preserve"> which may be different</w:t>
      </w:r>
      <w:r w:rsidR="00127F2B">
        <w:t xml:space="preserve">. </w:t>
      </w:r>
      <w:r w:rsidR="00CD4DB4">
        <w:t>Based on the mass distribution in</w:t>
      </w:r>
      <w:r w:rsidR="00FD155B">
        <w:t xml:space="preserve"> modern CaCO</w:t>
      </w:r>
      <w:r w:rsidR="00FD155B">
        <w:rPr>
          <w:vertAlign w:val="subscript"/>
        </w:rPr>
        <w:t>3</w:t>
      </w:r>
      <w:r w:rsidR="00FD155B">
        <w:t xml:space="preserve"> accumulation budgets</w:t>
      </w:r>
      <w:r w:rsidR="00CD4DB4">
        <w:t>, pelagic carbonates appear to domina</w:t>
      </w:r>
      <w:r w:rsidR="00D41C2D">
        <w:t>te</w:t>
      </w:r>
      <w:r w:rsidR="00B92424">
        <w:t xml:space="preserve"> the budget</w:t>
      </w:r>
      <w:r w:rsidR="00D41C2D">
        <w:t xml:space="preserve"> </w:t>
      </w:r>
      <w:commentRangeStart w:id="10"/>
      <w:r w:rsidR="00D41C2D">
        <w:t>(</w:t>
      </w:r>
      <w:r w:rsidR="007C772E" w:rsidRPr="003243E5">
        <w:rPr>
          <w:i/>
          <w:iCs/>
        </w:rPr>
        <w:t>e.g.,</w:t>
      </w:r>
      <w:r w:rsidR="00CD4DB4">
        <w:rPr>
          <w:i/>
          <w:iCs/>
        </w:rPr>
        <w:t xml:space="preserve"> </w:t>
      </w:r>
      <w:r w:rsidR="00D41C2D">
        <w:t>Milliman</w:t>
      </w:r>
      <w:r w:rsidR="007C772E">
        <w:t xml:space="preserve"> 1993</w:t>
      </w:r>
      <w:r w:rsidR="00D41C2D">
        <w:t xml:space="preserve">, </w:t>
      </w:r>
      <w:proofErr w:type="spellStart"/>
      <w:r w:rsidR="00D41C2D">
        <w:t>Iglaseous</w:t>
      </w:r>
      <w:proofErr w:type="spellEnd"/>
      <w:r w:rsidR="00D41C2D">
        <w:t xml:space="preserve"> 2002, Smith and Mackenzie</w:t>
      </w:r>
      <w:r w:rsidR="00697B2D">
        <w:t xml:space="preserve"> 2016, Opdyke and Wilkinson 1988</w:t>
      </w:r>
      <w:r w:rsidR="007C772E">
        <w:t xml:space="preserve">). </w:t>
      </w:r>
      <w:commentRangeEnd w:id="10"/>
      <w:r w:rsidR="005E47AE">
        <w:rPr>
          <w:rStyle w:val="CommentReference"/>
        </w:rPr>
        <w:commentReference w:id="10"/>
      </w:r>
      <w:r w:rsidR="007C772E">
        <w:t xml:space="preserve">However, </w:t>
      </w:r>
      <w:r w:rsidR="006E5939">
        <w:t>we</w:t>
      </w:r>
      <w:r w:rsidR="00B6633F">
        <w:t xml:space="preserve"> </w:t>
      </w:r>
      <w:r w:rsidR="009A7DF9">
        <w:t xml:space="preserve">believe the </w:t>
      </w:r>
      <w:r w:rsidR="004964ED">
        <w:t>chosen samples</w:t>
      </w:r>
      <w:r w:rsidR="009A7DF9">
        <w:t xml:space="preserve"> are an appropr</w:t>
      </w:r>
      <w:r w:rsidR="001700FA">
        <w:t>ia</w:t>
      </w:r>
      <w:r w:rsidR="009A7DF9">
        <w:t xml:space="preserve">te first </w:t>
      </w:r>
      <w:r w:rsidR="000C3BAD">
        <w:t xml:space="preserve">look at </w:t>
      </w:r>
      <w:r w:rsidR="009A7DF9">
        <w:t>δ</w:t>
      </w:r>
      <w:r w:rsidR="009A7DF9">
        <w:rPr>
          <w:vertAlign w:val="superscript"/>
        </w:rPr>
        <w:t>60</w:t>
      </w:r>
      <w:r w:rsidR="009A7DF9">
        <w:t xml:space="preserve">Ni </w:t>
      </w:r>
      <w:r w:rsidR="000C3BAD">
        <w:t>in</w:t>
      </w:r>
      <w:r w:rsidR="009A7DF9">
        <w:t xml:space="preserve"> carbonates for </w:t>
      </w:r>
      <w:r w:rsidR="00B6633F">
        <w:t>several reasons</w:t>
      </w:r>
      <w:r w:rsidR="00AA4FCC">
        <w:t xml:space="preserve">. </w:t>
      </w:r>
      <w:r w:rsidR="00D647BB">
        <w:t xml:space="preserve">First and foremost, we have immediate access to the samples and experts. </w:t>
      </w:r>
      <w:r w:rsidR="00B467E0">
        <w:t xml:space="preserve">These samples, in particular the </w:t>
      </w:r>
      <w:proofErr w:type="spellStart"/>
      <w:r w:rsidR="000364D9">
        <w:t>U</w:t>
      </w:r>
      <w:r w:rsidR="00B467E0">
        <w:t>nda</w:t>
      </w:r>
      <w:proofErr w:type="spellEnd"/>
      <w:r w:rsidR="00B467E0">
        <w:t xml:space="preserve"> and </w:t>
      </w:r>
      <w:proofErr w:type="spellStart"/>
      <w:r w:rsidR="000364D9">
        <w:t>C</w:t>
      </w:r>
      <w:r w:rsidR="00B467E0">
        <w:t>lino</w:t>
      </w:r>
      <w:proofErr w:type="spellEnd"/>
      <w:r w:rsidR="00B467E0">
        <w:t xml:space="preserve"> cores, have a wealth of associated </w:t>
      </w:r>
      <w:r w:rsidR="003E4151">
        <w:t xml:space="preserve">information </w:t>
      </w:r>
      <w:r w:rsidR="00B467E0">
        <w:t xml:space="preserve">detailing their </w:t>
      </w:r>
      <w:r w:rsidR="003E4151">
        <w:t xml:space="preserve">mineralogy and depositional and diagenetic histories </w:t>
      </w:r>
      <w:r w:rsidR="008A4717">
        <w:fldChar w:fldCharType="begin" w:fldLock="1"/>
      </w:r>
      <w:r w:rsidR="00F330D8">
        <w:instrText>ADDIN CSL_CITATION {"citationItems":[{"id":"ITEM-1","itemData":{"DOI":"10.1016/S0025-3227(01)00289-4","ISSN":"00253227","abstract":"Carbonate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Geology","id":"ITEM-1","issue":"1-2","issued":{"date-parts":[["2002"]]},"page":"27-53","title":"Questioning carbonate diagenetic paradigms: Evidence from the Neogene of the Bahamas","type":"article-journal","volume":"185"},"uris":["http://www.mendeley.com/documents/?uuid=87ba2ca4-77d4-427d-8202-5bf7b1160e33"]},{"id":"ITEM-2","itemData":{"DOI":"10.2973/odp.proc.ir.166.103.1997","abstract":"Two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sediments","type":"article-journal"},"uris":["http://www.mendeley.com/documents/?uuid=95810ee3-d6d4-3663-affd-816e2b7b3492"]},{"id":"ITEM-4","itemData":{"DOI":"10.1016/j.sedgeo.2017.12.005","ISSN":"00370738","abstract":"A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Geology","id":"ITEM-4","issued":{"date-parts":[["2018"]]},"page":"14-23","publisher":"Elsevier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Melim et al., 2002; Swart and Oehlert, 2018)","manualFormatting":"(e.g., Eberli et al., 1997; Higgins et al., 2018; Melim et al., 2002; Swart and Oehlert, 2018)","plainTextFormattedCitation":"(Eberli et al., 1997; Higgins et al., 2018; Melim et al., 2002; Swart and Oehlert, 2018)","previouslyFormattedCitation":"(Eberli et al., 1997; Higgins et al., 2018; Melim et al., 2002; Swart and Oehlert, 2018)"},"properties":{"noteIndex":0},"schema":"https://github.com/citation-style-language/schema/raw/master/csl-citation.json"}</w:instrText>
      </w:r>
      <w:r w:rsidR="008A4717">
        <w:fldChar w:fldCharType="separate"/>
      </w:r>
      <w:r w:rsidR="008A4717" w:rsidRPr="008A4717">
        <w:rPr>
          <w:noProof/>
        </w:rPr>
        <w:t>(</w:t>
      </w:r>
      <w:r w:rsidR="007F4E1C" w:rsidRPr="007F4E1C">
        <w:rPr>
          <w:i/>
          <w:iCs/>
          <w:noProof/>
        </w:rPr>
        <w:t>e.g.,</w:t>
      </w:r>
      <w:r w:rsidR="007F4E1C">
        <w:rPr>
          <w:noProof/>
        </w:rPr>
        <w:t xml:space="preserve"> </w:t>
      </w:r>
      <w:r w:rsidR="008A4717" w:rsidRPr="008A4717">
        <w:rPr>
          <w:noProof/>
        </w:rPr>
        <w:t>Eberli et al., 1997; Higgins et al., 2018; Melim et al., 2002; Swart and Oehlert, 2018)</w:t>
      </w:r>
      <w:r w:rsidR="008A4717">
        <w:fldChar w:fldCharType="end"/>
      </w:r>
      <w:r w:rsidR="003E4151">
        <w:t>.</w:t>
      </w:r>
      <w:r w:rsidR="00B467E0">
        <w:t xml:space="preserve"> </w:t>
      </w:r>
      <w:r w:rsidR="007F4E1C">
        <w:t>Th</w:t>
      </w:r>
      <w:r w:rsidR="001F484F">
        <w:t>e</w:t>
      </w:r>
      <w:r w:rsidR="007F4E1C">
        <w:t xml:space="preserve"> extensive history and access to primary carbonates allows us to assess the </w:t>
      </w:r>
      <w:r w:rsidR="00643737">
        <w:t>influence</w:t>
      </w:r>
      <w:r w:rsidR="007F4E1C">
        <w:t xml:space="preserve"> of early marine diagenesis which </w:t>
      </w:r>
      <w:r w:rsidR="00C76666">
        <w:t>may have an impact on the retained Ni</w:t>
      </w:r>
      <w:r w:rsidR="001F484F">
        <w:t xml:space="preserve"> in the carbonate sink</w:t>
      </w:r>
      <w:r w:rsidR="00242419">
        <w:t xml:space="preserve">. </w:t>
      </w:r>
      <w:r w:rsidR="00A7687E">
        <w:t>B</w:t>
      </w:r>
      <w:r w:rsidR="00A7687E">
        <w:t>ecause of the many attractive features listed for this sample set, they have been used for a number of other elements for similar purposes, and these studies interpretations can be used to inform our own</w:t>
      </w:r>
      <w:r w:rsidR="00C52BF7">
        <w:t xml:space="preserve"> </w:t>
      </w:r>
      <w:r w:rsidR="00C52BF7">
        <w:fldChar w:fldCharType="begin" w:fldLock="1"/>
      </w:r>
      <w:r w:rsidR="00C52BF7">
        <w:instrText>ADDIN CSL_CITATION {"citationItems":[{"id":"ITEM-1","itemData":{"DOI":"10.1016/j.epsl.2016.10.059","ISSN":"0012821X","abstract":"The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Letters","id":"ITEM-1","issued":{"date-parts":[["2017"]]},"title":"Investigating controls on boron isotope ratios in shallow marine carbonates","type":"article-journal"},"uris":["http://www.mendeley.com/documents/?uuid=fca80789-55f6-394a-82ee-79c01efc1009"]},{"id":"ITEM-2","itemData":{"DOI":"10.2475/02.2020.03","ISSN":"00029599","abstract":"In this study, we present new data on the δLi values and Li/(Ca+Mg) ratios of carbonate cores from the Great Bahama Bank (Clino, Unda), a deep water core off of the bank top (ODP Leg 166 Site 1007), and the coralline Key Largo Limestone. We use these samples to evaluate the influence of meteoric diagenesis, marine burial diagenesis, and dolomitization on the Li isotope system in carbonates. We find that recrystallization of aragonite to low-Mg calcite in the presence of meteoric fluids results in a systematic decrease of the Li/(Ca+Mg) ratio in Clino, Unda and Key Largo samples, due to the lower Li/(Ca+Mg) ratio in meteoric fluids compared to seawater. For Li isotopes, we observe that the δLi of meteorically altered low-Mg calcite is +22.0±3.8‰ (n=28, 1), which is coincidentally similar to the original aragonite-rich sediments (+22±1‰ in the Bahamas, +18±1‰ in Key Largo), but with a larger variability (from +15 to +27‰). We interpret these features as reflecting the overprinting of primary Li during meteoric alteration with a highly variable isotope signature that may be controlled by a combination of local porewater and/or global climatic conditions; in either case, meteoric diagenesis produces isotopic signatures that are unrelated to seawater composition. In contrast, marine burial diagenesis and dolomitization of Clino and Unda sediments under \"fluid-buffered\" conditions result in Li isotope composition that is similar (+30.2±1.5‰, n=36, 1-) to modern seawater (+31‰). For Site 1007, the δLi values range between +23 permil and +31 permil. We interpret this range as reflecting a combination of varying diagenesis style (fluid to sediment-buffered) and varying contribution of calcite derived from pelagic sediments, with distinct isotopic composition due to primary mineralogy. Altogether, our results show that diagenesis does not invalidate the use of bulk carbonates for deriving Li isotope paleo-records, but the reliability of past carbonates as recorders of seawater δLi values will depend on carefully characterizing their diagenetic history.","author":[{"dropping-particle":"","family":"Dellinger","given":"Mathieu","non-dropping-particle":"","parse-names":false,"suffix":""},{"dropping-particle":"","family":"Hardisty","given":"Dalton S.","non-dropping-particle":"","parse-names":false,"suffix":""},{"dropping-particle":"","family":"Planavsky","given":"Noah J.","non-dropping-particle":"","parse-names":false,"suffix":""},{"dropping-particle":"","family":"Gill","given":"Benjamin C.","non-dropping-particle":"","parse-names":false,"suffix":""},{"dropping-particle":"","family":"Kalderon-Asael","given":"Boriana","non-dropping-particle":"","parse-names":false,"suffix":""},{"dropping-particle":"","family":"Asael","given":"Dan","non-dropping-particle":"","parse-names":false,"suffix":""},{"dropping-particle":"","family":"Croissant","given":"Thomas","non-dropping-particle":"","parse-names":false,"suffix":""},{"dropping-particle":"","family":"Swart","given":"Peter K.","non-dropping-particle":"","parse-names":false,"suffix":""},{"dropping-particle":"","family":"West","given":"A. Joshua","non-dropping-particle":"","parse-names":false,"suffix":""}],"container-title":"American Journal of Science","id":"ITEM-2","issue":"2","issued":{"date-parts":[["2020"]]},"page":"150-184","title":"The effects of diagenesis on lithium isotope ratios of shallow marine carbonates","type":"article-journal","volume":"320"},"uris":["http://www.mendeley.com/documents/?uuid=c704758e-978d-45af-8f65-06ce1a771994"]},{"id":"ITEM-3","itemData":{"DOI":"10.1016/j.epsl.2017.01.032","ISSN":"0012821X","abstract":"The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Letters","id":"ITEM-3","issued":{"date-parts":[["2017","4","1"]]},"page":"159-170","publisher":"Elsevier B.V.","title":"Perspectives on Proterozoic surface ocean redox from iodine contents in ancient and recent carbonate","type":"article-journal","volume":"463"},"uris":["http://www.mendeley.com/documents/?uuid=d58b6200-e690-389f-b5fe-9d84931e0935"]},{"id":"ITEM-4","itemData":{"DOI":"10.1016/j.chemgeo.2013.10.002","ISSN":"00092541","abstract":"In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Geology","id":"ITEM-4","issued":{"date-parts":[["2013"]]},"title":"Uranium concentrations and 238U/235U isotope ratios in modern carbonates from the Bahamas: Assessing a novel paleoredox proxy","type":"article-journal"},"uris":["http://www.mendeley.com/documents/?uuid=67d65fd5-28f4-357f-9495-501f6f24c753"]}],"mendeley":{"formattedCitation":"(Dellinger et al., 2020; Hardisty et al., 2017; Romaniello et al., 2013; Zhang et al., 2017)","manualFormatting":"(e.g., Dellinger et al., 2020; Hardisty et al., 2017; Romaniello et al., 2013; Zhang et al., 2017)","plainTextFormattedCitation":"(Dellinger et al., 2020; Hardisty et al., 2017; Romaniello et al., 2013; Zhang et al., 2017)"},"properties":{"noteIndex":0},"schema":"https://github.com/citation-style-language/schema/raw/master/csl-citation.json"}</w:instrText>
      </w:r>
      <w:r w:rsidR="00C52BF7">
        <w:fldChar w:fldCharType="separate"/>
      </w:r>
      <w:r w:rsidR="00C52BF7" w:rsidRPr="00C52BF7">
        <w:rPr>
          <w:noProof/>
        </w:rPr>
        <w:t>(</w:t>
      </w:r>
      <w:r w:rsidR="00C52BF7" w:rsidRPr="000B7DC3">
        <w:rPr>
          <w:i/>
          <w:iCs/>
          <w:noProof/>
        </w:rPr>
        <w:t>e.g.,</w:t>
      </w:r>
      <w:r w:rsidR="00C52BF7">
        <w:rPr>
          <w:noProof/>
        </w:rPr>
        <w:t xml:space="preserve"> </w:t>
      </w:r>
      <w:r w:rsidR="00C52BF7" w:rsidRPr="00C52BF7">
        <w:rPr>
          <w:noProof/>
        </w:rPr>
        <w:t>Dellinger et al., 2020; Hardisty et al., 2017; Romaniello et al., 2013; Zhang et al., 2017)</w:t>
      </w:r>
      <w:r w:rsidR="00C52BF7">
        <w:fldChar w:fldCharType="end"/>
      </w:r>
      <w:r w:rsidR="00A7687E">
        <w:t xml:space="preserve">. </w:t>
      </w:r>
    </w:p>
    <w:p w14:paraId="76F7C030" w14:textId="6832CC47" w:rsidR="00784FB9" w:rsidRDefault="001F484F" w:rsidP="006A694E">
      <w:pPr>
        <w:ind w:firstLine="360"/>
        <w:jc w:val="both"/>
      </w:pPr>
      <w:r>
        <w:t xml:space="preserve">Interestingly, </w:t>
      </w:r>
      <w:r w:rsidR="00C52BF7">
        <w:t>our chosen sample</w:t>
      </w:r>
      <w:r w:rsidR="0069723A">
        <w:t xml:space="preserve"> </w:t>
      </w:r>
      <w:r w:rsidR="00C52BF7">
        <w:t>set</w:t>
      </w:r>
      <w:r>
        <w:t xml:space="preserve"> provides an opportunity to assess the fidelity of </w:t>
      </w:r>
      <w:r w:rsidR="00900765">
        <w:t xml:space="preserve">shallow-water </w:t>
      </w:r>
      <w:r>
        <w:t xml:space="preserve">carbonates as </w:t>
      </w:r>
      <w:r w:rsidR="00900765">
        <w:t>a record</w:t>
      </w:r>
      <w:r>
        <w:t xml:space="preserve"> of </w:t>
      </w:r>
      <w:r w:rsidR="000B7DC3">
        <w:t>the Ni isotopic composition of seawater</w:t>
      </w:r>
      <w:r w:rsidR="004477D3">
        <w:t>.</w:t>
      </w:r>
      <w:r>
        <w:t xml:space="preserve"> </w:t>
      </w:r>
      <w:r w:rsidR="00900765">
        <w:t xml:space="preserve">While shallow-water carbonates do not make up </w:t>
      </w:r>
      <w:r w:rsidR="001B0B2A">
        <w:t>significant portion of</w:t>
      </w:r>
      <w:r w:rsidR="008302CB">
        <w:t xml:space="preserve"> the modern carbonate flux, they</w:t>
      </w:r>
      <w:r w:rsidR="00A25139">
        <w:t xml:space="preserve"> were perhaps more abundant in the past</w:t>
      </w:r>
      <w:r w:rsidR="008302CB">
        <w:t>.</w:t>
      </w:r>
      <w:r w:rsidR="00152D1F">
        <w:t xml:space="preserve"> </w:t>
      </w:r>
      <w:r w:rsidR="000739CB">
        <w:t xml:space="preserve">The </w:t>
      </w:r>
      <w:r w:rsidR="00901E1D">
        <w:t>proportion of pelagic to shallow water carbonate burial has</w:t>
      </w:r>
      <w:r w:rsidR="000739CB">
        <w:t xml:space="preserve"> likely</w:t>
      </w:r>
      <w:r w:rsidR="00901E1D">
        <w:t xml:space="preserve"> been steadily </w:t>
      </w:r>
      <w:r w:rsidR="000739CB">
        <w:t>increasing</w:t>
      </w:r>
      <w:r w:rsidR="00901E1D">
        <w:t xml:space="preserve"> </w:t>
      </w:r>
      <w:r w:rsidR="000739CB">
        <w:t xml:space="preserve">to present values, with the dominance of pelagic carbonates perhaps being a characteristic of only the past 10-30 Ma </w:t>
      </w:r>
      <w:r w:rsidR="000739CB">
        <w:fldChar w:fldCharType="begin" w:fldLock="1"/>
      </w:r>
      <w:r w:rsidR="00C52BF7">
        <w:instrText>ADDIN CSL_CITATION {"citationItems":[{"id":"ITEM-1","itemData":{"DOI":"10.1046/j.1440-1738.2001.00276.x","ISSN":"10384871","abstract":"Global carbonate accumulation rates on the surface of the earth, including not only platforms but also continental margin slopes and deep-sea from the Cretaceous to Present, are estimated by compiling previous geologic studies. These rates are revised, taking account of the erosional effect of the sediments on the platform and deep-sea. Long-term model carbonate fluxes from the ocean to the crust are calculated on the basis of the carbon cycle model (GEOCARB of Berner 1991). The rates based on the actual geologic data indicate much lower values than model fluxes, excluding the Pliocene and Quaternary. The discrepancy could be attributed to the two misunderstandings, namely an overestimate of carbonate accumulation rate for the Quaternary and an incorrect use of the higher Quaternary rate for a boundary condition of the model. The carbonate accumulation rate for the Pliocene to Quaternary is lowered from 29.8 × 1018 mol/Ma (modified from Opdyke &amp; Wilkinson 1988) to 14.8 × 1018 mol/Ma in the present study, assuming that the rate from Quaternary to Pliocene is almost the same as the Miocene value. New model fluxes are recalculated with the new boundary condition in the Quaternary (14.8 × 1018 mol/Ma). Revised model fluxes show general trends of high rates in 120 Ma or 130 Ma, and a low rate in 0 Ma, and are in agreement with the accumulation rate pattern.","author":[{"dropping-particle":"","family":"Nakamori","given":"T.","non-dropping-particle":"","parse-names":false,"suffix":""}],"container-title":"Island Arc","id":"ITEM-1","issue":"1","issued":{"date-parts":[["2001"]]},"page":"1-8","title":"Global carbonate accumulation rates from cretaceous to present and their implications for the carbon cycle model","type":"article-journal","volume":"10"},"uris":["http://www.mendeley.com/documents/?uuid=14665a61-1fd9-4a00-99bb-e8719f44cb7a"]},{"id":"ITEM-2","itemData":{"author":[{"dropping-particle":"","family":"Opdyke","given":"Bradley N.","non-dropping-particle":"","parse-names":false,"suffix":""},{"dropping-particle":"","family":"Wilkinson","given":"Bruce H.","non-dropping-particle":"","parse-names":false,"suffix":""}],"container-title":"Paleoceanography","id":"ITEM-2","issue":"6","issued":{"date-parts":[["1988"]]},"page":"685-703","title":"Surface Area Control of Shallow Cratonic to Deep Marine Carbonate Accumulation","type":"article-journal","volume":"3"},"uris":["http://www.mendeley.com/documents/?uuid=1b4938eb-a354-4bec-8562-8a7e90c37a90"]},{"id":"ITEM-3","itemData":{"DOI":"10.1130/G46418.1","ISSN":"19432682","abstract":"Marine carbonate burial represents the largest long-term carbon sink at Earth's surface, occurring in both deep-sea (pelagic) environments and shallower waters along continental margins. The distribution of carbonate accumulation has varied over geological history and impacts the carbon cycle and ocean chemistry, but it remains difficult to quantitatively constrain. Here, we reconstruct Cenozoic carbonate burial along continental margins using a mass balance for global carbonate alkalinity, which integrates independent estimates for continental weathering and pelagic carbonate burial. Our results indicate that major changes in marginal carbonate burial were associated with important climate and sea-level change events, including the Eocene-Oligocene transition (ca. 34 Ma), the Oligocene-Miocene boundary Mi-1 glaciation (ca. 23 Ma), and the middle Miocene climate transition (ca. 14 Ma). In addition, we find that a major increase in continental weathering from ca. 10 Ma to the present may have driven a concomitant increase in pelagic carbonate burial. Together, our results show that changes in global climate, sea level, and continental weathering have all impacted carbonate burial over the Cenozoic, but the relative importance of these processes may have varied through time.","author":[{"dropping-particle":"","family":"Ploeg","given":"Robin","non-dropping-particle":"van der","parse-names":false,"suffix":""},{"dropping-particle":"","family":"Boudreau","given":"Bernard P.","non-dropping-particle":"","parse-names":false,"suffix":""},{"dropping-particle":"","family":"Middelburg","given":"Jack J.","non-dropping-particle":"","parse-names":false,"suffix":""},{"dropping-particle":"","family":"Sluijs","given":"Appy","non-dropping-particle":"","parse-names":false,"suffix":""}],"container-title":"Geology","id":"ITEM-3","issue":"11","issued":{"date-parts":[["2019"]]},"page":"1025-1028","title":"Cenozoic carbonate burial along continental margins","type":"article-journal","volume":"47"},"uris":["http://www.mendeley.com/documents/?uuid=3594bb86-f66f-4af2-9279-296d4343d677"]}],"mendeley":{"formattedCitation":"(Nakamori, 2001; Opdyke and Wilkinson, 1988; van der Ploeg et al., 2019)","plainTextFormattedCitation":"(Nakamori, 2001; Opdyke and Wilkinson, 1988; van der Ploeg et al., 2019)","previouslyFormattedCitation":"(Nakamori, 2001; Opdyke and Wilkinson, 1988; van der Ploeg et al., 2019)"},"properties":{"noteIndex":0},"schema":"https://github.com/citation-style-language/schema/raw/master/csl-citation.json"}</w:instrText>
      </w:r>
      <w:r w:rsidR="000739CB">
        <w:fldChar w:fldCharType="separate"/>
      </w:r>
      <w:r w:rsidR="000739CB" w:rsidRPr="000739CB">
        <w:rPr>
          <w:noProof/>
        </w:rPr>
        <w:t>(Nakamori, 2001; Opdyke and Wilkinson, 1988; van der Ploeg et al., 2019)</w:t>
      </w:r>
      <w:r w:rsidR="000739CB">
        <w:fldChar w:fldCharType="end"/>
      </w:r>
      <w:r w:rsidR="000828A4">
        <w:t xml:space="preserve">. </w:t>
      </w:r>
      <w:r w:rsidR="000739CB">
        <w:t>In addition</w:t>
      </w:r>
      <w:r w:rsidR="00ED521B">
        <w:t xml:space="preserve"> to </w:t>
      </w:r>
      <w:r w:rsidR="007E3F99">
        <w:t xml:space="preserve">the </w:t>
      </w:r>
      <w:r w:rsidR="00ED521B">
        <w:t>difference in relative abundance</w:t>
      </w:r>
      <w:r w:rsidR="005248E2">
        <w:t>, a</w:t>
      </w:r>
      <w:r w:rsidR="00F330D8">
        <w:t xml:space="preserve">s noted by </w:t>
      </w:r>
      <w:r w:rsidR="00F330D8">
        <w:fldChar w:fldCharType="begin" w:fldLock="1"/>
      </w:r>
      <w:r w:rsidR="00901E1D">
        <w:instrText>ADDIN CSL_CITATION {"citationItems":[{"id":"ITEM-1","itemData":{"DOI":"10.1126/science.339.6126.1383-b","ISSN":"10959203","author":[{"dropping-particle":"","family":"Schrag","given":"D. P.","non-dropping-particle":"","parse-names":false,"suffix":""},{"dropping-particle":"","family":"Higgins","given":"John A.","non-dropping-particle":"","parse-names":false,"suffix":""},{"dropping-particle":"","family":"Macdonald","given":"Francis A.","non-dropping-particle":"","parse-names":false,"suffix":""},{"dropping-particle":"","family":"Johnston","given":"David T.","non-dropping-particle":"","parse-names":false,"suffix":""}],"container-title":"Science","id":"ITEM-1","issue":"6126","issued":{"date-parts":[["2013"]]},"page":"1383","title":"Authigenic carbonate and the history of the global carbon cycle","type":"article-journal","volume":"339"},"uris":["http://www.mendeley.com/documents/?uuid=78f4df49-2ab9-4d45-8c24-c7ca2810b474"]}],"mendeley":{"formattedCitation":"(Schrag et al., 2013)","manualFormatting":"Schrag et al. (2013)","plainTextFormattedCitation":"(Schrag et al., 2013)","previouslyFormattedCitation":"(Schrag et al., 2013)"},"properties":{"noteIndex":0},"schema":"https://github.com/citation-style-language/schema/raw/master/csl-citation.json"}</w:instrText>
      </w:r>
      <w:r w:rsidR="00F330D8">
        <w:fldChar w:fldCharType="separate"/>
      </w:r>
      <w:r w:rsidR="00F330D8" w:rsidRPr="00F330D8">
        <w:rPr>
          <w:noProof/>
        </w:rPr>
        <w:t xml:space="preserve">Schrag et al. </w:t>
      </w:r>
      <w:r w:rsidR="00152D1F">
        <w:rPr>
          <w:noProof/>
        </w:rPr>
        <w:t>(</w:t>
      </w:r>
      <w:r w:rsidR="00F330D8" w:rsidRPr="00F330D8">
        <w:rPr>
          <w:noProof/>
        </w:rPr>
        <w:t>2013)</w:t>
      </w:r>
      <w:r w:rsidR="00F330D8">
        <w:fldChar w:fldCharType="end"/>
      </w:r>
      <w:r w:rsidR="00152D1F">
        <w:t xml:space="preserve"> for </w:t>
      </w:r>
      <w:r w:rsidR="000739CB">
        <w:t>δ</w:t>
      </w:r>
      <w:r w:rsidR="000739CB">
        <w:rPr>
          <w:vertAlign w:val="superscript"/>
        </w:rPr>
        <w:t>13</w:t>
      </w:r>
      <w:r w:rsidR="00152D1F">
        <w:t>C records</w:t>
      </w:r>
      <w:r w:rsidR="00F330D8">
        <w:t xml:space="preserve">, </w:t>
      </w:r>
      <w:r w:rsidR="00152D1F">
        <w:t>shallow water carbonate</w:t>
      </w:r>
      <w:r w:rsidR="000739CB">
        <w:t>s</w:t>
      </w:r>
      <w:r w:rsidR="00152D1F">
        <w:t xml:space="preserve"> are more available</w:t>
      </w:r>
      <w:r w:rsidR="00CC0E34">
        <w:t xml:space="preserve"> as a geologic record </w:t>
      </w:r>
      <w:r w:rsidR="00152D1F">
        <w:t xml:space="preserve">because </w:t>
      </w:r>
      <w:r w:rsidR="00CC0E34" w:rsidRPr="00E25CEA">
        <w:t xml:space="preserve">slope and deep-basin </w:t>
      </w:r>
      <w:r w:rsidR="00CC0E34">
        <w:t xml:space="preserve">carbonates </w:t>
      </w:r>
      <w:r w:rsidR="00F330D8">
        <w:t>are more often subducted and removed or extremely deformed relative to shallow water carbonates</w:t>
      </w:r>
      <w:r w:rsidR="00771CCD">
        <w:t>.</w:t>
      </w:r>
      <w:r w:rsidR="00FC63C8">
        <w:t xml:space="preserve"> </w:t>
      </w:r>
      <w:r w:rsidR="00A72114">
        <w:t xml:space="preserve">If diagenetic processes </w:t>
      </w:r>
      <w:r w:rsidR="00B10B6F">
        <w:t xml:space="preserve">either preserve or systematically alter the </w:t>
      </w:r>
      <w:r w:rsidR="00A72114">
        <w:t>δ</w:t>
      </w:r>
      <w:r w:rsidR="00A72114">
        <w:rPr>
          <w:vertAlign w:val="superscript"/>
        </w:rPr>
        <w:t>60</w:t>
      </w:r>
      <w:r w:rsidR="00A72114">
        <w:t>Ni</w:t>
      </w:r>
      <w:r w:rsidR="00B10B6F">
        <w:t xml:space="preserve"> of the primary </w:t>
      </w:r>
      <w:r w:rsidR="000B7DC3">
        <w:t>carbonate value</w:t>
      </w:r>
      <w:r w:rsidR="004E4EDC">
        <w:t>,</w:t>
      </w:r>
      <w:r w:rsidR="000B7DC3">
        <w:t xml:space="preserve"> which we </w:t>
      </w:r>
      <w:r w:rsidR="004E4EDC">
        <w:t xml:space="preserve">will be able to evaluate with the data </w:t>
      </w:r>
      <w:r w:rsidR="000B7DC3">
        <w:t xml:space="preserve">from the proposed </w:t>
      </w:r>
      <w:r w:rsidR="004E4EDC">
        <w:t xml:space="preserve">sample </w:t>
      </w:r>
      <w:r w:rsidR="000B7DC3">
        <w:t xml:space="preserve">set, shallow-water carbonates may be a robust record of </w:t>
      </w:r>
      <w:r w:rsidR="000B7DC3">
        <w:t>δ</w:t>
      </w:r>
      <w:r w:rsidR="000B7DC3">
        <w:rPr>
          <w:vertAlign w:val="superscript"/>
        </w:rPr>
        <w:t>60</w:t>
      </w:r>
      <w:r w:rsidR="000B7DC3">
        <w:t>Ni</w:t>
      </w:r>
      <w:r w:rsidR="000B7DC3">
        <w:t xml:space="preserve"> from the contemporary seawater. </w:t>
      </w:r>
    </w:p>
    <w:p w14:paraId="7FD3A099" w14:textId="3DF19F01" w:rsidR="00E53B23" w:rsidRPr="00FD155B" w:rsidRDefault="00E53B23" w:rsidP="006A694E">
      <w:pPr>
        <w:ind w:firstLine="360"/>
        <w:jc w:val="both"/>
      </w:pPr>
    </w:p>
    <w:p w14:paraId="28B85A0E" w14:textId="2BC82019" w:rsidR="00044F13" w:rsidRDefault="00044F13" w:rsidP="00044F13">
      <w:pPr>
        <w:pStyle w:val="ListParagraph"/>
        <w:numPr>
          <w:ilvl w:val="0"/>
          <w:numId w:val="4"/>
        </w:numPr>
        <w:jc w:val="both"/>
      </w:pPr>
      <w:r>
        <w:t>Modern carbonates might be big and light sink of Ni, require a sizable, but less isotopically ridiculous source of Ni to balance the budget</w:t>
      </w:r>
    </w:p>
    <w:p w14:paraId="37843B52" w14:textId="1D9D1C74" w:rsidR="00946CA8" w:rsidRDefault="00946CA8" w:rsidP="00946CA8">
      <w:pPr>
        <w:pStyle w:val="ListParagraph"/>
        <w:numPr>
          <w:ilvl w:val="1"/>
          <w:numId w:val="4"/>
        </w:numPr>
        <w:jc w:val="both"/>
      </w:pPr>
      <w:r>
        <w:t>Re</w:t>
      </w:r>
      <w:r w:rsidR="00F11D86">
        <w:t>-</w:t>
      </w:r>
      <w:r>
        <w:t>present isotopic comp data</w:t>
      </w:r>
    </w:p>
    <w:p w14:paraId="0F559A51" w14:textId="6172C010" w:rsidR="00946CA8" w:rsidRDefault="00946CA8" w:rsidP="00946CA8">
      <w:pPr>
        <w:pStyle w:val="ListParagraph"/>
        <w:numPr>
          <w:ilvl w:val="1"/>
          <w:numId w:val="4"/>
        </w:numPr>
        <w:jc w:val="both"/>
      </w:pPr>
      <w:r>
        <w:t>Re</w:t>
      </w:r>
      <w:r w:rsidR="00F11D86">
        <w:t>-</w:t>
      </w:r>
      <w:r>
        <w:t>present flux data</w:t>
      </w:r>
    </w:p>
    <w:p w14:paraId="3D57AA7C" w14:textId="277491FB" w:rsidR="00946CA8" w:rsidRDefault="00946CA8" w:rsidP="00946CA8">
      <w:pPr>
        <w:pStyle w:val="ListParagraph"/>
        <w:numPr>
          <w:ilvl w:val="1"/>
          <w:numId w:val="4"/>
        </w:numPr>
        <w:jc w:val="both"/>
      </w:pPr>
      <w:r>
        <w:t xml:space="preserve">Mention </w:t>
      </w:r>
      <w:proofErr w:type="spellStart"/>
      <w:r>
        <w:t>Stipp</w:t>
      </w:r>
      <w:proofErr w:type="spellEnd"/>
      <w:r>
        <w:t xml:space="preserve"> and </w:t>
      </w:r>
      <w:proofErr w:type="spellStart"/>
      <w:r>
        <w:t>Munsel</w:t>
      </w:r>
      <w:proofErr w:type="spellEnd"/>
      <w:r>
        <w:t xml:space="preserve"> maybe?</w:t>
      </w:r>
    </w:p>
    <w:p w14:paraId="3E11103E" w14:textId="2C864072" w:rsidR="00946CA8" w:rsidRDefault="00946CA8" w:rsidP="00946CA8">
      <w:pPr>
        <w:pStyle w:val="ListParagraph"/>
        <w:numPr>
          <w:ilvl w:val="1"/>
          <w:numId w:val="4"/>
        </w:numPr>
        <w:jc w:val="both"/>
      </w:pPr>
      <w:r>
        <w:t>Mention bond length argument provided by Alvarez?</w:t>
      </w:r>
    </w:p>
    <w:p w14:paraId="5D0FD6E2" w14:textId="202E8823" w:rsidR="00044F13" w:rsidRDefault="00044F13" w:rsidP="00044F13">
      <w:pPr>
        <w:pStyle w:val="ListParagraph"/>
        <w:numPr>
          <w:ilvl w:val="0"/>
          <w:numId w:val="4"/>
        </w:numPr>
        <w:jc w:val="both"/>
      </w:pPr>
      <w:r>
        <w:lastRenderedPageBreak/>
        <w:t>S</w:t>
      </w:r>
      <w:r w:rsidR="00946CA8">
        <w:t>ample selection -</w:t>
      </w:r>
      <w:r>
        <w:t xml:space="preserve"> shallow water carbonates </w:t>
      </w:r>
    </w:p>
    <w:p w14:paraId="570028D4" w14:textId="60F6D4C7" w:rsidR="00044F13" w:rsidRDefault="00044F13" w:rsidP="00044F13">
      <w:pPr>
        <w:pStyle w:val="ListParagraph"/>
        <w:numPr>
          <w:ilvl w:val="1"/>
          <w:numId w:val="4"/>
        </w:numPr>
        <w:jc w:val="both"/>
      </w:pPr>
      <w:r>
        <w:t>Cons</w:t>
      </w:r>
    </w:p>
    <w:p w14:paraId="65C58903" w14:textId="2D86D7C4" w:rsidR="00044F13" w:rsidRDefault="00044F13" w:rsidP="00044F13">
      <w:pPr>
        <w:pStyle w:val="ListParagraph"/>
        <w:numPr>
          <w:ilvl w:val="2"/>
          <w:numId w:val="4"/>
        </w:numPr>
        <w:jc w:val="both"/>
      </w:pPr>
      <w:r>
        <w:t>not representative of the distribution of where the mass lies</w:t>
      </w:r>
    </w:p>
    <w:p w14:paraId="29104356" w14:textId="777D67CB" w:rsidR="00055A94" w:rsidRDefault="00055A94" w:rsidP="00055A94">
      <w:pPr>
        <w:pStyle w:val="ListParagraph"/>
        <w:numPr>
          <w:ilvl w:val="3"/>
          <w:numId w:val="4"/>
        </w:numPr>
        <w:jc w:val="both"/>
      </w:pPr>
      <w:r>
        <w:t>See “</w:t>
      </w:r>
      <w:r w:rsidRPr="00055A94">
        <w:t>Progress Made in Study of Ocean's Calcium Carbonate Budget</w:t>
      </w:r>
      <w:r>
        <w:t xml:space="preserve">” for potential Ca CO3 budget 2002 </w:t>
      </w:r>
    </w:p>
    <w:p w14:paraId="2103D35B" w14:textId="164EC14B" w:rsidR="006D7043" w:rsidRDefault="006D7043" w:rsidP="006D7043">
      <w:pPr>
        <w:pStyle w:val="ListParagraph"/>
        <w:numPr>
          <w:ilvl w:val="4"/>
          <w:numId w:val="4"/>
        </w:numPr>
        <w:jc w:val="both"/>
      </w:pPr>
      <w:r>
        <w:t xml:space="preserve">Carbonate shelves have a CaCO3 accumulation rate of 0.036 </w:t>
      </w:r>
      <w:proofErr w:type="spellStart"/>
      <w:r>
        <w:t>Pg</w:t>
      </w:r>
      <w:proofErr w:type="spellEnd"/>
      <w:r>
        <w:t xml:space="preserve"> C/</w:t>
      </w:r>
      <w:proofErr w:type="spellStart"/>
      <w:r>
        <w:t>yr</w:t>
      </w:r>
      <w:proofErr w:type="spellEnd"/>
      <w:r>
        <w:t xml:space="preserve"> while deep sea </w:t>
      </w:r>
      <w:r w:rsidR="00EC552B">
        <w:t>accumulation</w:t>
      </w:r>
      <w:r>
        <w:t xml:space="preserve"> is estimated to be ~0.1-0.144 </w:t>
      </w:r>
      <w:proofErr w:type="spellStart"/>
      <w:r>
        <w:t>Pg</w:t>
      </w:r>
      <w:proofErr w:type="spellEnd"/>
      <w:r>
        <w:t xml:space="preserve"> C/</w:t>
      </w:r>
      <w:proofErr w:type="spellStart"/>
      <w:r>
        <w:t>yr</w:t>
      </w:r>
      <w:proofErr w:type="spellEnd"/>
      <w:r w:rsidR="000C4A28">
        <w:t xml:space="preserve"> (see </w:t>
      </w:r>
      <w:proofErr w:type="spellStart"/>
      <w:r w:rsidR="000C4A28">
        <w:t>referenes</w:t>
      </w:r>
      <w:proofErr w:type="spellEnd"/>
      <w:r w:rsidR="000C4A28">
        <w:t xml:space="preserve"> therein for how these estimates are calc)</w:t>
      </w:r>
    </w:p>
    <w:p w14:paraId="665A2566" w14:textId="694F0DE1" w:rsidR="00017093" w:rsidRDefault="00017093" w:rsidP="006D7043">
      <w:pPr>
        <w:pStyle w:val="ListParagraph"/>
        <w:numPr>
          <w:ilvl w:val="4"/>
          <w:numId w:val="4"/>
        </w:numPr>
        <w:jc w:val="both"/>
      </w:pPr>
      <w:r>
        <w:t>Large uncertainties (+/-100% for most fluxes)</w:t>
      </w:r>
    </w:p>
    <w:p w14:paraId="14EEB37E" w14:textId="1C2561B7" w:rsidR="000C4A28" w:rsidRDefault="008E0B7B" w:rsidP="000C4A28">
      <w:pPr>
        <w:pStyle w:val="ListParagraph"/>
        <w:numPr>
          <w:ilvl w:val="3"/>
          <w:numId w:val="4"/>
        </w:numPr>
        <w:jc w:val="both"/>
      </w:pPr>
      <w:r>
        <w:t>Milliman 1993</w:t>
      </w:r>
    </w:p>
    <w:p w14:paraId="612267BF" w14:textId="2CCD7B05" w:rsidR="008E0B7B" w:rsidRDefault="008E0B7B" w:rsidP="008E0B7B">
      <w:pPr>
        <w:pStyle w:val="ListParagraph"/>
        <w:numPr>
          <w:ilvl w:val="4"/>
          <w:numId w:val="4"/>
        </w:numPr>
        <w:jc w:val="both"/>
      </w:pPr>
      <w:r>
        <w:t xml:space="preserve">Estimates for burial on bank-derived sediment accumulation of 0.1 b </w:t>
      </w:r>
      <w:proofErr w:type="spellStart"/>
      <w:r>
        <w:t>tonnes</w:t>
      </w:r>
      <w:proofErr w:type="spellEnd"/>
      <w:r>
        <w:t xml:space="preserve"> of CaCO3 with a total accumulation of 3.2 (many assumptions)</w:t>
      </w:r>
    </w:p>
    <w:p w14:paraId="61F54847" w14:textId="2B010696" w:rsidR="00B637A8" w:rsidRDefault="00B637A8" w:rsidP="00B637A8">
      <w:pPr>
        <w:pStyle w:val="ListParagraph"/>
        <w:numPr>
          <w:ilvl w:val="3"/>
          <w:numId w:val="4"/>
        </w:numPr>
        <w:jc w:val="both"/>
      </w:pPr>
      <w:r>
        <w:t xml:space="preserve">Milliman and </w:t>
      </w:r>
      <w:proofErr w:type="spellStart"/>
      <w:r>
        <w:t>Droxler</w:t>
      </w:r>
      <w:proofErr w:type="spellEnd"/>
      <w:r>
        <w:t xml:space="preserve"> 1995</w:t>
      </w:r>
    </w:p>
    <w:p w14:paraId="616678AA" w14:textId="4BA230E4" w:rsidR="00B637A8" w:rsidRDefault="00B637A8" w:rsidP="00B637A8">
      <w:pPr>
        <w:pStyle w:val="ListParagraph"/>
        <w:numPr>
          <w:ilvl w:val="4"/>
          <w:numId w:val="4"/>
        </w:numPr>
        <w:jc w:val="both"/>
      </w:pPr>
      <w:r>
        <w:t>Updated version of 1993 estimates</w:t>
      </w:r>
    </w:p>
    <w:p w14:paraId="283A7292" w14:textId="12BC4AE7" w:rsidR="00B637A8" w:rsidRDefault="00B637A8" w:rsidP="00B637A8">
      <w:pPr>
        <w:pStyle w:val="ListParagraph"/>
        <w:numPr>
          <w:ilvl w:val="4"/>
          <w:numId w:val="4"/>
        </w:numPr>
        <w:jc w:val="both"/>
      </w:pPr>
      <w:r>
        <w:t>Pelagic accumulation is 11x10^12 mol /</w:t>
      </w:r>
      <w:proofErr w:type="spellStart"/>
      <w:r>
        <w:t>yr</w:t>
      </w:r>
      <w:proofErr w:type="spellEnd"/>
      <w:r>
        <w:t xml:space="preserve"> and everything else is 21x 10^12 mol/</w:t>
      </w:r>
      <w:proofErr w:type="spellStart"/>
      <w:r>
        <w:t>yr</w:t>
      </w:r>
      <w:proofErr w:type="spellEnd"/>
      <w:r>
        <w:t xml:space="preserve"> (total 32). Banks and bays, and carbonate shelves are 2 and 3 respectively with uncertainties of ~100% or greater </w:t>
      </w:r>
    </w:p>
    <w:p w14:paraId="0F56D562" w14:textId="11437BD9" w:rsidR="008E0B7B" w:rsidRDefault="00C61242" w:rsidP="008E0B7B">
      <w:pPr>
        <w:pStyle w:val="ListParagraph"/>
        <w:numPr>
          <w:ilvl w:val="3"/>
          <w:numId w:val="4"/>
        </w:numPr>
        <w:jc w:val="both"/>
      </w:pPr>
      <w:r>
        <w:t>Smith an</w:t>
      </w:r>
      <w:r w:rsidR="000C1633">
        <w:t>d</w:t>
      </w:r>
      <w:r>
        <w:t xml:space="preserve"> Mackenzie 2016</w:t>
      </w:r>
    </w:p>
    <w:p w14:paraId="1AEE111F" w14:textId="63FB4B43" w:rsidR="00C61242" w:rsidRDefault="00C61242" w:rsidP="00C61242">
      <w:pPr>
        <w:pStyle w:val="ListParagraph"/>
        <w:numPr>
          <w:ilvl w:val="4"/>
          <w:numId w:val="4"/>
        </w:numPr>
        <w:jc w:val="both"/>
      </w:pPr>
      <w:r>
        <w:t>Tropical shelves (which include visible reefs, submerged reefs, other carbonate banks and other sedimentary shelves) accumulate 15x10</w:t>
      </w:r>
      <w:r>
        <w:rPr>
          <w:vertAlign w:val="superscript"/>
        </w:rPr>
        <w:t>12</w:t>
      </w:r>
      <w:r>
        <w:t xml:space="preserve"> CaCO</w:t>
      </w:r>
      <w:r>
        <w:rPr>
          <w:vertAlign w:val="subscript"/>
        </w:rPr>
        <w:t>3</w:t>
      </w:r>
      <w:r>
        <w:t xml:space="preserve"> mol/</w:t>
      </w:r>
      <w:proofErr w:type="spellStart"/>
      <w:r>
        <w:t>yr</w:t>
      </w:r>
      <w:proofErr w:type="spellEnd"/>
      <w:r>
        <w:t xml:space="preserve"> with a total accumulation rate of 31x10</w:t>
      </w:r>
      <w:r>
        <w:rPr>
          <w:vertAlign w:val="superscript"/>
        </w:rPr>
        <w:t>12</w:t>
      </w:r>
      <w:r>
        <w:t xml:space="preserve"> CaCO</w:t>
      </w:r>
      <w:r>
        <w:rPr>
          <w:vertAlign w:val="subscript"/>
        </w:rPr>
        <w:t>3</w:t>
      </w:r>
      <w:r>
        <w:t xml:space="preserve"> mol/yr</w:t>
      </w:r>
      <w:r w:rsidR="005B0272">
        <w:t>. “Other carbonate banks” accumulate 0.6x10</w:t>
      </w:r>
      <w:r w:rsidR="005B0272">
        <w:rPr>
          <w:vertAlign w:val="superscript"/>
        </w:rPr>
        <w:t>12</w:t>
      </w:r>
      <w:r w:rsidR="005B0272">
        <w:t xml:space="preserve"> CaCO</w:t>
      </w:r>
      <w:r w:rsidR="005B0272">
        <w:rPr>
          <w:vertAlign w:val="subscript"/>
        </w:rPr>
        <w:t>3</w:t>
      </w:r>
      <w:r w:rsidR="005B0272">
        <w:t xml:space="preserve"> mol/</w:t>
      </w:r>
      <w:proofErr w:type="spellStart"/>
      <w:r w:rsidR="005B0272">
        <w:t>yr</w:t>
      </w:r>
      <w:proofErr w:type="spellEnd"/>
    </w:p>
    <w:p w14:paraId="3A834499" w14:textId="661D71D5" w:rsidR="003470CB" w:rsidRDefault="003470CB" w:rsidP="003470CB">
      <w:pPr>
        <w:pStyle w:val="ListParagraph"/>
        <w:numPr>
          <w:ilvl w:val="3"/>
          <w:numId w:val="4"/>
        </w:numPr>
        <w:jc w:val="both"/>
      </w:pPr>
      <w:r>
        <w:t>O’Mara and Dunne 2019</w:t>
      </w:r>
    </w:p>
    <w:p w14:paraId="3BCB72CE" w14:textId="3648355C" w:rsidR="003470CB" w:rsidRDefault="003470CB" w:rsidP="003470CB">
      <w:pPr>
        <w:pStyle w:val="ListParagraph"/>
        <w:numPr>
          <w:ilvl w:val="4"/>
          <w:numId w:val="4"/>
        </w:numPr>
        <w:jc w:val="both"/>
      </w:pPr>
      <w:r>
        <w:t>Estimated CaCO3 flux in neritic environments</w:t>
      </w:r>
      <w:r w:rsidR="006F19CC">
        <w:t xml:space="preserve"> by combining satellite and benthic community area data. </w:t>
      </w:r>
      <w:proofErr w:type="spellStart"/>
      <w:r w:rsidR="006F19CC">
        <w:t>Carbontate</w:t>
      </w:r>
      <w:proofErr w:type="spellEnd"/>
      <w:r w:rsidR="006F19CC">
        <w:t xml:space="preserve"> shelf flux is 0.037 </w:t>
      </w:r>
      <w:proofErr w:type="spellStart"/>
      <w:r w:rsidR="006F19CC">
        <w:t>Pg</w:t>
      </w:r>
      <w:proofErr w:type="spellEnd"/>
      <w:r w:rsidR="006F19CC">
        <w:t xml:space="preserve"> C/</w:t>
      </w:r>
      <w:proofErr w:type="spellStart"/>
      <w:r w:rsidR="006F19CC">
        <w:t>yr</w:t>
      </w:r>
      <w:proofErr w:type="spellEnd"/>
      <w:r w:rsidR="006F19CC">
        <w:t xml:space="preserve"> with all benthic being ~0.163 </w:t>
      </w:r>
      <w:proofErr w:type="spellStart"/>
      <w:r w:rsidR="006F19CC">
        <w:t>Pg</w:t>
      </w:r>
      <w:proofErr w:type="spellEnd"/>
      <w:r w:rsidR="006F19CC">
        <w:t xml:space="preserve"> C/</w:t>
      </w:r>
      <w:proofErr w:type="spellStart"/>
      <w:r w:rsidR="006F19CC">
        <w:t>yr</w:t>
      </w:r>
      <w:proofErr w:type="spellEnd"/>
    </w:p>
    <w:p w14:paraId="0B33D7D4" w14:textId="75389975" w:rsidR="00D41C2D" w:rsidRDefault="00D41C2D" w:rsidP="003470CB">
      <w:pPr>
        <w:pStyle w:val="ListParagraph"/>
        <w:numPr>
          <w:ilvl w:val="4"/>
          <w:numId w:val="4"/>
        </w:numPr>
        <w:jc w:val="both"/>
      </w:pPr>
      <w:r>
        <w:t>Unclear if they estimate pelagic carbonates how I think they are. They write “</w:t>
      </w:r>
      <w:r w:rsidRPr="00D41C2D">
        <w:t>Model output (1) confirms prediction of dominance of benthic over pelagic production in the neritic zone</w:t>
      </w:r>
      <w:r>
        <w:t>..” so I don’t think this is a global budget</w:t>
      </w:r>
    </w:p>
    <w:p w14:paraId="73CCE778" w14:textId="77777777" w:rsidR="00044F13" w:rsidRDefault="00044F13" w:rsidP="00044F13">
      <w:pPr>
        <w:pStyle w:val="ListParagraph"/>
        <w:numPr>
          <w:ilvl w:val="1"/>
          <w:numId w:val="4"/>
        </w:numPr>
        <w:jc w:val="both"/>
      </w:pPr>
      <w:r>
        <w:t xml:space="preserve">Pros </w:t>
      </w:r>
    </w:p>
    <w:p w14:paraId="6340B20C" w14:textId="7A8322A9" w:rsidR="00044F13" w:rsidRDefault="00044F13" w:rsidP="00044F13">
      <w:pPr>
        <w:pStyle w:val="ListParagraph"/>
        <w:numPr>
          <w:ilvl w:val="2"/>
          <w:numId w:val="4"/>
        </w:numPr>
        <w:jc w:val="both"/>
      </w:pPr>
      <w:r>
        <w:t xml:space="preserve">very important sediment in past (and preserved) </w:t>
      </w:r>
    </w:p>
    <w:p w14:paraId="13D5B910" w14:textId="5CAC150D" w:rsidR="00E25CEA" w:rsidRDefault="00E25CEA" w:rsidP="00E25CEA">
      <w:pPr>
        <w:pStyle w:val="ListParagraph"/>
        <w:numPr>
          <w:ilvl w:val="3"/>
          <w:numId w:val="4"/>
        </w:numPr>
        <w:jc w:val="both"/>
      </w:pPr>
      <w:r>
        <w:t>“</w:t>
      </w:r>
      <w:r w:rsidRPr="00E25CEA">
        <w:t xml:space="preserve">Prior to the Mesozoic, it is thought that most carbonate sediments were deposited in shallow-water platform, shelf, and slope environments (Opdyke and Wilkinson, 1988, Boss and Wilkinson, 1991, </w:t>
      </w:r>
      <w:proofErr w:type="spellStart"/>
      <w:r w:rsidRPr="00E25CEA">
        <w:t>Holmden</w:t>
      </w:r>
      <w:proofErr w:type="spellEnd"/>
      <w:r w:rsidRPr="00E25CEA">
        <w:t xml:space="preserve"> et al., 1998, </w:t>
      </w:r>
      <w:proofErr w:type="spellStart"/>
      <w:r w:rsidRPr="00E25CEA">
        <w:t>Ridgwell</w:t>
      </w:r>
      <w:proofErr w:type="spellEnd"/>
      <w:r w:rsidRPr="00E25CEA">
        <w:t>, 2005).</w:t>
      </w:r>
      <w:r>
        <w:t>” Higgins et al. 2018</w:t>
      </w:r>
    </w:p>
    <w:p w14:paraId="50B086E3" w14:textId="6B5B53D3" w:rsidR="00E25CEA" w:rsidRDefault="00E25CEA" w:rsidP="00E25CEA">
      <w:pPr>
        <w:pStyle w:val="ListParagraph"/>
        <w:numPr>
          <w:ilvl w:val="3"/>
          <w:numId w:val="4"/>
        </w:numPr>
        <w:jc w:val="both"/>
      </w:pPr>
      <w:r>
        <w:t>“</w:t>
      </w:r>
      <w:r>
        <w:t>Authigenic carbonate and the history of the global carbon cycle</w:t>
      </w:r>
      <w:r>
        <w:t xml:space="preserve">” </w:t>
      </w:r>
      <w:proofErr w:type="spellStart"/>
      <w:r>
        <w:t>Schrag</w:t>
      </w:r>
      <w:proofErr w:type="spellEnd"/>
      <w:r>
        <w:t xml:space="preserve"> e </w:t>
      </w:r>
      <w:proofErr w:type="spellStart"/>
      <w:r>
        <w:t>tal</w:t>
      </w:r>
      <w:proofErr w:type="spellEnd"/>
      <w:r>
        <w:t xml:space="preserve"> 2013</w:t>
      </w:r>
    </w:p>
    <w:p w14:paraId="29ABC8B4" w14:textId="4B8515F1" w:rsidR="00E25CEA" w:rsidRDefault="00E25CEA" w:rsidP="00E25CEA">
      <w:pPr>
        <w:pStyle w:val="ListParagraph"/>
        <w:numPr>
          <w:ilvl w:val="4"/>
          <w:numId w:val="4"/>
        </w:numPr>
        <w:jc w:val="both"/>
      </w:pPr>
      <w:r>
        <w:t>“</w:t>
      </w:r>
      <w:r w:rsidRPr="00E25CEA">
        <w:t xml:space="preserve">A challenge is that d13Ccarb records before the Jurassic are heavily biased toward shallow-water carbonate platforms </w:t>
      </w:r>
      <w:r w:rsidRPr="00E25CEA">
        <w:lastRenderedPageBreak/>
        <w:t>because slope and deep-basin sections are typically consumed or highly deformed during subduction</w:t>
      </w:r>
      <w:r>
        <w:t>”</w:t>
      </w:r>
    </w:p>
    <w:p w14:paraId="4BA796BE" w14:textId="1062FC82" w:rsidR="003E630E" w:rsidRDefault="003E630E" w:rsidP="003E630E">
      <w:pPr>
        <w:pStyle w:val="ListParagraph"/>
        <w:numPr>
          <w:ilvl w:val="3"/>
          <w:numId w:val="4"/>
        </w:numPr>
        <w:jc w:val="both"/>
      </w:pPr>
      <w:r>
        <w:t>Opdyke and Wilkinson 1988</w:t>
      </w:r>
    </w:p>
    <w:p w14:paraId="407DBAB4" w14:textId="393C5D41" w:rsidR="003E630E" w:rsidRDefault="003E630E" w:rsidP="003E630E">
      <w:pPr>
        <w:pStyle w:val="ListParagraph"/>
        <w:numPr>
          <w:ilvl w:val="4"/>
          <w:numId w:val="4"/>
        </w:numPr>
        <w:jc w:val="both"/>
      </w:pPr>
      <w:r>
        <w:t>shelf carbonate areas changed from 27x10</w:t>
      </w:r>
      <w:r>
        <w:rPr>
          <w:vertAlign w:val="superscript"/>
        </w:rPr>
        <w:t>6</w:t>
      </w:r>
      <w:r>
        <w:t>km</w:t>
      </w:r>
      <w:r>
        <w:rPr>
          <w:vertAlign w:val="superscript"/>
        </w:rPr>
        <w:t>2</w:t>
      </w:r>
      <w:r>
        <w:t xml:space="preserve"> to 1.4x10</w:t>
      </w:r>
      <w:r>
        <w:rPr>
          <w:vertAlign w:val="superscript"/>
        </w:rPr>
        <w:t>6</w:t>
      </w:r>
      <w:r>
        <w:t xml:space="preserve"> km</w:t>
      </w:r>
      <w:r>
        <w:rPr>
          <w:vertAlign w:val="superscript"/>
        </w:rPr>
        <w:t>2</w:t>
      </w:r>
      <w:r>
        <w:t xml:space="preserve"> since the late Cretaceous</w:t>
      </w:r>
    </w:p>
    <w:p w14:paraId="5BD26133" w14:textId="73336E02" w:rsidR="00CA7B69" w:rsidRDefault="00CA7B69" w:rsidP="003E630E">
      <w:pPr>
        <w:pStyle w:val="ListParagraph"/>
        <w:numPr>
          <w:ilvl w:val="4"/>
          <w:numId w:val="4"/>
        </w:numPr>
        <w:jc w:val="both"/>
      </w:pPr>
      <w:r>
        <w:t>“</w:t>
      </w:r>
      <w:r>
        <w:t>Estimates by Opdyke and Wilkinson (1988) suggest that the dominance of pelagic carbonate deposition may only extend back to 15 or 20 Ma</w:t>
      </w:r>
      <w:r>
        <w:t xml:space="preserve">” from </w:t>
      </w:r>
      <w:proofErr w:type="spellStart"/>
      <w:r>
        <w:t>F</w:t>
      </w:r>
      <w:r>
        <w:t>antle</w:t>
      </w:r>
      <w:proofErr w:type="spellEnd"/>
      <w:r>
        <w:t xml:space="preserve"> 2010 </w:t>
      </w:r>
      <w:r>
        <w:t>EVALUATING THE Ca ISOTOPE PROXY</w:t>
      </w:r>
    </w:p>
    <w:p w14:paraId="17103DB0" w14:textId="0CF81E81" w:rsidR="000004E5" w:rsidRDefault="000004E5" w:rsidP="000004E5">
      <w:pPr>
        <w:pStyle w:val="ListParagraph"/>
        <w:numPr>
          <w:ilvl w:val="3"/>
          <w:numId w:val="4"/>
        </w:numPr>
        <w:jc w:val="both"/>
      </w:pPr>
      <w:r>
        <w:t>Volk 1989</w:t>
      </w:r>
    </w:p>
    <w:p w14:paraId="25B6E68C" w14:textId="2DC87119" w:rsidR="000004E5" w:rsidRDefault="000004E5" w:rsidP="000004E5">
      <w:pPr>
        <w:pStyle w:val="ListParagraph"/>
        <w:numPr>
          <w:ilvl w:val="4"/>
          <w:numId w:val="4"/>
        </w:numPr>
        <w:jc w:val="both"/>
      </w:pPr>
      <w:r>
        <w:t xml:space="preserve">I think discusses how balance of shallow water and pelagic carbonate burial may have been proportionally different in the past. </w:t>
      </w:r>
    </w:p>
    <w:p w14:paraId="6091DAAB" w14:textId="6B6A3D81" w:rsidR="00284385" w:rsidRDefault="00284385" w:rsidP="00E76605">
      <w:pPr>
        <w:pStyle w:val="ListParagraph"/>
        <w:numPr>
          <w:ilvl w:val="3"/>
          <w:numId w:val="4"/>
        </w:numPr>
        <w:jc w:val="both"/>
      </w:pPr>
      <w:r>
        <w:t>“</w:t>
      </w:r>
      <w:r w:rsidRPr="00284385">
        <w:t>Cenozoic carbonate burial along continental margins</w:t>
      </w:r>
      <w:r>
        <w:t>”</w:t>
      </w:r>
      <w:r w:rsidR="005B0D81">
        <w:t xml:space="preserve"> 2019</w:t>
      </w:r>
    </w:p>
    <w:p w14:paraId="14F68789" w14:textId="3116C98E" w:rsidR="00284385" w:rsidRDefault="005B0D81" w:rsidP="00284385">
      <w:pPr>
        <w:pStyle w:val="ListParagraph"/>
        <w:numPr>
          <w:ilvl w:val="4"/>
          <w:numId w:val="4"/>
        </w:numPr>
        <w:jc w:val="both"/>
      </w:pPr>
      <w:r>
        <w:t>Basically estimate less margin carbonate accumulation over time compared to Opdyke but still support them being more important in the past relative to pelagic (only skimmed this paper without really paying attention, must go back and reread)</w:t>
      </w:r>
    </w:p>
    <w:p w14:paraId="523F1C75" w14:textId="6F1DE572" w:rsidR="0078645B" w:rsidRDefault="0078645B" w:rsidP="00284385">
      <w:pPr>
        <w:pStyle w:val="ListParagraph"/>
        <w:numPr>
          <w:ilvl w:val="4"/>
          <w:numId w:val="4"/>
        </w:numPr>
        <w:jc w:val="both"/>
      </w:pPr>
      <w:r>
        <w:t>Supports long term decline in marginal carbonate burial (as does Opdyke)</w:t>
      </w:r>
    </w:p>
    <w:p w14:paraId="7DA7974E" w14:textId="053515CC" w:rsidR="00E76605" w:rsidRDefault="00E76605" w:rsidP="00E76605">
      <w:pPr>
        <w:pStyle w:val="ListParagraph"/>
        <w:numPr>
          <w:ilvl w:val="3"/>
          <w:numId w:val="4"/>
        </w:numPr>
        <w:jc w:val="both"/>
      </w:pPr>
      <w:proofErr w:type="spellStart"/>
      <w:r>
        <w:t>Caldeira</w:t>
      </w:r>
      <w:proofErr w:type="spellEnd"/>
      <w:r>
        <w:t xml:space="preserve"> 1991 “</w:t>
      </w:r>
      <w:r>
        <w:t>Continental-pelagic carbonate partitioning and the global carbonate-silicate cycle</w:t>
      </w:r>
      <w:r>
        <w:t>"</w:t>
      </w:r>
    </w:p>
    <w:p w14:paraId="5C83AD19" w14:textId="6E458606" w:rsidR="00E76605" w:rsidRDefault="00E76605" w:rsidP="00E76605">
      <w:pPr>
        <w:pStyle w:val="ListParagraph"/>
        <w:numPr>
          <w:ilvl w:val="4"/>
          <w:numId w:val="4"/>
        </w:numPr>
        <w:jc w:val="both"/>
      </w:pPr>
      <w:r>
        <w:t>“</w:t>
      </w:r>
      <w:r>
        <w:t>Approximately 60% to 80% of carbonate accumulation occurs in deep-water environments (Opdyke and Wilkinson, 1988; Wilkinson and Walker, 1989), but deep-water carbonate currently makes up only 7% or 8% of the total carbonate rock mass (</w:t>
      </w:r>
      <w:proofErr w:type="spellStart"/>
      <w:r>
        <w:t>Budyko</w:t>
      </w:r>
      <w:proofErr w:type="spellEnd"/>
      <w:r>
        <w:t xml:space="preserve"> et al., 1987; Wilkinson and Walker, 1989). If pelagic carbonate cycles about eight times more rapidly than continental carbonate (Wilkinson and Walker, 1989),</w:t>
      </w:r>
      <w:r>
        <w:t>”</w:t>
      </w:r>
    </w:p>
    <w:p w14:paraId="7C3394E7" w14:textId="3187926D" w:rsidR="000A6712" w:rsidRDefault="000A6712" w:rsidP="000A6712">
      <w:pPr>
        <w:pStyle w:val="ListParagraph"/>
        <w:numPr>
          <w:ilvl w:val="3"/>
          <w:numId w:val="4"/>
        </w:numPr>
        <w:jc w:val="both"/>
      </w:pPr>
      <w:r>
        <w:t>Nakamori</w:t>
      </w:r>
      <w:r w:rsidR="00D326B8">
        <w:t xml:space="preserve"> 2001</w:t>
      </w:r>
    </w:p>
    <w:p w14:paraId="39093757" w14:textId="77AA49DC" w:rsidR="007072E6" w:rsidRDefault="007072E6" w:rsidP="007072E6">
      <w:pPr>
        <w:pStyle w:val="ListParagraph"/>
        <w:numPr>
          <w:ilvl w:val="4"/>
          <w:numId w:val="4"/>
        </w:numPr>
        <w:jc w:val="both"/>
      </w:pPr>
      <w:r>
        <w:t>Need to read this</w:t>
      </w:r>
    </w:p>
    <w:p w14:paraId="1CC11742" w14:textId="0FA886D7" w:rsidR="000A6712" w:rsidRDefault="00DA22F7" w:rsidP="000A6712">
      <w:pPr>
        <w:pStyle w:val="ListParagraph"/>
        <w:numPr>
          <w:ilvl w:val="4"/>
          <w:numId w:val="4"/>
        </w:numPr>
        <w:jc w:val="both"/>
      </w:pPr>
      <w:r>
        <w:rPr>
          <w:noProof/>
        </w:rPr>
        <w:drawing>
          <wp:inline distT="0" distB="0" distL="0" distR="0" wp14:anchorId="06BD5F1F" wp14:editId="24650E69">
            <wp:extent cx="2365930" cy="22441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136" t="16068" r="10054" b="16801"/>
                    <a:stretch/>
                  </pic:blipFill>
                  <pic:spPr bwMode="auto">
                    <a:xfrm>
                      <a:off x="0" y="0"/>
                      <a:ext cx="2366157" cy="2244385"/>
                    </a:xfrm>
                    <a:prstGeom prst="rect">
                      <a:avLst/>
                    </a:prstGeom>
                    <a:ln>
                      <a:noFill/>
                    </a:ln>
                    <a:extLst>
                      <a:ext uri="{53640926-AAD7-44D8-BBD7-CCE9431645EC}">
                        <a14:shadowObscured xmlns:a14="http://schemas.microsoft.com/office/drawing/2010/main"/>
                      </a:ext>
                    </a:extLst>
                  </pic:spPr>
                </pic:pic>
              </a:graphicData>
            </a:graphic>
          </wp:inline>
        </w:drawing>
      </w:r>
    </w:p>
    <w:p w14:paraId="4F49A4BF" w14:textId="66176A18" w:rsidR="00D326B8" w:rsidRDefault="00D326B8" w:rsidP="000A6712">
      <w:pPr>
        <w:pStyle w:val="ListParagraph"/>
        <w:numPr>
          <w:ilvl w:val="4"/>
          <w:numId w:val="4"/>
        </w:numPr>
        <w:jc w:val="both"/>
      </w:pPr>
      <w:r>
        <w:rPr>
          <w:noProof/>
        </w:rPr>
        <w:lastRenderedPageBreak/>
        <w:drawing>
          <wp:inline distT="0" distB="0" distL="0" distR="0" wp14:anchorId="42F685DE" wp14:editId="5CF40C4B">
            <wp:extent cx="3165231" cy="765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930" t="43417" r="10034" b="21763"/>
                    <a:stretch/>
                  </pic:blipFill>
                  <pic:spPr bwMode="auto">
                    <a:xfrm>
                      <a:off x="0" y="0"/>
                      <a:ext cx="3171350" cy="766515"/>
                    </a:xfrm>
                    <a:prstGeom prst="rect">
                      <a:avLst/>
                    </a:prstGeom>
                    <a:ln>
                      <a:noFill/>
                    </a:ln>
                    <a:extLst>
                      <a:ext uri="{53640926-AAD7-44D8-BBD7-CCE9431645EC}">
                        <a14:shadowObscured xmlns:a14="http://schemas.microsoft.com/office/drawing/2010/main"/>
                      </a:ext>
                    </a:extLst>
                  </pic:spPr>
                </pic:pic>
              </a:graphicData>
            </a:graphic>
          </wp:inline>
        </w:drawing>
      </w:r>
    </w:p>
    <w:p w14:paraId="2B4E184D" w14:textId="6D6111B6" w:rsidR="002346BB" w:rsidRDefault="002346BB" w:rsidP="000A6712">
      <w:pPr>
        <w:pStyle w:val="ListParagraph"/>
        <w:numPr>
          <w:ilvl w:val="4"/>
          <w:numId w:val="4"/>
        </w:numPr>
        <w:jc w:val="both"/>
      </w:pPr>
      <w:r>
        <w:t xml:space="preserve">I think they basically fixed the model estimates from Opdyke 1988 because they were all relative to a single time period and that single time period was incorrect (too high). </w:t>
      </w:r>
    </w:p>
    <w:p w14:paraId="466F3828" w14:textId="2B4614E3" w:rsidR="00044F13" w:rsidRDefault="00044F13" w:rsidP="00044F13">
      <w:pPr>
        <w:pStyle w:val="ListParagraph"/>
        <w:numPr>
          <w:ilvl w:val="2"/>
          <w:numId w:val="4"/>
        </w:numPr>
        <w:jc w:val="both"/>
      </w:pPr>
      <w:r>
        <w:t>early diagenesis may strongly affect the primary Ni si</w:t>
      </w:r>
      <w:r w:rsidR="005B4750">
        <w:t xml:space="preserve">gnal, and our </w:t>
      </w:r>
      <w:proofErr w:type="spellStart"/>
      <w:r w:rsidR="005B4750">
        <w:t>sampleset</w:t>
      </w:r>
      <w:proofErr w:type="spellEnd"/>
      <w:r w:rsidR="005B4750">
        <w:t xml:space="preserve"> has a large set of literature documenting it’s </w:t>
      </w:r>
      <w:proofErr w:type="spellStart"/>
      <w:r w:rsidR="005B4750">
        <w:t>diagentic</w:t>
      </w:r>
      <w:proofErr w:type="spellEnd"/>
      <w:r w:rsidR="005B4750">
        <w:t xml:space="preserve"> past. </w:t>
      </w:r>
    </w:p>
    <w:p w14:paraId="3A9C03BC" w14:textId="5A513B1E" w:rsidR="00F7264E" w:rsidRDefault="00F7264E" w:rsidP="00044F13">
      <w:pPr>
        <w:pStyle w:val="ListParagraph"/>
        <w:numPr>
          <w:ilvl w:val="2"/>
          <w:numId w:val="4"/>
        </w:numPr>
        <w:jc w:val="both"/>
      </w:pPr>
      <w:r>
        <w:t xml:space="preserve">Provides opportunity to </w:t>
      </w:r>
      <w:r w:rsidR="00932998">
        <w:t xml:space="preserve">assess the fidelity of carbonates as a record of </w:t>
      </w:r>
      <w:proofErr w:type="spellStart"/>
      <w:r w:rsidR="00932998">
        <w:t>dNi</w:t>
      </w:r>
      <w:proofErr w:type="spellEnd"/>
    </w:p>
    <w:p w14:paraId="7955E601" w14:textId="58FC6263" w:rsidR="00AE6CB3" w:rsidRDefault="00D87821" w:rsidP="00AE6CB3">
      <w:pPr>
        <w:pStyle w:val="ListParagraph"/>
        <w:numPr>
          <w:ilvl w:val="0"/>
          <w:numId w:val="4"/>
        </w:numPr>
        <w:jc w:val="both"/>
      </w:pPr>
      <w:r>
        <w:t>Proposed work</w:t>
      </w:r>
    </w:p>
    <w:p w14:paraId="473FF267" w14:textId="19F0ED66" w:rsidR="00AE6CB3" w:rsidRDefault="00AE6CB3" w:rsidP="00AE6CB3">
      <w:pPr>
        <w:pStyle w:val="ListParagraph"/>
        <w:numPr>
          <w:ilvl w:val="1"/>
          <w:numId w:val="4"/>
        </w:numPr>
        <w:jc w:val="both"/>
      </w:pPr>
      <w:r>
        <w:t xml:space="preserve">Develop chemistry for and analyze set of the GBB carbs </w:t>
      </w:r>
    </w:p>
    <w:p w14:paraId="4AD028B6" w14:textId="78DE341C" w:rsidR="00AE6CB3" w:rsidRDefault="00AE6CB3" w:rsidP="00AE6CB3">
      <w:pPr>
        <w:pStyle w:val="ListParagraph"/>
        <w:numPr>
          <w:ilvl w:val="1"/>
          <w:numId w:val="4"/>
        </w:numPr>
        <w:jc w:val="both"/>
      </w:pPr>
      <w:r>
        <w:t xml:space="preserve">Choose nonexperimental route to study the effect of </w:t>
      </w:r>
      <w:proofErr w:type="spellStart"/>
      <w:r>
        <w:t>diagenesiss</w:t>
      </w:r>
      <w:proofErr w:type="spellEnd"/>
      <w:r>
        <w:t xml:space="preserve"> on the long term burial of Ni (should this be included here?)</w:t>
      </w:r>
    </w:p>
    <w:p w14:paraId="464596D6" w14:textId="77777777" w:rsidR="00CC258E" w:rsidRPr="003164FA" w:rsidRDefault="00CC258E" w:rsidP="00CC258E">
      <w:pPr>
        <w:jc w:val="both"/>
        <w:rPr>
          <w:b/>
          <w:bCs/>
        </w:rPr>
      </w:pPr>
      <w:commentRangeStart w:id="11"/>
      <w:r w:rsidRPr="003164FA">
        <w:rPr>
          <w:b/>
          <w:bCs/>
        </w:rPr>
        <w:t xml:space="preserve">Mn oxides </w:t>
      </w:r>
      <w:commentRangeEnd w:id="11"/>
      <w:r>
        <w:rPr>
          <w:rStyle w:val="CommentReference"/>
          <w:rFonts w:eastAsiaTheme="majorEastAsia"/>
        </w:rPr>
        <w:commentReference w:id="11"/>
      </w:r>
    </w:p>
    <w:p w14:paraId="76B85952" w14:textId="2F060B76" w:rsidR="00CC258E" w:rsidRDefault="00913B8D" w:rsidP="00CC258E">
      <w:pPr>
        <w:spacing w:after="0" w:line="240" w:lineRule="auto"/>
        <w:ind w:firstLine="720"/>
        <w:contextualSpacing/>
        <w:jc w:val="both"/>
      </w:pPr>
      <w:r>
        <w:rPr>
          <w:noProof/>
        </w:rPr>
        <w:t>As discus</w:t>
      </w:r>
      <w:r w:rsidR="00FF059C">
        <w:rPr>
          <w:noProof/>
        </w:rPr>
        <w:t>s</w:t>
      </w:r>
      <w:r>
        <w:rPr>
          <w:noProof/>
        </w:rPr>
        <w:t>ed above, s</w:t>
      </w:r>
      <w:r w:rsidR="00CC258E" w:rsidRPr="00522B38">
        <w:rPr>
          <w:noProof/>
        </w:rPr>
        <w:t xml:space="preserve">everal studies aimed to determine </w:t>
      </w:r>
      <w:r w:rsidR="00CC258E" w:rsidRPr="00522B38">
        <w:t>δ</w:t>
      </w:r>
      <w:r w:rsidR="00CC258E" w:rsidRPr="00522B38">
        <w:rPr>
          <w:vertAlign w:val="superscript"/>
        </w:rPr>
        <w:t>60/58</w:t>
      </w:r>
      <w:r w:rsidR="00CC258E" w:rsidRPr="00522B38">
        <w:t xml:space="preserve">Ni </w:t>
      </w:r>
      <w:r w:rsidR="00CC258E" w:rsidRPr="00522B38">
        <w:rPr>
          <w:noProof/>
        </w:rPr>
        <w:t xml:space="preserve">for Mn-rich sediments, </w:t>
      </w:r>
      <w:r w:rsidR="00CC258E" w:rsidRPr="00522B38">
        <w:t>perhaps largest sink of Ni</w:t>
      </w:r>
      <w:r w:rsidR="00CC258E">
        <w:rPr>
          <w:noProof/>
        </w:rPr>
        <w:t xml:space="preserve">, </w:t>
      </w:r>
      <w:r w:rsidR="00CC258E" w:rsidRPr="00522B38">
        <w:rPr>
          <w:noProof/>
        </w:rPr>
        <w:t>but the results so far are extremely puzzling</w:t>
      </w:r>
      <w:r w:rsidR="00CC258E">
        <w:rPr>
          <w:noProof/>
        </w:rPr>
        <w:t>.</w:t>
      </w:r>
      <w:r w:rsidR="00CC258E" w:rsidRPr="00522B38">
        <w:t xml:space="preserve"> Nickel is enriched in Fe-Mn deposits relative to seawater (ca. 10</w:t>
      </w:r>
      <w:r w:rsidR="00CC258E" w:rsidRPr="00522B38">
        <w:rPr>
          <w:vertAlign w:val="superscript"/>
        </w:rPr>
        <w:t xml:space="preserve">6 </w:t>
      </w:r>
      <w:r w:rsidR="00CC258E" w:rsidRPr="00522B38">
        <w:t xml:space="preserve">Ni mol/g Fe-Mn deposits/ Ni mol/g seawater) </w:t>
      </w:r>
      <w:r w:rsidR="00CC258E" w:rsidRPr="00522B38">
        <w:fldChar w:fldCharType="begin" w:fldLock="1"/>
      </w:r>
      <w:r w:rsidR="00CC258E">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00CC258E" w:rsidRPr="00522B38">
        <w:fldChar w:fldCharType="separate"/>
      </w:r>
      <w:r w:rsidR="00CC258E" w:rsidRPr="00522B38">
        <w:rPr>
          <w:noProof/>
        </w:rPr>
        <w:t>(e.g., Li and Schoonmaker, 2003)</w:t>
      </w:r>
      <w:r w:rsidR="00CC258E" w:rsidRPr="00522B38">
        <w:fldChar w:fldCharType="end"/>
      </w:r>
      <w:r w:rsidR="00CC258E" w:rsidRPr="00522B38">
        <w:t xml:space="preserve"> and primarily associated with Mn phases, rather than Fe </w:t>
      </w:r>
      <w:commentRangeStart w:id="12"/>
      <w:r w:rsidR="00CC258E" w:rsidRPr="00522B38">
        <w:fldChar w:fldCharType="begin" w:fldLock="1"/>
      </w:r>
      <w:r w:rsidR="00CC258E">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00CC258E" w:rsidRPr="00522B38">
        <w:fldChar w:fldCharType="separate"/>
      </w:r>
      <w:r w:rsidR="00CC258E" w:rsidRPr="00522B38">
        <w:rPr>
          <w:noProof/>
        </w:rPr>
        <w:t>(e.g., Peacock and Sherman, 2007)</w:t>
      </w:r>
      <w:r w:rsidR="00CC258E" w:rsidRPr="00522B38">
        <w:fldChar w:fldCharType="end"/>
      </w:r>
      <w:commentRangeEnd w:id="12"/>
      <w:r w:rsidR="001F3B32">
        <w:rPr>
          <w:rStyle w:val="CommentReference"/>
        </w:rPr>
        <w:commentReference w:id="12"/>
      </w:r>
      <w:r w:rsidR="00CC258E" w:rsidRPr="00522B38">
        <w:t xml:space="preserve">.  </w:t>
      </w:r>
      <w:r w:rsidR="00CC258E">
        <w:t xml:space="preserve">The </w:t>
      </w:r>
      <w:r w:rsidR="00CC258E" w:rsidRPr="00E75FB7">
        <w:t>δ</w:t>
      </w:r>
      <w:r w:rsidR="00CC258E" w:rsidRPr="00E75FB7">
        <w:rPr>
          <w:vertAlign w:val="superscript"/>
        </w:rPr>
        <w:t>60/58</w:t>
      </w:r>
      <w:r w:rsidR="00CC258E" w:rsidRPr="00E75FB7">
        <w:t>Ni</w:t>
      </w:r>
      <w:r w:rsidR="00CC258E">
        <w:t xml:space="preserve"> of Mn-rich deposits span the entire known natural range of Ni isotopic compositions (ca. -1.8 to 2.5‰) and, inexplicably, appear to be sometimes isotopically heavier and sometimes isotopically lighter than the solution from which they precipitate </w:t>
      </w:r>
      <w:r w:rsidR="00CC258E">
        <w:fldChar w:fldCharType="begin" w:fldLock="1"/>
      </w:r>
      <w:r w:rsidR="00CC258E">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rsidR="00CC258E">
        <w:fldChar w:fldCharType="separate"/>
      </w:r>
      <w:r w:rsidR="00CC258E" w:rsidRPr="00C34A13">
        <w:rPr>
          <w:noProof/>
        </w:rPr>
        <w:t>(Gall et al., 2013; Gueguen et al., 2020, 2016; Gueguen and Rouxel, 2021; Little et al., 2020; Vance et al., 2016)</w:t>
      </w:r>
      <w:r w:rsidR="00CC258E">
        <w:fldChar w:fldCharType="end"/>
      </w:r>
      <w:r w:rsidR="00CC258E">
        <w:t xml:space="preserve">. </w:t>
      </w:r>
      <w:r w:rsidR="00190AEC">
        <w:t>In addition</w:t>
      </w:r>
      <w:r w:rsidR="00EB6213">
        <w:t xml:space="preserve"> to identifying the isotopic composition of Ni’s largest sink</w:t>
      </w:r>
      <w:r w:rsidR="00190AEC">
        <w:t xml:space="preserve">, </w:t>
      </w:r>
      <w:r w:rsidR="00557F5B">
        <w:t xml:space="preserve">obtaining a mechanistic understanding of </w:t>
      </w:r>
      <w:r w:rsidR="003065F4">
        <w:t>Ni isotope fractionation with Mn oxides will allow us to determine the feasibility of the h</w:t>
      </w:r>
      <w:r w:rsidR="00FF059C">
        <w:t>ypothesized heavy benthic flux</w:t>
      </w:r>
      <w:r w:rsidR="00EB6213">
        <w:t>,</w:t>
      </w:r>
      <w:r w:rsidR="004153D3">
        <w:t xml:space="preserve"> which</w:t>
      </w:r>
      <w:r w:rsidR="00FF059C">
        <w:t xml:space="preserve"> relies on</w:t>
      </w:r>
      <w:r w:rsidR="00EB6213">
        <w:t xml:space="preserve"> a specific</w:t>
      </w:r>
      <w:commentRangeStart w:id="13"/>
      <w:r w:rsidR="00EB6213">
        <w:t xml:space="preserve"> interpretation </w:t>
      </w:r>
      <w:commentRangeEnd w:id="13"/>
      <w:r w:rsidR="004153D3">
        <w:rPr>
          <w:rStyle w:val="CommentReference"/>
        </w:rPr>
        <w:commentReference w:id="13"/>
      </w:r>
      <w:r w:rsidR="00EB6213">
        <w:t xml:space="preserve">of Ni isotopic fractionation associated with Mn oxide redox cycling. </w:t>
      </w:r>
      <w:r w:rsidR="00CC258E">
        <w:t>Without better knowledge of the main marine Ni sink, correctly modeling the marine Ni cycle is likely impossible.</w:t>
      </w:r>
    </w:p>
    <w:p w14:paraId="194786DE" w14:textId="66F73747" w:rsidR="00CC258E" w:rsidRDefault="005C5877" w:rsidP="00377151">
      <w:pPr>
        <w:spacing w:after="0"/>
        <w:ind w:firstLine="720"/>
        <w:jc w:val="both"/>
        <w:textAlignment w:val="baseline"/>
      </w:pPr>
      <w:r>
        <w:t xml:space="preserve">We will experimentally investigate three of the most promising explanations for the variability in Mn oxide sediments. </w:t>
      </w:r>
      <w:r w:rsidR="00377151">
        <w:t xml:space="preserve">The primary </w:t>
      </w:r>
      <w:r w:rsidR="00557F5B">
        <w:t xml:space="preserve">mineral of </w:t>
      </w:r>
      <w:r w:rsidR="00377151">
        <w:t xml:space="preserve">focus will be on birnessite, the dominant Mn phase in natural marine Fe-Mn </w:t>
      </w:r>
      <w:commentRangeStart w:id="14"/>
      <w:r w:rsidR="00377151">
        <w:t xml:space="preserve">precipitates </w:t>
      </w:r>
      <w:r w:rsidR="00377151">
        <w:fldChar w:fldCharType="begin" w:fldLock="1"/>
      </w:r>
      <w:r w:rsidR="00377151">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377151">
        <w:rPr>
          <w:rFonts w:ascii="Cambria Math" w:hAnsi="Cambria Math" w:cs="Cambria Math"/>
        </w:rPr>
        <w:instrText>∼</w:instrText>
      </w:r>
      <w:r w:rsidR="00377151">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377151">
        <w:fldChar w:fldCharType="separate"/>
      </w:r>
      <w:r w:rsidR="00377151" w:rsidRPr="00485BB7">
        <w:rPr>
          <w:noProof/>
        </w:rPr>
        <w:t>(Peacock, 2009)</w:t>
      </w:r>
      <w:r w:rsidR="00377151">
        <w:fldChar w:fldCharType="end"/>
      </w:r>
      <w:commentRangeEnd w:id="14"/>
      <w:r w:rsidR="00DA4C46">
        <w:rPr>
          <w:rStyle w:val="CommentReference"/>
        </w:rPr>
        <w:commentReference w:id="14"/>
      </w:r>
      <w:commentRangeStart w:id="15"/>
      <w:r w:rsidR="00377151">
        <w:t>.</w:t>
      </w:r>
      <w:commentRangeEnd w:id="15"/>
      <w:r w:rsidR="00A16CAF">
        <w:rPr>
          <w:rStyle w:val="CommentReference"/>
        </w:rPr>
        <w:commentReference w:id="15"/>
      </w:r>
    </w:p>
    <w:p w14:paraId="484A3CB1" w14:textId="0885C859" w:rsidR="002C3F0D" w:rsidRDefault="005C5877" w:rsidP="005C5877">
      <w:pPr>
        <w:spacing w:after="0"/>
        <w:jc w:val="both"/>
        <w:textAlignment w:val="baseline"/>
      </w:pPr>
      <w:r w:rsidRPr="0069218B">
        <w:rPr>
          <w:b/>
          <w:bCs/>
        </w:rPr>
        <w:t>H</w:t>
      </w:r>
      <w:r w:rsidR="00485BB7">
        <w:rPr>
          <w:b/>
          <w:bCs/>
        </w:rPr>
        <w:t>1</w:t>
      </w:r>
      <w:r w:rsidRPr="0069218B">
        <w:rPr>
          <w:b/>
          <w:bCs/>
        </w:rPr>
        <w:t>:</w:t>
      </w:r>
      <w:r>
        <w:t xml:space="preserve"> Surface sorbed Ni is isotopically lighter than incorporated Ni within</w:t>
      </w:r>
      <w:r w:rsidR="00377151">
        <w:t xml:space="preserve"> </w:t>
      </w:r>
      <w:r w:rsidR="002E65A0">
        <w:t>birnessite</w:t>
      </w:r>
      <w:r>
        <w:t xml:space="preserve">. </w:t>
      </w:r>
      <w:r w:rsidR="002C3F0D">
        <w:t>Nickel can be structurally incorporated into Mn vacancy sites in birnessite or sorbed on {001} surface sites (triple corner sharing) or edge sites (double corner sharing)</w:t>
      </w:r>
      <w:r w:rsidR="00792222">
        <w:t xml:space="preserve"> </w:t>
      </w:r>
      <w:r w:rsidR="002C3F0D">
        <w:fldChar w:fldCharType="begin" w:fldLock="1"/>
      </w:r>
      <w:r w:rsidR="00485BB7">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rsidR="002C3F0D">
        <w:fldChar w:fldCharType="separate"/>
      </w:r>
      <w:r w:rsidR="00485BB7" w:rsidRPr="00485BB7">
        <w:rPr>
          <w:noProof/>
        </w:rPr>
        <w:t>(Simanova et al., 2015)</w:t>
      </w:r>
      <w:r w:rsidR="002C3F0D">
        <w:fldChar w:fldCharType="end"/>
      </w:r>
      <w:commentRangeStart w:id="16"/>
      <w:r w:rsidR="002C3F0D">
        <w:t>.</w:t>
      </w:r>
      <w:commentRangeEnd w:id="16"/>
      <w:r w:rsidR="00DA4C46">
        <w:rPr>
          <w:rStyle w:val="CommentReference"/>
        </w:rPr>
        <w:commentReference w:id="16"/>
      </w:r>
      <w:r w:rsidR="002C3F0D">
        <w:t xml:space="preserve"> A Ni-birnessite sorption study indicated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 xml:space="preserve">birnessite </w:t>
      </w:r>
      <w:r w:rsidR="002C3F0D">
        <w:t>positively correlates with the ratio of surface-sorbed to incorporated Ni, suggesting that sorbed Ni is isotopically lighter than incorporated Ni</w:t>
      </w:r>
      <w:r w:rsidR="006D379E">
        <w:t xml:space="preserve"> </w:t>
      </w:r>
      <w:r w:rsidR="002C3F0D">
        <w:fldChar w:fldCharType="begin" w:fldLock="1"/>
      </w:r>
      <w:r w:rsidR="00485BB7">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rsidR="002C3F0D">
        <w:fldChar w:fldCharType="separate"/>
      </w:r>
      <w:r w:rsidR="00485BB7" w:rsidRPr="00485BB7">
        <w:rPr>
          <w:noProof/>
        </w:rPr>
        <w:t>(Sorensen et al., 2020)</w:t>
      </w:r>
      <w:r w:rsidR="002C3F0D">
        <w:fldChar w:fldCharType="end"/>
      </w:r>
      <w:r w:rsidR="002C3F0D">
        <w:t>. Experimental results suggest Ni migrates very slowly into the vacancy sites (30% incorporation after 408 h)</w:t>
      </w:r>
      <w:commentRangeStart w:id="17"/>
      <w:r w:rsidR="00584C36">
        <w:t xml:space="preserve"> </w:t>
      </w:r>
      <w:commentRangeEnd w:id="17"/>
      <w:r w:rsidR="007707A4">
        <w:rPr>
          <w:rStyle w:val="CommentReference"/>
        </w:rPr>
        <w:commentReference w:id="17"/>
      </w:r>
      <w:commentRangeStart w:id="18"/>
      <w:r w:rsidR="002C3F0D">
        <w:fldChar w:fldCharType="begin" w:fldLock="1"/>
      </w:r>
      <w:r w:rsidR="00485BB7">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sidR="00485BB7">
        <w:rPr>
          <w:rFonts w:ascii="Cambria Math" w:hAnsi="Cambria Math" w:cs="Cambria Math"/>
        </w:rPr>
        <w:instrText>∼</w:instrText>
      </w:r>
      <w:r w:rsidR="00485BB7">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rsidR="002C3F0D">
        <w:fldChar w:fldCharType="separate"/>
      </w:r>
      <w:r w:rsidR="00485BB7" w:rsidRPr="00485BB7">
        <w:rPr>
          <w:noProof/>
        </w:rPr>
        <w:t>(Peacock, 2009)</w:t>
      </w:r>
      <w:r w:rsidR="002C3F0D">
        <w:fldChar w:fldCharType="end"/>
      </w:r>
      <w:r w:rsidR="002C3F0D">
        <w:t xml:space="preserve">. </w:t>
      </w:r>
      <w:commentRangeEnd w:id="18"/>
      <w:r w:rsidR="00584C36">
        <w:rPr>
          <w:rStyle w:val="CommentReference"/>
        </w:rPr>
        <w:commentReference w:id="18"/>
      </w:r>
      <w:r w:rsidR="002C3F0D">
        <w:t>In natural Fe-Mn crusts, the majority of Ni is structurally incorporated</w:t>
      </w:r>
      <w:r w:rsidR="009E66A0">
        <w:t xml:space="preserve"> </w:t>
      </w:r>
      <w:r w:rsidR="002C3F0D">
        <w:fldChar w:fldCharType="begin" w:fldLock="1"/>
      </w:r>
      <w:r w:rsidR="00485BB7">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rsidR="002C3F0D">
        <w:fldChar w:fldCharType="separate"/>
      </w:r>
      <w:r w:rsidR="00485BB7" w:rsidRPr="00485BB7">
        <w:rPr>
          <w:noProof/>
        </w:rPr>
        <w:t>(Peacock and Sherman, 2007)</w:t>
      </w:r>
      <w:r w:rsidR="002C3F0D">
        <w:fldChar w:fldCharType="end"/>
      </w:r>
      <w:r w:rsidR="002C3F0D">
        <w:t xml:space="preserve">, but the degree of structural incorporation within sediments like the relatively ephemeral Mn oxide particles in the Black Sea is unknown. If surface-sorbed and incorporated Ni have different </w:t>
      </w:r>
      <w:r w:rsidR="002C3F0D" w:rsidRPr="00E75FB7">
        <w:t>Δ</w:t>
      </w:r>
      <w:r w:rsidR="002C3F0D" w:rsidRPr="00E75FB7">
        <w:rPr>
          <w:vertAlign w:val="superscript"/>
        </w:rPr>
        <w:t>60/58</w:t>
      </w:r>
      <w:r w:rsidR="002C3F0D" w:rsidRPr="00E75FB7">
        <w:t>Ni</w:t>
      </w:r>
      <w:r w:rsidR="002C3F0D" w:rsidRPr="00E75FB7">
        <w:rPr>
          <w:vertAlign w:val="subscript"/>
        </w:rPr>
        <w:t>solution-</w:t>
      </w:r>
      <w:r w:rsidR="002C3F0D">
        <w:rPr>
          <w:vertAlign w:val="subscript"/>
        </w:rPr>
        <w:t>birnessite</w:t>
      </w:r>
      <w:r w:rsidR="002C3F0D">
        <w:t>,</w:t>
      </w:r>
      <w:r w:rsidR="002C3F0D">
        <w:rPr>
          <w:vertAlign w:val="subscript"/>
        </w:rPr>
        <w:t xml:space="preserve"> </w:t>
      </w:r>
      <w:r w:rsidR="002C3F0D">
        <w:t xml:space="preserve">differences in the proportions of sorbed to incorporated Ni would impact the </w:t>
      </w:r>
      <w:r w:rsidR="002C3F0D" w:rsidRPr="00E75FB7">
        <w:t>δ</w:t>
      </w:r>
      <w:r w:rsidR="002C3F0D" w:rsidRPr="00E75FB7">
        <w:rPr>
          <w:vertAlign w:val="superscript"/>
        </w:rPr>
        <w:t>60/58</w:t>
      </w:r>
      <w:r w:rsidR="002C3F0D" w:rsidRPr="00E75FB7">
        <w:t>Ni</w:t>
      </w:r>
      <w:r w:rsidR="002C3F0D">
        <w:t xml:space="preserve"> of Mn-rich sediments.</w:t>
      </w:r>
    </w:p>
    <w:p w14:paraId="0F63A260" w14:textId="36A7A01D" w:rsidR="00F14A1D" w:rsidRDefault="00F14A1D" w:rsidP="00F14A1D">
      <w:pPr>
        <w:spacing w:after="0" w:line="240" w:lineRule="auto"/>
        <w:contextualSpacing/>
        <w:jc w:val="both"/>
      </w:pPr>
      <w:r w:rsidRPr="00F14A1D">
        <w:rPr>
          <w:b/>
          <w:bCs/>
        </w:rPr>
        <w:lastRenderedPageBreak/>
        <w:t>Proposed Work 1</w:t>
      </w:r>
      <w:r>
        <w:t>: To test this hypotheses, I will differentiate between the fractionations of surface-sorbed Ni versus structurally incorporated Ni within birnessite by performing Ni sorption experiments with synthetic, triclinic birnessite (</w:t>
      </w:r>
      <w:r w:rsidRPr="006E3DCC">
        <w:rPr>
          <w:i/>
          <w:iCs/>
        </w:rPr>
        <w:t>i.e.,</w:t>
      </w:r>
      <w:r>
        <w:t xml:space="preserve"> no or very few available vacancy sites for incorporation and therefore only or mostly surface-sorbed Ni) and highly crystalline, hexagonal birnessite (</w:t>
      </w:r>
      <w:r w:rsidRPr="006E3DCC">
        <w:rPr>
          <w:i/>
          <w:iCs/>
        </w:rPr>
        <w:t>i.e.,</w:t>
      </w:r>
      <w:r>
        <w:t xml:space="preserve"> many available vacancy sites </w:t>
      </w:r>
      <w:r w:rsidRPr="00CE788B">
        <w:t>for Ni</w:t>
      </w:r>
      <w:r>
        <w:t xml:space="preserve"> incorporation</w:t>
      </w:r>
      <w:r w:rsidRPr="00CE788B">
        <w:t xml:space="preserve"> and </w:t>
      </w:r>
      <w:r>
        <w:t xml:space="preserve">therefore </w:t>
      </w:r>
      <w:r w:rsidRPr="00CE788B">
        <w:t>a combination of</w:t>
      </w:r>
      <w:r>
        <w:t xml:space="preserve">  sorbed and incorporated Ni).</w:t>
      </w:r>
      <w:r w:rsidR="001E2862">
        <w:t xml:space="preserve"> While my experimental design cannot differentiate between the potentially different isotopic behaviors of triple and double corner sharing Ni, the difference between total sorbed and incorporated Ni is a necessary first step in assessing the importance of coordination on the variation of δ</w:t>
      </w:r>
      <w:r w:rsidR="001E2862">
        <w:rPr>
          <w:vertAlign w:val="superscript"/>
        </w:rPr>
        <w:t>60/58</w:t>
      </w:r>
      <w:r w:rsidR="001E2862">
        <w:t>Ni in Mn-rich sediments.</w:t>
      </w:r>
      <w:r>
        <w:t xml:space="preserve"> I need to ensure proper characterization of the substrate, as the experiment relies on being able to control the absence </w:t>
      </w:r>
      <w:proofErr w:type="spellStart"/>
      <w:r>
        <w:t>or</w:t>
      </w:r>
      <w:proofErr w:type="spellEnd"/>
      <w:r>
        <w:t xml:space="preserve"> presence (and quantity) of vacancy sites within the precipitated birnessite. The poorly crystalline nature of birnessite, especially triclinic birnessite, makes it a bad candidate for characterization solely via powder X-ray diffraction</w:t>
      </w:r>
      <w:r>
        <w:fldChar w:fldCharType="begin" w:fldLock="1"/>
      </w:r>
      <w:r w:rsidR="00212572">
        <w:instrText>ADDIN CSL_CITATION {"citationItems":[{"id":"ITEM-1","itemData":{"DOI":"10.1073/pnas.96.7.3447","ISSN":"00278424","PMID":"10097056","abstract":"Manganese oxide minerals have been used for thousands of years-by the ancients for pigments and to clarify glass, and today as ores of Mn metal, catalysts, and battery material. More than 30 Mn oxide minerals occur in a wide variety of geological settings. They are major components of Mn nodules that pave huge areas of the ocean floor and bottoms of many fresh-water lakes. Mn oxide minerals are ubiquitous in soils and sediments and participate in a variety of chemical reactions that affect groundwater and bulk soil composition. Their typical occurrence as fine-grained mixtures makes it difficult to study their atomic structures and crystal chemistries. In recent years, however, investigations using transmission electron microscopy and powder x-ray and neutron diffraction methods have provided important new insights into the structures and properties of these materials. The crystal structures for todorokite and birnessite, two of the more common Mn oxide minerals in terrestrial deposits and ocean nodules, were determined by using powder x-ray diffraction data and the Rietveld refinement method. Because of the large tunnels in todorokite and related structures there is considerable interest in the use of these materials and synthetic analogues as catalysts and cation exchange agents. Birnessite-group minerals have layer structures and readily undergo oxidation reduction and cation-exchange reactions and play a major role in controlling groundwater chemistry.","author":[{"dropping-particle":"","family":"Post","given":"Jeffrey E.","non-dropping-particle":"","parse-names":false,"suffix":""}],"container-title":"Proceedings of the National Academy of Sciences of the United States of America","id":"ITEM-1","issue":"7","issued":{"date-parts":[["1999"]]},"page":"3447-3454","title":"Manganese oxide minerals: Crystal structures and economic and environmental significance","type":"article-journal","volume":"96"},"uris":["http://www.mendeley.com/documents/?uuid=a88f4187-e561-4f38-b2d8-2953de7225e7"]}],"mendeley":{"formattedCitation":"(Post, 1999)","plainTextFormattedCitation":"(Post, 1999)","previouslyFormattedCitation":"(Post, 1999)"},"properties":{"noteIndex":0},"schema":"https://github.com/citation-style-language/schema/raw/master/csl-citation.json"}</w:instrText>
      </w:r>
      <w:r>
        <w:fldChar w:fldCharType="separate"/>
      </w:r>
      <w:r w:rsidR="006F2FEF" w:rsidRPr="006F2FEF">
        <w:rPr>
          <w:noProof/>
        </w:rPr>
        <w:t>(Post, 1999)</w:t>
      </w:r>
      <w:r>
        <w:fldChar w:fldCharType="end"/>
      </w:r>
      <w:r>
        <w:t xml:space="preserve">. To adequately characterize my substrates, I plan to use Raman spectroscopy, which is a useful technique for disordered materials because it can provide both local and longer-range structural information. Dr. Jeffrey Post has agreed to collaborate on this project and will measure my substrates using Raman spectroscopy at the Smithsonian National Museum of Natural History. </w:t>
      </w:r>
    </w:p>
    <w:p w14:paraId="0E394D5A" w14:textId="5A029CC5" w:rsidR="00485BB7" w:rsidRDefault="00485BB7" w:rsidP="00485BB7">
      <w:pPr>
        <w:spacing w:after="0"/>
        <w:jc w:val="both"/>
        <w:textAlignment w:val="baseline"/>
      </w:pPr>
      <w:r w:rsidRPr="0069218B">
        <w:rPr>
          <w:b/>
          <w:bCs/>
        </w:rPr>
        <w:t>H</w:t>
      </w:r>
      <w:r>
        <w:rPr>
          <w:b/>
          <w:bCs/>
        </w:rPr>
        <w:t>2</w:t>
      </w:r>
      <w:r w:rsidRPr="0069218B">
        <w:rPr>
          <w:b/>
          <w:bCs/>
        </w:rPr>
        <w:t>:</w:t>
      </w:r>
      <w:r>
        <w:t xml:space="preserve"> Kinetic fractionation leads to isotopically lighter Ni sorbed to Mn oxides than equilibrium fractionation. Mn-rich sediments have a wide range of accumulation rates </w:t>
      </w:r>
      <w:commentRangeStart w:id="19"/>
      <w:r>
        <w:t xml:space="preserve">and, </w:t>
      </w:r>
      <w:commentRangeEnd w:id="19"/>
      <w:r w:rsidR="00E6471C">
        <w:rPr>
          <w:rStyle w:val="CommentReference"/>
        </w:rPr>
        <w:commentReference w:id="19"/>
      </w:r>
      <w:r>
        <w:t xml:space="preserve">depending on the rate, may capture different isotope fractionations (kinetic, equilibrium or a mix thereof). Experiments varying in duration from 67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w:t>
      </w:r>
      <w:commentRangeStart w:id="20"/>
      <w:r>
        <w:t xml:space="preserve"> </w:t>
      </w:r>
      <w:commentRangeEnd w:id="20"/>
      <w:r w:rsidR="00591FA9">
        <w:rPr>
          <w:rStyle w:val="CommentReference"/>
        </w:rPr>
        <w:commentReference w:id="20"/>
      </w:r>
      <w:r>
        <w:t xml:space="preserve">and short-term experiments may be recording an initial kinetic effect </w:t>
      </w:r>
      <w:r>
        <w:fldChar w:fldCharType="begin" w:fldLock="1"/>
      </w:r>
      <w:r w:rsidR="006F2FEF">
        <w:instrText>ADDIN CSL_CITATION {"citationItems":[{"id":"ITEM-1","itemData":{"abstract":"Recent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-1","issued":{"date-parts":[["2019"]]},"title":"Ionic strength strongly affects Ni isotope fractionation between solution and Mn oxyhydroxide","type":"paper-conference"},"uris":["http://www.mendeley.com/documents/?uuid=1a35eba6-19dc-4e6b-b334-e079e58ded36"]}],"mendeley":{"formattedCitation":"(Wasylenki et al., 2019)","plainTextFormattedCitation":"(Wasylenki et al., 2019)","previouslyFormattedCitation":"(Wasylenki et al., 2019)"},"properties":{"noteIndex":0},"schema":"https://github.com/citation-style-language/schema/raw/master/csl-citation.json"}</w:instrText>
      </w:r>
      <w:r>
        <w:fldChar w:fldCharType="separate"/>
      </w:r>
      <w:r w:rsidRPr="00485BB7">
        <w:rPr>
          <w:noProof/>
        </w:rPr>
        <w:t>(Wasylenki et al., 2019)</w:t>
      </w:r>
      <w:r>
        <w:fldChar w:fldCharType="end"/>
      </w:r>
      <w:commentRangeStart w:id="21"/>
      <w:r>
        <w:t xml:space="preserve">. </w:t>
      </w:r>
      <w:commentRangeEnd w:id="21"/>
      <w:r w:rsidR="006A10C5">
        <w:rPr>
          <w:rStyle w:val="CommentReference"/>
        </w:rPr>
        <w:commentReference w:id="21"/>
      </w:r>
      <w:r>
        <w:t xml:space="preserve">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w:t>
      </w:r>
    </w:p>
    <w:p w14:paraId="4C316010" w14:textId="129DB837" w:rsidR="00763CA7" w:rsidRPr="001E2862" w:rsidRDefault="00763CA7" w:rsidP="00485BB7">
      <w:pPr>
        <w:spacing w:after="0"/>
        <w:jc w:val="both"/>
        <w:textAlignment w:val="baseline"/>
      </w:pPr>
      <w:r w:rsidRPr="00763CA7">
        <w:rPr>
          <w:b/>
          <w:bCs/>
        </w:rPr>
        <w:t>Proposed Work 2:</w:t>
      </w:r>
      <w:r w:rsidR="001E2862">
        <w:rPr>
          <w:b/>
          <w:bCs/>
        </w:rPr>
        <w:t xml:space="preserve"> </w:t>
      </w:r>
      <w:r w:rsidR="00E43AEA">
        <w:t>T</w:t>
      </w:r>
      <w:r w:rsidR="00E43AEA" w:rsidRPr="00B00649">
        <w:t>o</w:t>
      </w:r>
      <w:r w:rsidR="00E43AEA">
        <w:t xml:space="preserve"> address H2 and</w:t>
      </w:r>
      <w:r w:rsidR="00E43AEA" w:rsidRPr="00B00649">
        <w:t xml:space="preserve"> robustly calculate the equilibrium </w:t>
      </w:r>
      <w:r w:rsidR="00E43AEA">
        <w:t xml:space="preserve">and kinetic </w:t>
      </w:r>
      <w:r w:rsidR="00E43AEA" w:rsidRPr="00B00649">
        <w:t>fractionation</w:t>
      </w:r>
      <w:r w:rsidR="00E43AEA">
        <w:t xml:space="preserve">s, </w:t>
      </w:r>
      <w:r w:rsidR="00E43AEA" w:rsidRPr="00B00649">
        <w:t>I propose to perform</w:t>
      </w:r>
      <w:r w:rsidR="00E43AEA">
        <w:t xml:space="preserve"> </w:t>
      </w:r>
      <w:r w:rsidR="00E43AEA" w:rsidRPr="00B00649">
        <w:t>three</w:t>
      </w:r>
      <w:r w:rsidR="00E43AEA">
        <w:t>-</w:t>
      </w:r>
      <w:r w:rsidR="00E43AEA" w:rsidRPr="00B00649">
        <w:t xml:space="preserve">isotope </w:t>
      </w:r>
      <w:r w:rsidR="00E43AEA">
        <w:t>(</w:t>
      </w:r>
      <w:r w:rsidR="00E43AEA">
        <w:rPr>
          <w:vertAlign w:val="superscript"/>
        </w:rPr>
        <w:t>62</w:t>
      </w:r>
      <w:r w:rsidR="00E43AEA">
        <w:t>Ni-</w:t>
      </w:r>
      <w:r w:rsidR="00E43AEA">
        <w:rPr>
          <w:vertAlign w:val="superscript"/>
        </w:rPr>
        <w:t>60</w:t>
      </w:r>
      <w:r w:rsidR="00E43AEA">
        <w:t>Ni-</w:t>
      </w:r>
      <w:r w:rsidR="00E43AEA">
        <w:rPr>
          <w:vertAlign w:val="superscript"/>
        </w:rPr>
        <w:t>58</w:t>
      </w:r>
      <w:r w:rsidR="00E43AEA">
        <w:t>Ni) experiments</w:t>
      </w:r>
      <w:r w:rsidR="00E43AEA" w:rsidRPr="00B00649">
        <w:t>. Currently, the three</w:t>
      </w:r>
      <w:r w:rsidR="00E43AEA">
        <w:t>-</w:t>
      </w:r>
      <w:r w:rsidR="00E43AEA" w:rsidRPr="00B00649">
        <w:t>isotope</w:t>
      </w:r>
      <w:r w:rsidR="00E43AEA">
        <w:t xml:space="preserve"> experiment </w:t>
      </w:r>
      <w:r w:rsidR="00E43AEA" w:rsidRPr="00B00649">
        <w:t xml:space="preserve">is considered to be the most rigorous </w:t>
      </w:r>
      <w:r w:rsidR="00E43AEA">
        <w:t>approach to determining equilibrium isotope</w:t>
      </w:r>
      <w:r w:rsidR="00E43AEA" w:rsidRPr="00B00649">
        <w:t xml:space="preserve"> fractionation</w:t>
      </w:r>
      <w:r w:rsidR="00E43AEA">
        <w:fldChar w:fldCharType="begin" w:fldLock="1"/>
      </w:r>
      <w:r w:rsidR="00212572">
        <w:instrText>ADDIN CSL_CITATION {"citationItems":[{"id":"ITEM-1","itemData":{"DOI":"10.1016/j.epsl.2014.01.032","ISSN":"0012821X","abstract":"Magnetite is ubiquitous in the Earth's crust and its presence in modern marine sediments has been taken as an indicator of biogeochemical Fe cycling. Magnetite is also the most abundant Fe oxide in banded iron formations (BIFs) that have not been subjected to ore-forming alteration. Magnetite is therefore an important target of stable Fe isotope studies, and yet interpretations are currently difficult because of large uncertainties in the equilibrium stable Fe isotope fractionation factors for magnetite relative to fluids and other minerals. In this study, we utilized the three-isotope method (57Fe-56Fe-54Fe) to explore isotopic exchange via an enriched-57Fe tracer, and natural mass-dependent fractionation using 56Fe/54Fe variations, during reaction of aqueous Fe(II) (Fe(II)aq) with magnetite. Importantly, we employed a multi-direction approach to equilibrium by reacting four 57Fe-enriched Fe(II) solutions that had distinct 56Fe/54Fe ratios, which identifies changes in the instantaneous Fe isotope fractionation factor and hence identifies kinetic isotope effects. We find that isotopic exchange can be described by two 56Fe/54Fe fractionations, where an initial rapid exchange (~66% isotopic mixing within 1 day) involved a relatively small Fe(II)aq-magnetite 56Fe/54Fe fractionation, followed by slower exchange (~25% isotopic mixing over 50 days) that was associated with a larger Fe(II)aq-magnetite 56Fe/54Fe fractionation; this later fractionation is interpreted to approach isotopic equilibrium between Fe(II)aq and the total magnetite. All four Fe(II) solutions extrapolate to the same final equilibrium 56Fe/54Fe fractionation for Fe(II)aq-magnetite of -1.56 ± 0.20‰ (2σ) at 22°C. Additional experiments that synthesized magnetite via conversion of ferrihydrite by reaction with aqueous Fe(II) yield final 56Fe/54Fe fractionations that are identical to those of the exchange experiments. Our experimental results agree well with calculated fractionation factors using the reduced partition function ratios for Fe(H2O)62+ from Rustad et al. (2010) and stoichiometric magnetite from Mineev et al. (2007), and these relations may be combined with the experimental constraints to determine the temperature dependence of the Fe(II)aq-magnetite fractionation factor:103lnαFe(II)aq-magnetite=-0.145(±0.002)×106/T2+0.10(±0.02) where T is in K.Part of the reason for large discrepancies in calculated Fe isotope fractionation factors for magnetite likely lies in the stoichiometry of…","author":[{"dropping-particle":"","family":"Frierdich","given":"Andrew J.","non-dropping-particle":"","parse-names":false,"suffix":""},{"dropping-particle":"","family":"Beard","given":"Brian L.","non-dropping-particle":"","parse-names":false,"suffix":""},{"dropping-particle":"","family":"Scherer","given":"Michelle M.","non-dropping-particle":"","parse-names":false,"suffix":""},{"dropping-particle":"","family":"Johnson","given":"Clark M.","non-dropping-particle":"","parse-names":false,"suffix":""}],"container-title":"Earth and Planetary Science Letters","id":"ITEM-1","issued":{"date-parts":[["2014"]]},"page":"77-86","publisher":"Elsevier B.V.","title":"Determination of the Fe(II)aq-magnetite equilibrium iron isotope fractionation factor using the three-isotope method and a multi-direction approach to equilibrium","type":"article-journal","volume":"391"},"uris":["http://www.mendeley.com/documents/?uuid=1f5f173e-77f6-4065-8166-4da40071f9fc"]}],"mendeley":{"formattedCitation":"(Frierdich et al., 2014)","plainTextFormattedCitation":"(Frierdich et al., 2014)","previouslyFormattedCitation":"(Frierdich et al., 2014)"},"properties":{"noteIndex":0},"schema":"https://github.com/citation-style-language/schema/raw/master/csl-citation.json"}</w:instrText>
      </w:r>
      <w:r w:rsidR="00E43AEA">
        <w:fldChar w:fldCharType="separate"/>
      </w:r>
      <w:r w:rsidR="006F2FEF" w:rsidRPr="006F2FEF">
        <w:rPr>
          <w:noProof/>
        </w:rPr>
        <w:t>(</w:t>
      </w:r>
      <w:proofErr w:type="spellStart"/>
      <w:r w:rsidR="006F2FEF" w:rsidRPr="006F2FEF">
        <w:rPr>
          <w:noProof/>
        </w:rPr>
        <w:t>Frierdich</w:t>
      </w:r>
      <w:proofErr w:type="spellEnd"/>
      <w:r w:rsidR="006F2FEF" w:rsidRPr="006F2FEF">
        <w:rPr>
          <w:noProof/>
        </w:rPr>
        <w:t xml:space="preserve"> et al., 2014)</w:t>
      </w:r>
      <w:r w:rsidR="00E43AEA">
        <w:fldChar w:fldCharType="end"/>
      </w:r>
      <w:r w:rsidR="00E43AEA">
        <w:t xml:space="preserve">. </w:t>
      </w:r>
      <w:r w:rsidR="00E43AEA" w:rsidRPr="00B00649">
        <w:t xml:space="preserve">In this method, </w:t>
      </w:r>
      <w:r w:rsidR="00E43AEA">
        <w:t xml:space="preserve">a typical sorption experiment is performed, but </w:t>
      </w:r>
      <w:r w:rsidR="00E43AEA" w:rsidRPr="00B00649">
        <w:t xml:space="preserve">the </w:t>
      </w:r>
      <w:r w:rsidR="00E43AEA">
        <w:t xml:space="preserve">solution </w:t>
      </w:r>
      <w:r w:rsidR="00E43AEA" w:rsidRPr="00B00649">
        <w:t>is doped wit</w:t>
      </w:r>
      <w:r w:rsidR="00E43AEA">
        <w:t xml:space="preserve">h a small amount of significantly enriched </w:t>
      </w:r>
      <w:r w:rsidR="00E43AEA" w:rsidRPr="00B00649">
        <w:rPr>
          <w:vertAlign w:val="superscript"/>
        </w:rPr>
        <w:t>62</w:t>
      </w:r>
      <w:r w:rsidR="00E43AEA" w:rsidRPr="00B00649">
        <w:t>N</w:t>
      </w:r>
      <w:r w:rsidR="00E43AEA">
        <w:t>i solution with a slightly different δ</w:t>
      </w:r>
      <w:r w:rsidR="00E43AEA">
        <w:rPr>
          <w:vertAlign w:val="superscript"/>
        </w:rPr>
        <w:t>60/58</w:t>
      </w:r>
      <w:r w:rsidR="00E43AEA">
        <w:t xml:space="preserve">Ni (Fig. 2A). The extreme exchange of </w:t>
      </w:r>
      <w:r w:rsidR="00E43AEA">
        <w:rPr>
          <w:vertAlign w:val="superscript"/>
        </w:rPr>
        <w:t>62</w:t>
      </w:r>
      <w:r w:rsidR="00E43AEA">
        <w:t>Ni between solid and solution tracks the percent of isotope mixing, while the subtle change in δ</w:t>
      </w:r>
      <w:r w:rsidR="00E43AEA">
        <w:rPr>
          <w:vertAlign w:val="superscript"/>
        </w:rPr>
        <w:t>60/58</w:t>
      </w:r>
      <w:r w:rsidR="00E43AEA">
        <w:t>Ni</w:t>
      </w:r>
      <w:r w:rsidR="00E43AEA">
        <w:softHyphen/>
      </w:r>
      <w:r w:rsidR="00E43AEA">
        <w:rPr>
          <w:vertAlign w:val="subscript"/>
        </w:rPr>
        <w:t xml:space="preserve"> </w:t>
      </w:r>
      <w:r w:rsidR="00E43AEA">
        <w:t xml:space="preserve">tracks isotope fractionation. </w:t>
      </w:r>
      <w:r w:rsidR="00E43AEA" w:rsidRPr="00B00649">
        <w:t xml:space="preserve">At 100% mixing, the system is </w:t>
      </w:r>
      <w:r w:rsidR="00E43AEA">
        <w:t>assumed to be</w:t>
      </w:r>
      <w:r w:rsidR="00E43AEA" w:rsidRPr="00B00649">
        <w:t xml:space="preserve"> at </w:t>
      </w:r>
      <w:r w:rsidR="00E43AEA">
        <w:t>equilibrium, and the difference between δ</w:t>
      </w:r>
      <w:r w:rsidR="00E43AEA">
        <w:rPr>
          <w:vertAlign w:val="superscript"/>
        </w:rPr>
        <w:t>60/58</w:t>
      </w:r>
      <w:r w:rsidR="00E43AEA">
        <w:t>Ni</w:t>
      </w:r>
      <w:r w:rsidR="00E43AEA">
        <w:softHyphen/>
      </w:r>
      <w:r w:rsidR="00E43AEA">
        <w:rPr>
          <w:vertAlign w:val="subscript"/>
        </w:rPr>
        <w:t xml:space="preserve">solution </w:t>
      </w:r>
      <w:r w:rsidR="00E43AEA">
        <w:t>and</w:t>
      </w:r>
      <w:r w:rsidR="00E43AEA">
        <w:rPr>
          <w:vertAlign w:val="subscript"/>
        </w:rPr>
        <w:t xml:space="preserve"> </w:t>
      </w:r>
      <w:r w:rsidR="00E43AEA">
        <w:t>δ</w:t>
      </w:r>
      <w:r w:rsidR="00E43AEA">
        <w:rPr>
          <w:vertAlign w:val="superscript"/>
        </w:rPr>
        <w:t>60/58</w:t>
      </w:r>
      <w:r w:rsidR="00E43AEA">
        <w:t>Ni</w:t>
      </w:r>
      <w:r w:rsidR="00E43AEA">
        <w:softHyphen/>
      </w:r>
      <w:r w:rsidR="00E43AEA">
        <w:rPr>
          <w:vertAlign w:val="subscript"/>
        </w:rPr>
        <w:t xml:space="preserve">solid </w:t>
      </w:r>
      <w:r w:rsidR="00E43AEA">
        <w:t xml:space="preserve">equals </w:t>
      </w:r>
      <w:r w:rsidR="00E43AEA" w:rsidRPr="00B00649">
        <w:t>Δ</w:t>
      </w:r>
      <w:r w:rsidR="00E43AEA" w:rsidRPr="00B00649">
        <w:rPr>
          <w:vertAlign w:val="superscript"/>
        </w:rPr>
        <w:t>60</w:t>
      </w:r>
      <w:r w:rsidR="00E43AEA">
        <w:rPr>
          <w:vertAlign w:val="superscript"/>
        </w:rPr>
        <w:t>/58</w:t>
      </w:r>
      <w:r w:rsidR="00E43AEA" w:rsidRPr="00B00649">
        <w:t>Ni</w:t>
      </w:r>
      <w:r w:rsidR="00E43AEA">
        <w:rPr>
          <w:vertAlign w:val="subscript"/>
        </w:rPr>
        <w:t>solution-solid</w:t>
      </w:r>
      <w:commentRangeStart w:id="22"/>
      <w:r w:rsidR="00E43AEA">
        <w:t xml:space="preserve">. </w:t>
      </w:r>
      <w:commentRangeEnd w:id="22"/>
      <w:r w:rsidR="00554817">
        <w:rPr>
          <w:rStyle w:val="CommentReference"/>
        </w:rPr>
        <w:commentReference w:id="22"/>
      </w:r>
      <w:r w:rsidR="00E43AEA">
        <w:t>If we cannot attain 100% mixing in a reasonable time, the δ</w:t>
      </w:r>
      <w:r w:rsidR="00E43AEA">
        <w:rPr>
          <w:vertAlign w:val="superscript"/>
        </w:rPr>
        <w:t>60/58</w:t>
      </w:r>
      <w:r w:rsidR="00E43AEA">
        <w:t>Ni</w:t>
      </w:r>
      <w:r w:rsidR="00E43AEA">
        <w:softHyphen/>
      </w:r>
      <w:r w:rsidR="00E43AEA">
        <w:rPr>
          <w:vertAlign w:val="subscript"/>
        </w:rPr>
        <w:t xml:space="preserve">solid </w:t>
      </w:r>
      <w:r w:rsidR="00E43AEA">
        <w:t>and δ</w:t>
      </w:r>
      <w:r w:rsidR="00E43AEA">
        <w:rPr>
          <w:vertAlign w:val="superscript"/>
        </w:rPr>
        <w:t>60/58</w:t>
      </w:r>
      <w:r w:rsidR="00E43AEA">
        <w:t>Ni</w:t>
      </w:r>
      <w:r w:rsidR="00E43AEA">
        <w:softHyphen/>
      </w:r>
      <w:r w:rsidR="00E43AEA">
        <w:rPr>
          <w:vertAlign w:val="subscript"/>
        </w:rPr>
        <w:t xml:space="preserve">solution </w:t>
      </w:r>
      <w:r w:rsidR="00E43AEA">
        <w:t>data can be extrapolated to 100% mixing (Fig. 2B). If kinetic and equilibrium fractionations differ, we will observe two trends (like in Fig. 2B) and can discriminate between the first (kinetic) and second (equilibrium) trends’ fractionation values.</w:t>
      </w:r>
    </w:p>
    <w:p w14:paraId="0C1B4BD8" w14:textId="77777777" w:rsidR="00485BB7" w:rsidRDefault="00485BB7" w:rsidP="005C5877">
      <w:pPr>
        <w:spacing w:after="0"/>
        <w:jc w:val="both"/>
        <w:textAlignment w:val="baseline"/>
        <w:rPr>
          <w:b/>
          <w:bCs/>
        </w:rPr>
      </w:pPr>
    </w:p>
    <w:p w14:paraId="72785ABE" w14:textId="77E7A113" w:rsidR="005C5877" w:rsidRDefault="005C5877" w:rsidP="005C5877">
      <w:pPr>
        <w:spacing w:after="0"/>
        <w:jc w:val="both"/>
        <w:textAlignment w:val="baseline"/>
      </w:pPr>
      <w:commentRangeStart w:id="23"/>
      <w:r w:rsidRPr="0069218B">
        <w:rPr>
          <w:b/>
          <w:bCs/>
        </w:rPr>
        <w:t>H3:</w:t>
      </w:r>
      <w:r w:rsidR="00184EF5">
        <w:t xml:space="preserve"> Diagenetic transformation </w:t>
      </w:r>
      <w:r w:rsidR="00995332">
        <w:t xml:space="preserve">of birnessite to </w:t>
      </w:r>
      <w:proofErr w:type="spellStart"/>
      <w:r w:rsidR="00995332">
        <w:t>todorkite</w:t>
      </w:r>
      <w:proofErr w:type="spellEnd"/>
      <w:r w:rsidR="00995332">
        <w:t xml:space="preserve"> leads to isotopically heavy Ni being released from solid. </w:t>
      </w:r>
      <w:commentRangeEnd w:id="23"/>
      <w:r w:rsidR="00995332">
        <w:rPr>
          <w:rStyle w:val="CommentReference"/>
        </w:rPr>
        <w:commentReference w:id="23"/>
      </w:r>
    </w:p>
    <w:p w14:paraId="680DB1A9" w14:textId="45A5A2D9" w:rsidR="00CC258E" w:rsidRDefault="00CC258E" w:rsidP="00CC258E">
      <w:pPr>
        <w:spacing w:after="0"/>
        <w:ind w:firstLine="720"/>
        <w:jc w:val="both"/>
        <w:textAlignment w:val="baseline"/>
      </w:pPr>
      <w:r>
        <w:t xml:space="preserve">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w:t>
      </w:r>
      <w:r>
        <w:lastRenderedPageBreak/>
        <w:t xml:space="preserve">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proofErr w:type="spellStart"/>
      <w:r>
        <w:t>phyllomanganate</w:t>
      </w:r>
      <w:proofErr w:type="spellEnd"/>
      <w:r>
        <w:t xml:space="preserve"> rich nodules (0.28 to 1.06, n =3) and suggest isotopically heavy Ni may be released, although further investigation is clearly warranted. [Does not explain difference between hydrogenetic Fe-Mn crust and black sea sediments]</w:t>
      </w:r>
    </w:p>
    <w:p w14:paraId="70659761" w14:textId="77777777" w:rsidR="00CC258E" w:rsidRDefault="00CC258E" w:rsidP="00CC258E">
      <w:pPr>
        <w:spacing w:after="0"/>
        <w:ind w:firstLine="720"/>
        <w:jc w:val="both"/>
        <w:textAlignment w:val="baseline"/>
      </w:pPr>
      <w:r>
        <w:t xml:space="preserve">If the natural variations is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F1160F">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046D4F2A" w14:textId="77777777" w:rsidR="00CC258E" w:rsidRDefault="00CC258E" w:rsidP="00CC258E">
      <w:pPr>
        <w:spacing w:after="0"/>
        <w:jc w:val="both"/>
        <w:textAlignment w:val="baseline"/>
      </w:pPr>
      <w:r>
        <w:t>Organic Matter paragraph?</w:t>
      </w:r>
    </w:p>
    <w:p w14:paraId="7082B986" w14:textId="77777777" w:rsidR="00CC258E" w:rsidRDefault="00CC258E" w:rsidP="00CC258E">
      <w:pPr>
        <w:spacing w:after="0"/>
        <w:jc w:val="both"/>
        <w:textAlignment w:val="baseline"/>
      </w:pPr>
    </w:p>
    <w:p w14:paraId="62143D84" w14:textId="77777777" w:rsidR="00CC258E" w:rsidRDefault="00CC258E" w:rsidP="00CC258E">
      <w:pPr>
        <w:pStyle w:val="Heading1"/>
      </w:pPr>
      <w:bookmarkStart w:id="24" w:name="_Toc78742004"/>
      <w:bookmarkStart w:id="25" w:name="_Toc78742120"/>
      <w:r>
        <w:t>Progress Thus Far</w:t>
      </w:r>
      <w:bookmarkEnd w:id="24"/>
      <w:bookmarkEnd w:id="25"/>
    </w:p>
    <w:p w14:paraId="3D88EA43" w14:textId="77777777" w:rsidR="00CC258E" w:rsidRDefault="00CC258E" w:rsidP="00CC258E"/>
    <w:p w14:paraId="488FE91A" w14:textId="77777777" w:rsidR="00CC258E" w:rsidRDefault="00CC258E" w:rsidP="00CC258E"/>
    <w:p w14:paraId="13590BF7" w14:textId="77777777" w:rsidR="00F35E43" w:rsidRDefault="00F35E43"/>
    <w:sectPr w:rsidR="00F35E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va Juliet Baransky" w:date="2021-08-10T16:09:00Z" w:initials="EJB">
    <w:p w14:paraId="1996906B" w14:textId="3A2A7A9B" w:rsidR="007975C6" w:rsidRDefault="007975C6">
      <w:pPr>
        <w:pStyle w:val="CommentText"/>
      </w:pPr>
      <w:r>
        <w:rPr>
          <w:rStyle w:val="CommentReference"/>
        </w:rPr>
        <w:annotationRef/>
      </w:r>
      <w:r>
        <w:t>I’m adding this since I think it seems weird to not talk about OM, but I’m not ready to talk about the proposed work f</w:t>
      </w:r>
      <w:r w:rsidR="00D832A4">
        <w:t>or</w:t>
      </w:r>
      <w:r>
        <w:t xml:space="preserve"> that chapter (if it is what ends up being my 3</w:t>
      </w:r>
      <w:r w:rsidRPr="007975C6">
        <w:rPr>
          <w:vertAlign w:val="superscript"/>
        </w:rPr>
        <w:t>rd</w:t>
      </w:r>
      <w:r>
        <w:t xml:space="preserve"> chapter)</w:t>
      </w:r>
    </w:p>
  </w:comment>
  <w:comment w:id="5" w:author="Eva Juliet Baransky" w:date="2021-08-09T13:08:00Z" w:initials="EJB">
    <w:p w14:paraId="33E0BEA7" w14:textId="63286F8F" w:rsidR="00F675C2" w:rsidRDefault="00F675C2">
      <w:pPr>
        <w:pStyle w:val="CommentText"/>
      </w:pPr>
      <w:r>
        <w:rPr>
          <w:rStyle w:val="CommentReference"/>
        </w:rPr>
        <w:annotationRef/>
      </w:r>
      <w:r>
        <w:t>Need to back this up with some citations</w:t>
      </w:r>
    </w:p>
  </w:comment>
  <w:comment w:id="6" w:author="Eva Juliet Baransky" w:date="2021-08-09T14:00:00Z" w:initials="EJB">
    <w:p w14:paraId="46FBEF28" w14:textId="77777777" w:rsidR="00231AA1" w:rsidRDefault="00231AA1">
      <w:pPr>
        <w:pStyle w:val="CommentText"/>
      </w:pPr>
      <w:r>
        <w:rPr>
          <w:rStyle w:val="CommentReference"/>
        </w:rPr>
        <w:annotationRef/>
      </w:r>
      <w:r>
        <w:t>I could maybe write here “considering the indirect evidence we have points to carbonates being isotopically light, they may be the missing light sink to resolve the isotope imbalance”</w:t>
      </w:r>
    </w:p>
    <w:p w14:paraId="67158F39" w14:textId="05D8D1A7" w:rsidR="00BC785B" w:rsidRDefault="00BC785B">
      <w:pPr>
        <w:pStyle w:val="CommentText"/>
      </w:pPr>
      <w:r>
        <w:t>I would then remove everything following this</w:t>
      </w:r>
    </w:p>
  </w:comment>
  <w:comment w:id="7" w:author="Eva Juliet Baransky" w:date="2021-08-09T13:24:00Z" w:initials="EJB">
    <w:p w14:paraId="38B0FA47" w14:textId="57DBCAEE" w:rsidR="006E0F46" w:rsidRDefault="006E0F46">
      <w:pPr>
        <w:pStyle w:val="CommentText"/>
      </w:pPr>
      <w:r>
        <w:rPr>
          <w:rStyle w:val="CommentReference"/>
        </w:rPr>
        <w:annotationRef/>
      </w:r>
      <w:r>
        <w:t>Weird wording</w:t>
      </w:r>
    </w:p>
  </w:comment>
  <w:comment w:id="8" w:author="Eva Juliet Baransky" w:date="2021-08-09T13:56:00Z" w:initials="EJB">
    <w:p w14:paraId="031A1CC4" w14:textId="5DE193E2" w:rsidR="005A065E" w:rsidRDefault="005A065E">
      <w:pPr>
        <w:pStyle w:val="CommentText"/>
      </w:pPr>
      <w:r>
        <w:rPr>
          <w:rStyle w:val="CommentReference"/>
        </w:rPr>
        <w:annotationRef/>
      </w:r>
      <w:r>
        <w:t>This probably shouldn’t go here</w:t>
      </w:r>
    </w:p>
  </w:comment>
  <w:comment w:id="9" w:author="Eva Juliet Baransky" w:date="2021-08-10T11:21:00Z" w:initials="EJB">
    <w:p w14:paraId="48BB0B0E" w14:textId="77777777" w:rsidR="0067308F" w:rsidRDefault="0067308F">
      <w:pPr>
        <w:pStyle w:val="CommentText"/>
      </w:pPr>
      <w:r>
        <w:rPr>
          <w:rStyle w:val="CommentReference"/>
        </w:rPr>
        <w:annotationRef/>
      </w:r>
      <w:r>
        <w:t>Maybe add comment on fluid and sediment buffered diagenesis?</w:t>
      </w:r>
      <w:r w:rsidR="00475213">
        <w:t xml:space="preserve"> Anything about recrystallization</w:t>
      </w:r>
    </w:p>
    <w:p w14:paraId="334EC9F0" w14:textId="58BCE6E9" w:rsidR="00B76E0D" w:rsidRDefault="00B76E0D">
      <w:pPr>
        <w:pStyle w:val="CommentText"/>
      </w:pPr>
      <w:r>
        <w:t>Not sure how “correct” this wording is</w:t>
      </w:r>
    </w:p>
  </w:comment>
  <w:comment w:id="10" w:author="Eva Juliet Baransky" w:date="2021-08-10T11:40:00Z" w:initials="EJB">
    <w:p w14:paraId="1DA41435" w14:textId="2055B4D8" w:rsidR="005E47AE" w:rsidRDefault="005E47AE">
      <w:pPr>
        <w:pStyle w:val="CommentText"/>
      </w:pPr>
      <w:r>
        <w:rPr>
          <w:rStyle w:val="CommentReference"/>
        </w:rPr>
        <w:annotationRef/>
      </w:r>
      <w:r>
        <w:t>Need to actually add these citations</w:t>
      </w:r>
    </w:p>
  </w:comment>
  <w:comment w:id="11" w:author="Eva Juliet Baransky" w:date="2021-08-01T20:24:00Z" w:initials="EJB">
    <w:p w14:paraId="53EE5F57" w14:textId="77777777" w:rsidR="00CC258E" w:rsidRDefault="00CC258E" w:rsidP="00CC258E">
      <w:pPr>
        <w:pStyle w:val="CommentText"/>
      </w:pPr>
      <w:r>
        <w:rPr>
          <w:rStyle w:val="CommentReference"/>
          <w:rFonts w:eastAsiaTheme="majorEastAsia"/>
        </w:rPr>
        <w:annotationRef/>
      </w:r>
      <w:r>
        <w:t xml:space="preserve">Copied from previous proposals and papers I’ve written </w:t>
      </w:r>
    </w:p>
    <w:p w14:paraId="7ACC5EB9" w14:textId="77777777" w:rsidR="00CC258E" w:rsidRDefault="00CC258E" w:rsidP="00CC258E">
      <w:pPr>
        <w:pStyle w:val="CommentText"/>
      </w:pPr>
      <w:r>
        <w:t xml:space="preserve">Go snag it </w:t>
      </w:r>
      <w:proofErr w:type="spellStart"/>
      <w:r>
        <w:t>rom</w:t>
      </w:r>
      <w:proofErr w:type="spellEnd"/>
      <w:r>
        <w:t xml:space="preserve"> the MSA proposal with the hypotheses. Add component about </w:t>
      </w:r>
      <w:proofErr w:type="spellStart"/>
      <w:r>
        <w:t>atkins</w:t>
      </w:r>
      <w:proofErr w:type="spellEnd"/>
      <w:r>
        <w:t xml:space="preserve"> 2016</w:t>
      </w:r>
    </w:p>
  </w:comment>
  <w:comment w:id="12" w:author="Eva Juliet Baransky" w:date="2021-08-07T12:04:00Z" w:initials="EJB">
    <w:p w14:paraId="62FF4497" w14:textId="201862C6" w:rsidR="001F3B32" w:rsidRDefault="001F3B32">
      <w:pPr>
        <w:pStyle w:val="CommentText"/>
      </w:pPr>
      <w:r>
        <w:rPr>
          <w:rStyle w:val="CommentReference"/>
        </w:rPr>
        <w:annotationRef/>
      </w:r>
      <w:r>
        <w:t xml:space="preserve">Laura’s citations </w:t>
      </w:r>
      <w:r w:rsidRPr="00C025F4">
        <w:rPr>
          <w:rFonts w:ascii="Palatino Linotype" w:hAnsi="Palatino Linotype"/>
          <w:bCs/>
          <w:noProof/>
          <w:color w:val="000000" w:themeColor="text1"/>
          <w:sz w:val="21"/>
          <w:szCs w:val="21"/>
        </w:rPr>
        <w:t>Aplin and Cronan, 1985; Koschinsky and Halbach, 1995; Koschinsky and Hein, 2003; Peacock and Sherman, 2007; Hens et al., 2019</w:t>
      </w:r>
    </w:p>
  </w:comment>
  <w:comment w:id="13" w:author="Eva Juliet Baransky" w:date="2021-08-07T10:59:00Z" w:initials="EJB">
    <w:p w14:paraId="15F27F78" w14:textId="0F402D60" w:rsidR="004153D3" w:rsidRDefault="004153D3">
      <w:pPr>
        <w:pStyle w:val="CommentText"/>
      </w:pPr>
      <w:r>
        <w:rPr>
          <w:rStyle w:val="CommentReference"/>
        </w:rPr>
        <w:annotationRef/>
      </w:r>
      <w:r>
        <w:t>This doesn’t feel like the correct word</w:t>
      </w:r>
    </w:p>
  </w:comment>
  <w:comment w:id="14" w:author="Eva Juliet Baransky" w:date="2021-08-06T21:02:00Z" w:initials="EJB">
    <w:p w14:paraId="65EDFD38" w14:textId="5D82ADF6" w:rsidR="00DA4C46" w:rsidRDefault="00DA4C46">
      <w:pPr>
        <w:pStyle w:val="CommentText"/>
      </w:pPr>
      <w:r>
        <w:rPr>
          <w:rStyle w:val="CommentReference"/>
        </w:rPr>
        <w:annotationRef/>
      </w:r>
      <w:r>
        <w:t>More citations?</w:t>
      </w:r>
    </w:p>
  </w:comment>
  <w:comment w:id="15" w:author="Eva Juliet Baransky" w:date="2021-08-07T10:45:00Z" w:initials="EJB">
    <w:p w14:paraId="4D43BF08" w14:textId="59961D96" w:rsidR="00A16CAF" w:rsidRDefault="00A16CAF">
      <w:pPr>
        <w:pStyle w:val="CommentText"/>
      </w:pPr>
      <w:r>
        <w:rPr>
          <w:rStyle w:val="CommentReference"/>
        </w:rPr>
        <w:annotationRef/>
      </w:r>
      <w:r>
        <w:t>Maybe explain why experimental?</w:t>
      </w:r>
    </w:p>
  </w:comment>
  <w:comment w:id="16" w:author="Eva Juliet Baransky" w:date="2021-08-06T21:02:00Z" w:initials="EJB">
    <w:p w14:paraId="7958A2B6" w14:textId="00FB70A9" w:rsidR="00DA4C46" w:rsidRDefault="00DA4C46">
      <w:pPr>
        <w:pStyle w:val="CommentText"/>
      </w:pPr>
      <w:r>
        <w:rPr>
          <w:rStyle w:val="CommentReference"/>
        </w:rPr>
        <w:annotationRef/>
      </w:r>
      <w:r>
        <w:t>Add fig</w:t>
      </w:r>
    </w:p>
  </w:comment>
  <w:comment w:id="17" w:author="Eva Juliet Baransky" w:date="2021-08-07T14:41:00Z" w:initials="EJB">
    <w:p w14:paraId="588D9BA7" w14:textId="0E6F00DD" w:rsidR="007707A4" w:rsidRDefault="007707A4">
      <w:pPr>
        <w:pStyle w:val="CommentText"/>
      </w:pPr>
      <w:r>
        <w:rPr>
          <w:rStyle w:val="CommentReference"/>
        </w:rPr>
        <w:annotationRef/>
      </w:r>
      <w:r>
        <w:t>Maybe add line from finding in Hens paper, that Ni is still exchangeable although it’s quiet slow (25% exchanged within 14 days)</w:t>
      </w:r>
    </w:p>
  </w:comment>
  <w:comment w:id="18" w:author="Eva Juliet Baransky" w:date="2021-08-06T20:46:00Z" w:initials="EJB">
    <w:p w14:paraId="38DE878C" w14:textId="120BB34A" w:rsidR="00584C36" w:rsidRDefault="00584C36">
      <w:pPr>
        <w:pStyle w:val="CommentText"/>
      </w:pPr>
      <w:r>
        <w:rPr>
          <w:rStyle w:val="CommentReference"/>
        </w:rPr>
        <w:annotationRef/>
      </w:r>
      <w:r>
        <w:t>Add hens 2019 paper?</w:t>
      </w:r>
    </w:p>
  </w:comment>
  <w:comment w:id="19" w:author="Eva Juliet Baransky" w:date="2021-08-06T20:54:00Z" w:initials="EJB">
    <w:p w14:paraId="630F4FA5" w14:textId="5DF7FE9F" w:rsidR="00E6471C" w:rsidRDefault="00E6471C">
      <w:pPr>
        <w:pStyle w:val="CommentText"/>
      </w:pPr>
      <w:r>
        <w:rPr>
          <w:rStyle w:val="CommentReference"/>
        </w:rPr>
        <w:annotationRef/>
      </w:r>
      <w:r>
        <w:t>Add Fe-Mn crust growth rate vs something else</w:t>
      </w:r>
    </w:p>
  </w:comment>
  <w:comment w:id="20" w:author="Eva Juliet Baransky" w:date="2021-08-06T21:19:00Z" w:initials="EJB">
    <w:p w14:paraId="3F264237" w14:textId="4BCD254B" w:rsidR="00591FA9" w:rsidRDefault="00591FA9">
      <w:pPr>
        <w:pStyle w:val="CommentText"/>
      </w:pPr>
      <w:r>
        <w:rPr>
          <w:rStyle w:val="CommentReference"/>
        </w:rPr>
        <w:annotationRef/>
      </w:r>
      <w:r>
        <w:t>Maybe mention that there isn’t an expected change in coordination or</w:t>
      </w:r>
      <w:r w:rsidR="007A7510">
        <w:t xml:space="preserve"> valence. </w:t>
      </w:r>
    </w:p>
  </w:comment>
  <w:comment w:id="21" w:author="Eva Juliet Baransky" w:date="2021-08-06T21:19:00Z" w:initials="EJB">
    <w:p w14:paraId="7EFC9573" w14:textId="4A038714" w:rsidR="006A10C5" w:rsidRDefault="006A10C5">
      <w:pPr>
        <w:pStyle w:val="CommentText"/>
      </w:pPr>
      <w:r>
        <w:rPr>
          <w:rStyle w:val="CommentReference"/>
        </w:rPr>
        <w:annotationRef/>
      </w:r>
      <w:r>
        <w:t xml:space="preserve">Mention </w:t>
      </w:r>
      <w:proofErr w:type="spellStart"/>
      <w:r>
        <w:t>sorenson</w:t>
      </w:r>
      <w:proofErr w:type="spellEnd"/>
    </w:p>
  </w:comment>
  <w:comment w:id="22" w:author="Eva Juliet Baransky" w:date="2021-08-06T21:46:00Z" w:initials="EJB">
    <w:p w14:paraId="4E4E362E" w14:textId="5AA5E067" w:rsidR="00554817" w:rsidRDefault="00554817">
      <w:pPr>
        <w:pStyle w:val="CommentText"/>
      </w:pPr>
      <w:r>
        <w:rPr>
          <w:rStyle w:val="CommentReference"/>
        </w:rPr>
        <w:annotationRef/>
      </w:r>
      <w:r>
        <w:t>Time permitting, we will perform multi-directional experiments (i.e. with varying starting d60/58Ni) to ensure robust identification of equilibrium (</w:t>
      </w:r>
      <w:proofErr w:type="spellStart"/>
      <w:r>
        <w:t>freidrich</w:t>
      </w:r>
      <w:proofErr w:type="spellEnd"/>
      <w:r>
        <w:t xml:space="preserve"> or something)</w:t>
      </w:r>
    </w:p>
  </w:comment>
  <w:comment w:id="23" w:author="Eva Juliet Baransky" w:date="2021-08-06T16:33:00Z" w:initials="EJB">
    <w:p w14:paraId="699629E6" w14:textId="63B40790" w:rsidR="00995332" w:rsidRDefault="00995332">
      <w:pPr>
        <w:pStyle w:val="CommentText"/>
      </w:pPr>
      <w:r>
        <w:rPr>
          <w:rStyle w:val="CommentReference"/>
        </w:rPr>
        <w:annotationRef/>
      </w:r>
      <w:r>
        <w:t xml:space="preserve">Not really a </w:t>
      </w:r>
      <w:proofErr w:type="spellStart"/>
      <w:r>
        <w:t>holisistic</w:t>
      </w:r>
      <w:proofErr w:type="spellEnd"/>
      <w:r>
        <w:t xml:space="preserve"> explanation for the variability. Can only explain a small portion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96906B" w15:done="0"/>
  <w15:commentEx w15:paraId="33E0BEA7" w15:done="0"/>
  <w15:commentEx w15:paraId="67158F39" w15:done="0"/>
  <w15:commentEx w15:paraId="38B0FA47" w15:done="0"/>
  <w15:commentEx w15:paraId="031A1CC4" w15:done="0"/>
  <w15:commentEx w15:paraId="334EC9F0" w15:done="0"/>
  <w15:commentEx w15:paraId="1DA41435" w15:done="0"/>
  <w15:commentEx w15:paraId="7ACC5EB9" w15:done="0"/>
  <w15:commentEx w15:paraId="62FF4497" w15:done="0"/>
  <w15:commentEx w15:paraId="15F27F78" w15:done="0"/>
  <w15:commentEx w15:paraId="65EDFD38" w15:done="0"/>
  <w15:commentEx w15:paraId="4D43BF08" w15:done="0"/>
  <w15:commentEx w15:paraId="7958A2B6" w15:done="0"/>
  <w15:commentEx w15:paraId="588D9BA7" w15:done="0"/>
  <w15:commentEx w15:paraId="38DE878C" w15:done="0"/>
  <w15:commentEx w15:paraId="630F4FA5" w15:done="0"/>
  <w15:commentEx w15:paraId="3F264237" w15:done="0"/>
  <w15:commentEx w15:paraId="7EFC9573" w15:done="0"/>
  <w15:commentEx w15:paraId="4E4E362E" w15:done="0"/>
  <w15:commentEx w15:paraId="699629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231F" w16cex:dateUtc="2021-08-10T23:09:00Z"/>
  <w16cex:commentExtensible w16cex:durableId="24BBA73E" w16cex:dateUtc="2021-08-09T20:08:00Z"/>
  <w16cex:commentExtensible w16cex:durableId="24BBB362" w16cex:dateUtc="2021-08-09T21:00:00Z"/>
  <w16cex:commentExtensible w16cex:durableId="24BBAB26" w16cex:dateUtc="2021-08-09T20:24:00Z"/>
  <w16cex:commentExtensible w16cex:durableId="24BBB293" w16cex:dateUtc="2021-08-09T20:56:00Z"/>
  <w16cex:commentExtensible w16cex:durableId="24BCDFC1" w16cex:dateUtc="2021-08-10T18:21:00Z"/>
  <w16cex:commentExtensible w16cex:durableId="24BCE414" w16cex:dateUtc="2021-08-10T18:40:00Z"/>
  <w16cex:commentExtensible w16cex:durableId="24B18174" w16cex:dateUtc="2021-08-02T03:24:00Z"/>
  <w16cex:commentExtensible w16cex:durableId="24B8F53C" w16cex:dateUtc="2021-08-07T19:04:00Z"/>
  <w16cex:commentExtensible w16cex:durableId="24B8E60E" w16cex:dateUtc="2021-08-07T17:59:00Z"/>
  <w16cex:commentExtensible w16cex:durableId="24B821E0" w16cex:dateUtc="2021-08-07T04:02:00Z"/>
  <w16cex:commentExtensible w16cex:durableId="24B8E2AE" w16cex:dateUtc="2021-08-07T17:45:00Z"/>
  <w16cex:commentExtensible w16cex:durableId="24B821E8" w16cex:dateUtc="2021-08-07T04:02:00Z"/>
  <w16cex:commentExtensible w16cex:durableId="24B91A09" w16cex:dateUtc="2021-08-07T21:41:00Z"/>
  <w16cex:commentExtensible w16cex:durableId="24B81E17" w16cex:dateUtc="2021-08-07T03:46:00Z"/>
  <w16cex:commentExtensible w16cex:durableId="24B81FEB" w16cex:dateUtc="2021-08-07T03:54:00Z"/>
  <w16cex:commentExtensible w16cex:durableId="24B825F5" w16cex:dateUtc="2021-08-07T04:19:00Z"/>
  <w16cex:commentExtensible w16cex:durableId="24B825E9" w16cex:dateUtc="2021-08-07T04:19:00Z"/>
  <w16cex:commentExtensible w16cex:durableId="24B82C37" w16cex:dateUtc="2021-08-07T04:46:00Z"/>
  <w16cex:commentExtensible w16cex:durableId="24B7E2D7" w16cex:dateUtc="2021-08-06T2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96906B" w16cid:durableId="24BD231F"/>
  <w16cid:commentId w16cid:paraId="33E0BEA7" w16cid:durableId="24BBA73E"/>
  <w16cid:commentId w16cid:paraId="67158F39" w16cid:durableId="24BBB362"/>
  <w16cid:commentId w16cid:paraId="38B0FA47" w16cid:durableId="24BBAB26"/>
  <w16cid:commentId w16cid:paraId="031A1CC4" w16cid:durableId="24BBB293"/>
  <w16cid:commentId w16cid:paraId="334EC9F0" w16cid:durableId="24BCDFC1"/>
  <w16cid:commentId w16cid:paraId="1DA41435" w16cid:durableId="24BCE414"/>
  <w16cid:commentId w16cid:paraId="7ACC5EB9" w16cid:durableId="24B18174"/>
  <w16cid:commentId w16cid:paraId="62FF4497" w16cid:durableId="24B8F53C"/>
  <w16cid:commentId w16cid:paraId="15F27F78" w16cid:durableId="24B8E60E"/>
  <w16cid:commentId w16cid:paraId="65EDFD38" w16cid:durableId="24B821E0"/>
  <w16cid:commentId w16cid:paraId="4D43BF08" w16cid:durableId="24B8E2AE"/>
  <w16cid:commentId w16cid:paraId="7958A2B6" w16cid:durableId="24B821E8"/>
  <w16cid:commentId w16cid:paraId="588D9BA7" w16cid:durableId="24B91A09"/>
  <w16cid:commentId w16cid:paraId="38DE878C" w16cid:durableId="24B81E17"/>
  <w16cid:commentId w16cid:paraId="630F4FA5" w16cid:durableId="24B81FEB"/>
  <w16cid:commentId w16cid:paraId="3F264237" w16cid:durableId="24B825F5"/>
  <w16cid:commentId w16cid:paraId="7EFC9573" w16cid:durableId="24B825E9"/>
  <w16cid:commentId w16cid:paraId="4E4E362E" w16cid:durableId="24B82C37"/>
  <w16cid:commentId w16cid:paraId="699629E6" w16cid:durableId="24B7E2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76C09"/>
    <w:multiLevelType w:val="hybridMultilevel"/>
    <w:tmpl w:val="E7B6C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2301"/>
    <w:multiLevelType w:val="hybridMultilevel"/>
    <w:tmpl w:val="523C24FE"/>
    <w:lvl w:ilvl="0" w:tplc="834A2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3C"/>
    <w:rsid w:val="000004E5"/>
    <w:rsid w:val="00017093"/>
    <w:rsid w:val="000364D9"/>
    <w:rsid w:val="00043931"/>
    <w:rsid w:val="00044F13"/>
    <w:rsid w:val="00055A94"/>
    <w:rsid w:val="000561E0"/>
    <w:rsid w:val="000739CB"/>
    <w:rsid w:val="00080947"/>
    <w:rsid w:val="000828A4"/>
    <w:rsid w:val="000847E3"/>
    <w:rsid w:val="0008682C"/>
    <w:rsid w:val="000A6712"/>
    <w:rsid w:val="000A6FDA"/>
    <w:rsid w:val="000B7DC3"/>
    <w:rsid w:val="000C1633"/>
    <w:rsid w:val="000C3BAD"/>
    <w:rsid w:val="000C4A28"/>
    <w:rsid w:val="000D116E"/>
    <w:rsid w:val="000F3FA9"/>
    <w:rsid w:val="00127F2B"/>
    <w:rsid w:val="001377DC"/>
    <w:rsid w:val="001412A5"/>
    <w:rsid w:val="00152D1F"/>
    <w:rsid w:val="001700FA"/>
    <w:rsid w:val="00184EF5"/>
    <w:rsid w:val="00190AEC"/>
    <w:rsid w:val="001B0B2A"/>
    <w:rsid w:val="001E2862"/>
    <w:rsid w:val="001E4825"/>
    <w:rsid w:val="001F3B32"/>
    <w:rsid w:val="001F484F"/>
    <w:rsid w:val="00211FE2"/>
    <w:rsid w:val="00212572"/>
    <w:rsid w:val="00225182"/>
    <w:rsid w:val="00230EAD"/>
    <w:rsid w:val="00231AA1"/>
    <w:rsid w:val="002346BB"/>
    <w:rsid w:val="00242419"/>
    <w:rsid w:val="002455C5"/>
    <w:rsid w:val="00271A73"/>
    <w:rsid w:val="00284385"/>
    <w:rsid w:val="002A156D"/>
    <w:rsid w:val="002C023C"/>
    <w:rsid w:val="002C32ED"/>
    <w:rsid w:val="002C3F0D"/>
    <w:rsid w:val="002E65A0"/>
    <w:rsid w:val="002F5BB0"/>
    <w:rsid w:val="003065F4"/>
    <w:rsid w:val="003243E5"/>
    <w:rsid w:val="00326828"/>
    <w:rsid w:val="003470CB"/>
    <w:rsid w:val="00377151"/>
    <w:rsid w:val="003830A2"/>
    <w:rsid w:val="00383CE5"/>
    <w:rsid w:val="003E4151"/>
    <w:rsid w:val="003E630E"/>
    <w:rsid w:val="003F522E"/>
    <w:rsid w:val="004077B2"/>
    <w:rsid w:val="004153D3"/>
    <w:rsid w:val="00423F12"/>
    <w:rsid w:val="004323DB"/>
    <w:rsid w:val="004477D3"/>
    <w:rsid w:val="00475213"/>
    <w:rsid w:val="00485BB7"/>
    <w:rsid w:val="004964ED"/>
    <w:rsid w:val="004A13CC"/>
    <w:rsid w:val="004C4095"/>
    <w:rsid w:val="004C5392"/>
    <w:rsid w:val="004C7970"/>
    <w:rsid w:val="004E4EDC"/>
    <w:rsid w:val="00505BF9"/>
    <w:rsid w:val="00512BEE"/>
    <w:rsid w:val="005248E2"/>
    <w:rsid w:val="005266CE"/>
    <w:rsid w:val="00554817"/>
    <w:rsid w:val="0055649E"/>
    <w:rsid w:val="00557F5B"/>
    <w:rsid w:val="005620F2"/>
    <w:rsid w:val="00584C36"/>
    <w:rsid w:val="00591FA9"/>
    <w:rsid w:val="005A065E"/>
    <w:rsid w:val="005A7A57"/>
    <w:rsid w:val="005B0272"/>
    <w:rsid w:val="005B0D81"/>
    <w:rsid w:val="005B4750"/>
    <w:rsid w:val="005C5877"/>
    <w:rsid w:val="005D2BB9"/>
    <w:rsid w:val="005E47AE"/>
    <w:rsid w:val="00616692"/>
    <w:rsid w:val="00643737"/>
    <w:rsid w:val="00647078"/>
    <w:rsid w:val="006650E7"/>
    <w:rsid w:val="0067308F"/>
    <w:rsid w:val="006814BE"/>
    <w:rsid w:val="0069218B"/>
    <w:rsid w:val="0069723A"/>
    <w:rsid w:val="00697B2D"/>
    <w:rsid w:val="006A10C5"/>
    <w:rsid w:val="006A694E"/>
    <w:rsid w:val="006A6DC3"/>
    <w:rsid w:val="006C0A13"/>
    <w:rsid w:val="006D379E"/>
    <w:rsid w:val="006D7043"/>
    <w:rsid w:val="006E0F46"/>
    <w:rsid w:val="006E5939"/>
    <w:rsid w:val="006F19CC"/>
    <w:rsid w:val="006F2FEF"/>
    <w:rsid w:val="00701D00"/>
    <w:rsid w:val="00704016"/>
    <w:rsid w:val="007072E6"/>
    <w:rsid w:val="007278DA"/>
    <w:rsid w:val="00734178"/>
    <w:rsid w:val="00735C75"/>
    <w:rsid w:val="00754015"/>
    <w:rsid w:val="00756BBB"/>
    <w:rsid w:val="00763CA7"/>
    <w:rsid w:val="007707A4"/>
    <w:rsid w:val="00771CCD"/>
    <w:rsid w:val="00784FB9"/>
    <w:rsid w:val="0078645B"/>
    <w:rsid w:val="00792222"/>
    <w:rsid w:val="0079645A"/>
    <w:rsid w:val="007975C6"/>
    <w:rsid w:val="007A3DF3"/>
    <w:rsid w:val="007A7510"/>
    <w:rsid w:val="007B7E3E"/>
    <w:rsid w:val="007C6B97"/>
    <w:rsid w:val="007C772E"/>
    <w:rsid w:val="007D28D1"/>
    <w:rsid w:val="007D553D"/>
    <w:rsid w:val="007E3F99"/>
    <w:rsid w:val="007E5DC7"/>
    <w:rsid w:val="007F4E1C"/>
    <w:rsid w:val="008032C0"/>
    <w:rsid w:val="008302CB"/>
    <w:rsid w:val="00856A35"/>
    <w:rsid w:val="008A15E5"/>
    <w:rsid w:val="008A4717"/>
    <w:rsid w:val="008C45B7"/>
    <w:rsid w:val="008C500F"/>
    <w:rsid w:val="008E0B7B"/>
    <w:rsid w:val="008E293B"/>
    <w:rsid w:val="00900765"/>
    <w:rsid w:val="00901E1D"/>
    <w:rsid w:val="00913B8D"/>
    <w:rsid w:val="009203D0"/>
    <w:rsid w:val="00932998"/>
    <w:rsid w:val="00946CA8"/>
    <w:rsid w:val="00972F78"/>
    <w:rsid w:val="00983372"/>
    <w:rsid w:val="00995332"/>
    <w:rsid w:val="009A4864"/>
    <w:rsid w:val="009A7DF9"/>
    <w:rsid w:val="009E66A0"/>
    <w:rsid w:val="00A0151B"/>
    <w:rsid w:val="00A1087D"/>
    <w:rsid w:val="00A16CAF"/>
    <w:rsid w:val="00A25139"/>
    <w:rsid w:val="00A62017"/>
    <w:rsid w:val="00A72114"/>
    <w:rsid w:val="00A7687E"/>
    <w:rsid w:val="00AA4FCC"/>
    <w:rsid w:val="00AD60D3"/>
    <w:rsid w:val="00AE6CB3"/>
    <w:rsid w:val="00B10B6F"/>
    <w:rsid w:val="00B23252"/>
    <w:rsid w:val="00B35152"/>
    <w:rsid w:val="00B467E0"/>
    <w:rsid w:val="00B53C58"/>
    <w:rsid w:val="00B637A8"/>
    <w:rsid w:val="00B6633F"/>
    <w:rsid w:val="00B718F3"/>
    <w:rsid w:val="00B76E0D"/>
    <w:rsid w:val="00B92424"/>
    <w:rsid w:val="00BB49A6"/>
    <w:rsid w:val="00BC785B"/>
    <w:rsid w:val="00BD555F"/>
    <w:rsid w:val="00BE00E4"/>
    <w:rsid w:val="00BF5A77"/>
    <w:rsid w:val="00C3789C"/>
    <w:rsid w:val="00C52BF7"/>
    <w:rsid w:val="00C61242"/>
    <w:rsid w:val="00C76666"/>
    <w:rsid w:val="00C77F2A"/>
    <w:rsid w:val="00CA7B69"/>
    <w:rsid w:val="00CB4C87"/>
    <w:rsid w:val="00CC0E34"/>
    <w:rsid w:val="00CC0FD0"/>
    <w:rsid w:val="00CC258E"/>
    <w:rsid w:val="00CD4DB4"/>
    <w:rsid w:val="00CE69B7"/>
    <w:rsid w:val="00D326B8"/>
    <w:rsid w:val="00D41C2D"/>
    <w:rsid w:val="00D50E87"/>
    <w:rsid w:val="00D647BB"/>
    <w:rsid w:val="00D832A4"/>
    <w:rsid w:val="00D87821"/>
    <w:rsid w:val="00DA0282"/>
    <w:rsid w:val="00DA22F7"/>
    <w:rsid w:val="00DA4C46"/>
    <w:rsid w:val="00DB0130"/>
    <w:rsid w:val="00DF0F7E"/>
    <w:rsid w:val="00E25CEA"/>
    <w:rsid w:val="00E412D1"/>
    <w:rsid w:val="00E4369F"/>
    <w:rsid w:val="00E43AEA"/>
    <w:rsid w:val="00E4792A"/>
    <w:rsid w:val="00E53B23"/>
    <w:rsid w:val="00E6471C"/>
    <w:rsid w:val="00E66E91"/>
    <w:rsid w:val="00E76605"/>
    <w:rsid w:val="00E81266"/>
    <w:rsid w:val="00EB1622"/>
    <w:rsid w:val="00EB6213"/>
    <w:rsid w:val="00EC552B"/>
    <w:rsid w:val="00ED521B"/>
    <w:rsid w:val="00EE151F"/>
    <w:rsid w:val="00EF22AA"/>
    <w:rsid w:val="00F11D86"/>
    <w:rsid w:val="00F14A1D"/>
    <w:rsid w:val="00F330D8"/>
    <w:rsid w:val="00F35E43"/>
    <w:rsid w:val="00F42CAB"/>
    <w:rsid w:val="00F57E9C"/>
    <w:rsid w:val="00F658BF"/>
    <w:rsid w:val="00F675C2"/>
    <w:rsid w:val="00F7264E"/>
    <w:rsid w:val="00FC2086"/>
    <w:rsid w:val="00FC63C8"/>
    <w:rsid w:val="00FD155B"/>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C198"/>
  <w15:chartTrackingRefBased/>
  <w15:docId w15:val="{BBB23C83-5A19-41E2-B156-799F1BD0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58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5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C258E"/>
    <w:rPr>
      <w:sz w:val="16"/>
      <w:szCs w:val="16"/>
    </w:rPr>
  </w:style>
  <w:style w:type="paragraph" w:styleId="CommentText">
    <w:name w:val="annotation text"/>
    <w:basedOn w:val="Normal"/>
    <w:link w:val="CommentTextChar"/>
    <w:uiPriority w:val="99"/>
    <w:unhideWhenUsed/>
    <w:rsid w:val="00CC258E"/>
    <w:pPr>
      <w:spacing w:line="240" w:lineRule="auto"/>
    </w:pPr>
    <w:rPr>
      <w:sz w:val="20"/>
      <w:szCs w:val="20"/>
    </w:rPr>
  </w:style>
  <w:style w:type="character" w:customStyle="1" w:styleId="CommentTextChar">
    <w:name w:val="Comment Text Char"/>
    <w:basedOn w:val="DefaultParagraphFont"/>
    <w:link w:val="CommentText"/>
    <w:uiPriority w:val="99"/>
    <w:rsid w:val="00CC258E"/>
    <w:rPr>
      <w:rFonts w:ascii="Times New Roman" w:eastAsia="Times New Roman" w:hAnsi="Times New Roman" w:cs="Times New Roman"/>
      <w:sz w:val="20"/>
      <w:szCs w:val="20"/>
    </w:rPr>
  </w:style>
  <w:style w:type="paragraph" w:styleId="ListParagraph">
    <w:name w:val="List Paragraph"/>
    <w:basedOn w:val="Normal"/>
    <w:uiPriority w:val="34"/>
    <w:qFormat/>
    <w:rsid w:val="00CC258E"/>
    <w:pPr>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95332"/>
    <w:rPr>
      <w:b/>
      <w:bCs/>
    </w:rPr>
  </w:style>
  <w:style w:type="character" w:customStyle="1" w:styleId="CommentSubjectChar">
    <w:name w:val="Comment Subject Char"/>
    <w:basedOn w:val="CommentTextChar"/>
    <w:link w:val="CommentSubject"/>
    <w:uiPriority w:val="99"/>
    <w:semiHidden/>
    <w:rsid w:val="00995332"/>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485BB7"/>
    <w:pPr>
      <w:spacing w:after="200"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15556">
      <w:bodyDiv w:val="1"/>
      <w:marLeft w:val="0"/>
      <w:marRight w:val="0"/>
      <w:marTop w:val="0"/>
      <w:marBottom w:val="0"/>
      <w:divBdr>
        <w:top w:val="none" w:sz="0" w:space="0" w:color="auto"/>
        <w:left w:val="none" w:sz="0" w:space="0" w:color="auto"/>
        <w:bottom w:val="none" w:sz="0" w:space="0" w:color="auto"/>
        <w:right w:val="none" w:sz="0" w:space="0" w:color="auto"/>
      </w:divBdr>
      <w:divsChild>
        <w:div w:id="1434201297">
          <w:marLeft w:val="0"/>
          <w:marRight w:val="0"/>
          <w:marTop w:val="0"/>
          <w:marBottom w:val="0"/>
          <w:divBdr>
            <w:top w:val="none" w:sz="0" w:space="0" w:color="auto"/>
            <w:left w:val="none" w:sz="0" w:space="0" w:color="auto"/>
            <w:bottom w:val="none" w:sz="0" w:space="0" w:color="auto"/>
            <w:right w:val="none" w:sz="0" w:space="0" w:color="auto"/>
          </w:divBdr>
        </w:div>
        <w:div w:id="176691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CC0E-74B7-4831-8735-73C6251B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5141</TotalTime>
  <Pages>8</Pages>
  <Words>22544</Words>
  <Characters>128952</Characters>
  <Application>Microsoft Office Word</Application>
  <DocSecurity>0</DocSecurity>
  <Lines>2113</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266</cp:revision>
  <dcterms:created xsi:type="dcterms:W3CDTF">2021-08-06T23:06:00Z</dcterms:created>
  <dcterms:modified xsi:type="dcterms:W3CDTF">2021-08-10T23:13:00Z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