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74" w:rsidRDefault="00430723" w:rsidP="00A56B06">
      <w:pPr>
        <w:pStyle w:val="Ttulo"/>
      </w:pPr>
      <w:bookmarkStart w:id="0" w:name="_Toc178613943"/>
      <w:bookmarkStart w:id="1" w:name="_Toc331150538"/>
      <w:r>
        <w:t xml:space="preserve">ANEJO 2. </w:t>
      </w:r>
      <w:r w:rsidR="00552134">
        <w:t xml:space="preserve">Descripción de </w:t>
      </w:r>
      <w:r w:rsidR="005A3874">
        <w:t xml:space="preserve">la </w:t>
      </w:r>
      <w:r w:rsidR="005A3874" w:rsidRPr="00A56B06">
        <w:t>Geodatabase</w:t>
      </w:r>
      <w:r w:rsidR="005A3874">
        <w:t xml:space="preserve"> “</w:t>
      </w:r>
      <w:proofErr w:type="spellStart"/>
      <w:r w:rsidR="00983A09">
        <w:t>Suelos_Huelva_UHU</w:t>
      </w:r>
      <w:proofErr w:type="spellEnd"/>
      <w:r w:rsidR="005A3874">
        <w:t>”</w:t>
      </w:r>
      <w:bookmarkEnd w:id="0"/>
      <w:bookmarkEnd w:id="1"/>
    </w:p>
    <w:p w:rsidR="005A3874" w:rsidRDefault="005A3874" w:rsidP="005A3874">
      <w:pPr>
        <w:pStyle w:val="Ttulo1"/>
      </w:pPr>
      <w:r>
        <w:t>Introducción</w:t>
      </w:r>
    </w:p>
    <w:p w:rsidR="005A3874" w:rsidRDefault="005A3874" w:rsidP="005A3874">
      <w:pPr>
        <w:pStyle w:val="basico"/>
      </w:pPr>
      <w:r>
        <w:rPr>
          <w:lang w:val="es-ES_tradnl"/>
        </w:rPr>
        <w:t>Con</w:t>
      </w:r>
      <w:r>
        <w:t xml:space="preserve"> la información geológica y edáfica de la provincia de Huelva se ha creado una base de datos geográfica con el formato “</w:t>
      </w:r>
      <w:r w:rsidR="00983A09">
        <w:t>File</w:t>
      </w:r>
      <w:r>
        <w:t xml:space="preserve"> Geodatabase” del software </w:t>
      </w:r>
      <w:proofErr w:type="spellStart"/>
      <w:r w:rsidR="000739A0" w:rsidRPr="000739A0">
        <w:t>ArcGIS</w:t>
      </w:r>
      <w:proofErr w:type="spellEnd"/>
      <w:r w:rsidR="000739A0" w:rsidRPr="000739A0">
        <w:t xml:space="preserve"> 10</w:t>
      </w:r>
      <w:r w:rsidRPr="000739A0">
        <w:t>.</w:t>
      </w:r>
      <w:r w:rsidR="000739A0" w:rsidRPr="000739A0">
        <w:t>8</w:t>
      </w:r>
      <w:r w:rsidRPr="000739A0">
        <w:t xml:space="preserve"> de</w:t>
      </w:r>
      <w:r>
        <w:t xml:space="preserve"> </w:t>
      </w:r>
      <w:proofErr w:type="spellStart"/>
      <w:r>
        <w:t>ESRI</w:t>
      </w:r>
      <w:proofErr w:type="spellEnd"/>
      <w:r>
        <w:t>.</w:t>
      </w:r>
    </w:p>
    <w:p w:rsidR="006368B6" w:rsidRDefault="006368B6" w:rsidP="005A3874">
      <w:pPr>
        <w:pStyle w:val="basico"/>
      </w:pPr>
      <w:r>
        <w:t xml:space="preserve">Esta geodatabase está compuesta por una serie de tablas, algunas de ellas con componente espacial, que se describen </w:t>
      </w:r>
      <w:r w:rsidR="000C38B6">
        <w:t>en los siguiente</w:t>
      </w:r>
      <w:r w:rsidR="00C030EE">
        <w:t>s</w:t>
      </w:r>
      <w:r w:rsidR="000C38B6">
        <w:t xml:space="preserve"> epígrafes</w:t>
      </w:r>
      <w:r>
        <w:t>. La forma en que estas tablas, o entidades, se relacionan entre sí de</w:t>
      </w:r>
      <w:r w:rsidR="00374831">
        <w:t xml:space="preserve">ntro de la </w:t>
      </w:r>
      <w:proofErr w:type="spellStart"/>
      <w:r w:rsidR="00374831">
        <w:t>geodatablase</w:t>
      </w:r>
      <w:proofErr w:type="spellEnd"/>
      <w:r w:rsidR="00374831">
        <w:t xml:space="preserve"> se puede</w:t>
      </w:r>
      <w:r>
        <w:t xml:space="preserve"> consultar en el diagrama de</w:t>
      </w:r>
      <w:r w:rsidR="00374831">
        <w:t xml:space="preserve"> flujo de</w:t>
      </w:r>
      <w:r>
        <w:t xml:space="preserve"> la </w:t>
      </w:r>
      <w:r>
        <w:fldChar w:fldCharType="begin"/>
      </w:r>
      <w:r>
        <w:instrText xml:space="preserve"> REF _Ref171178546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 donde se ha representado el modelo entidad-relación</w:t>
      </w:r>
      <w:r w:rsidR="00C030EE">
        <w:t xml:space="preserve"> completo</w:t>
      </w:r>
      <w:r>
        <w:t>.</w:t>
      </w:r>
    </w:p>
    <w:p w:rsidR="00983A09" w:rsidRDefault="006F4B3C" w:rsidP="00983A09">
      <w:pPr>
        <w:pStyle w:val="basico"/>
        <w:keepNext/>
      </w:pPr>
      <w:r w:rsidRPr="006F4B3C">
        <w:rPr>
          <w:noProof/>
        </w:rPr>
        <w:drawing>
          <wp:inline distT="0" distB="0" distL="0" distR="0" wp14:anchorId="4349CB91" wp14:editId="01135B63">
            <wp:extent cx="5400040" cy="5255854"/>
            <wp:effectExtent l="0" t="0" r="0" b="2540"/>
            <wp:docPr id="3" name="Imagen 3" descr="E:\ProyectoSuelosEnce\Huelva\LibroSuelosHuelva\Anejos\EsquemaAnej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yectoSuelosEnce\Huelva\LibroSuelosHuelva\Anejos\EsquemaAnej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1E" w:rsidRPr="00983A09" w:rsidRDefault="00983A09" w:rsidP="00983A09">
      <w:pPr>
        <w:pStyle w:val="Descripcin"/>
        <w:rPr>
          <w:lang w:val="es-ES"/>
        </w:rPr>
      </w:pPr>
      <w:bookmarkStart w:id="2" w:name="_Ref171178546"/>
      <w:r>
        <w:t xml:space="preserve">Figura </w:t>
      </w:r>
      <w:r w:rsidR="00B65563">
        <w:fldChar w:fldCharType="begin"/>
      </w:r>
      <w:r w:rsidR="00B65563">
        <w:instrText xml:space="preserve"> SEQ Figura \* ARABIC </w:instrText>
      </w:r>
      <w:r w:rsidR="00B65563">
        <w:fldChar w:fldCharType="separate"/>
      </w:r>
      <w:r w:rsidR="004E44D7">
        <w:rPr>
          <w:noProof/>
        </w:rPr>
        <w:t>1</w:t>
      </w:r>
      <w:r w:rsidR="00B65563">
        <w:rPr>
          <w:noProof/>
        </w:rPr>
        <w:fldChar w:fldCharType="end"/>
      </w:r>
      <w:bookmarkEnd w:id="2"/>
      <w:r>
        <w:rPr>
          <w:lang w:val="es-ES"/>
        </w:rPr>
        <w:t xml:space="preserve">. </w:t>
      </w:r>
      <w:r w:rsidR="004E44D7">
        <w:rPr>
          <w:lang w:val="es-ES"/>
        </w:rPr>
        <w:t>D</w:t>
      </w:r>
      <w:proofErr w:type="spellStart"/>
      <w:r w:rsidR="004E44D7">
        <w:t>iagrama</w:t>
      </w:r>
      <w:proofErr w:type="spellEnd"/>
      <w:r w:rsidR="004E44D7">
        <w:t xml:space="preserve"> entidad-relación</w:t>
      </w:r>
      <w:r w:rsidR="004E44D7">
        <w:rPr>
          <w:lang w:val="es-ES"/>
        </w:rPr>
        <w:t xml:space="preserve"> </w:t>
      </w:r>
      <w:r w:rsidR="004E44D7">
        <w:t xml:space="preserve">que ilustra cómo las </w:t>
      </w:r>
      <w:r w:rsidR="004E44D7">
        <w:rPr>
          <w:lang w:val="es-ES"/>
        </w:rPr>
        <w:t xml:space="preserve">distintas </w:t>
      </w:r>
      <w:r w:rsidR="004E44D7">
        <w:t>entidades</w:t>
      </w:r>
      <w:r w:rsidR="004E44D7">
        <w:rPr>
          <w:lang w:val="es-ES"/>
        </w:rPr>
        <w:t xml:space="preserve"> de la File Geodatabase “</w:t>
      </w:r>
      <w:proofErr w:type="spellStart"/>
      <w:r w:rsidR="004E44D7">
        <w:rPr>
          <w:lang w:val="es-ES"/>
        </w:rPr>
        <w:t>Suelos_Huelva_UHU</w:t>
      </w:r>
      <w:proofErr w:type="spellEnd"/>
      <w:r w:rsidR="004E44D7">
        <w:rPr>
          <w:lang w:val="es-ES"/>
        </w:rPr>
        <w:t>”</w:t>
      </w:r>
      <w:r w:rsidR="004E44D7">
        <w:t xml:space="preserve"> se relacionan entre sí.</w:t>
      </w:r>
    </w:p>
    <w:p w:rsidR="0073611E" w:rsidRDefault="0073611E" w:rsidP="005A3874">
      <w:pPr>
        <w:pStyle w:val="basico"/>
        <w:rPr>
          <w:lang w:val="es-ES_tradnl"/>
        </w:rPr>
      </w:pPr>
    </w:p>
    <w:p w:rsidR="005A3874" w:rsidRDefault="005A3874" w:rsidP="005A3874">
      <w:pPr>
        <w:pStyle w:val="Ttulo1"/>
      </w:pPr>
      <w:bookmarkStart w:id="3" w:name="_Toc178613758"/>
      <w:bookmarkStart w:id="4" w:name="_Toc178613945"/>
      <w:bookmarkStart w:id="5" w:name="_Toc331150540"/>
      <w:r>
        <w:t>Ficheros geográficos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class</w:t>
      </w:r>
      <w:bookmarkEnd w:id="3"/>
      <w:bookmarkEnd w:id="4"/>
      <w:proofErr w:type="spellEnd"/>
      <w:r>
        <w:t>)</w:t>
      </w:r>
      <w:bookmarkEnd w:id="5"/>
    </w:p>
    <w:p w:rsidR="004E44D7" w:rsidRDefault="000C38B6" w:rsidP="000C38B6">
      <w:pPr>
        <w:pStyle w:val="basico"/>
        <w:keepNext/>
        <w:rPr>
          <w:lang w:val="es-ES_tradnl"/>
        </w:rPr>
      </w:pPr>
      <w:r>
        <w:t>Son los o</w:t>
      </w:r>
      <w:r w:rsidR="005A3874">
        <w:t>bjetos del modelo q</w:t>
      </w:r>
      <w:r w:rsidR="00A56B06">
        <w:t>ue tienen atributos geométricos</w:t>
      </w:r>
      <w:r w:rsidR="005A3874">
        <w:t xml:space="preserve">. Se han creado </w:t>
      </w:r>
      <w:r w:rsidR="00461450">
        <w:t>tres</w:t>
      </w:r>
      <w:r w:rsidR="005A3874">
        <w:t xml:space="preserve"> dentro del </w:t>
      </w:r>
      <w:proofErr w:type="spellStart"/>
      <w:r w:rsidR="005A3874">
        <w:t>Dataset</w:t>
      </w:r>
      <w:proofErr w:type="spellEnd"/>
      <w:r>
        <w:t xml:space="preserve"> “</w:t>
      </w:r>
      <w:proofErr w:type="spellStart"/>
      <w:r>
        <w:t>Suelos_UHU</w:t>
      </w:r>
      <w:proofErr w:type="spellEnd"/>
      <w:r>
        <w:t>”,</w:t>
      </w:r>
      <w:r w:rsidR="004E44D7">
        <w:rPr>
          <w:lang w:val="es-ES_tradnl"/>
        </w:rPr>
        <w:t xml:space="preserve"> marco de referencia espacial común para todos </w:t>
      </w:r>
      <w:r>
        <w:rPr>
          <w:lang w:val="es-ES_tradnl"/>
        </w:rPr>
        <w:t>e</w:t>
      </w:r>
      <w:r w:rsidR="00984FBF">
        <w:rPr>
          <w:lang w:val="es-ES_tradnl"/>
        </w:rPr>
        <w:t>llos</w:t>
      </w:r>
      <w:r w:rsidR="004E44D7">
        <w:rPr>
          <w:lang w:val="es-ES_tradnl"/>
        </w:rPr>
        <w:t>.</w:t>
      </w:r>
      <w:r w:rsidR="004E44D7">
        <w:t xml:space="preserve"> </w:t>
      </w:r>
    </w:p>
    <w:p w:rsidR="004E44D7" w:rsidRDefault="004E44D7" w:rsidP="004E44D7">
      <w:pPr>
        <w:pStyle w:val="basico"/>
        <w:rPr>
          <w:lang w:val="es-ES_tradnl"/>
        </w:rPr>
      </w:pPr>
      <w:r>
        <w:rPr>
          <w:lang w:val="es-ES_tradnl"/>
        </w:rPr>
        <w:t xml:space="preserve">El sistema de referencia del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“</w:t>
      </w:r>
      <w:proofErr w:type="spellStart"/>
      <w:r w:rsidR="000C38B6">
        <w:t>Suelos_UHU</w:t>
      </w:r>
      <w:proofErr w:type="spellEnd"/>
      <w:r>
        <w:rPr>
          <w:lang w:val="es-ES_tradnl"/>
        </w:rPr>
        <w:t xml:space="preserve">” es el </w:t>
      </w:r>
      <w:proofErr w:type="spellStart"/>
      <w:r>
        <w:rPr>
          <w:lang w:val="es-ES_tradnl"/>
        </w:rPr>
        <w:t>E</w:t>
      </w:r>
      <w:r w:rsidR="00984FBF">
        <w:rPr>
          <w:lang w:val="es-ES_tradnl"/>
        </w:rPr>
        <w:t>TRS</w:t>
      </w:r>
      <w:proofErr w:type="spellEnd"/>
      <w:r w:rsidR="00984FBF">
        <w:rPr>
          <w:lang w:val="es-ES_tradnl"/>
        </w:rPr>
        <w:t xml:space="preserve"> 1989 </w:t>
      </w:r>
      <w:proofErr w:type="spellStart"/>
      <w:r>
        <w:rPr>
          <w:lang w:val="es-ES_tradnl"/>
        </w:rPr>
        <w:t>UTM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Zone</w:t>
      </w:r>
      <w:proofErr w:type="spellEnd"/>
      <w:r>
        <w:rPr>
          <w:lang w:val="es-ES_tradnl"/>
        </w:rPr>
        <w:t xml:space="preserve"> </w:t>
      </w:r>
      <w:r w:rsidR="00984FBF">
        <w:rPr>
          <w:lang w:val="es-ES_tradnl"/>
        </w:rPr>
        <w:t>29</w:t>
      </w:r>
      <w:r>
        <w:rPr>
          <w:lang w:val="es-ES_tradnl"/>
        </w:rPr>
        <w:t>N.</w:t>
      </w:r>
    </w:p>
    <w:p w:rsidR="005A3874" w:rsidRDefault="005A3874" w:rsidP="00B93D10">
      <w:pPr>
        <w:pStyle w:val="Ttulo2"/>
      </w:pPr>
      <w:bookmarkStart w:id="6" w:name="_Toc331150541"/>
      <w:r>
        <w:lastRenderedPageBreak/>
        <w:t>Cartografía geológica: “</w:t>
      </w:r>
      <w:proofErr w:type="spellStart"/>
      <w:r>
        <w:t>Geologico_Huelva</w:t>
      </w:r>
      <w:proofErr w:type="spellEnd"/>
      <w:r>
        <w:t>”</w:t>
      </w:r>
      <w:bookmarkEnd w:id="6"/>
    </w:p>
    <w:p w:rsidR="00461450" w:rsidRDefault="005A3874" w:rsidP="00461450">
      <w:pPr>
        <w:pStyle w:val="basico"/>
      </w:pPr>
      <w:r>
        <w:t>Es el resultado de la revisión y la unión de toda la cartografía geológica de la provincia de Huelva.</w:t>
      </w:r>
      <w:r w:rsidR="00461450">
        <w:t xml:space="preserve"> En esta tabla se recoge la información de cada una de las litofacies presentes en la provincia de Huelva.</w:t>
      </w:r>
    </w:p>
    <w:p w:rsidR="005A3874" w:rsidRDefault="00461450" w:rsidP="00461450">
      <w:pPr>
        <w:pStyle w:val="basico"/>
      </w:pPr>
      <w:r>
        <w:t>Los campos que aparecen son los siguientes: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134"/>
        <w:gridCol w:w="5947"/>
      </w:tblGrid>
      <w:tr w:rsidR="00461450" w:rsidRPr="00B244C9" w:rsidTr="00B244C9">
        <w:trPr>
          <w:cantSplit/>
          <w:tblHeader/>
          <w:jc w:val="center"/>
        </w:trPr>
        <w:tc>
          <w:tcPr>
            <w:tcW w:w="1413" w:type="dxa"/>
            <w:vAlign w:val="center"/>
          </w:tcPr>
          <w:p w:rsidR="00461450" w:rsidRPr="00B244C9" w:rsidRDefault="00461450" w:rsidP="00B244C9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Nombre del campo</w:t>
            </w:r>
          </w:p>
        </w:tc>
        <w:tc>
          <w:tcPr>
            <w:tcW w:w="1134" w:type="dxa"/>
            <w:vAlign w:val="center"/>
          </w:tcPr>
          <w:p w:rsidR="00461450" w:rsidRPr="00B244C9" w:rsidRDefault="00461450" w:rsidP="00B244C9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Tipo de datos</w:t>
            </w:r>
          </w:p>
        </w:tc>
        <w:tc>
          <w:tcPr>
            <w:tcW w:w="5947" w:type="dxa"/>
            <w:vAlign w:val="center"/>
          </w:tcPr>
          <w:p w:rsidR="00461450" w:rsidRPr="00B244C9" w:rsidRDefault="00461450" w:rsidP="00B244C9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Descripción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Pr="002929A1" w:rsidRDefault="00461450" w:rsidP="00B244C9">
            <w:pPr>
              <w:pStyle w:val="tabla"/>
              <w:keepNext/>
              <w:rPr>
                <w:b/>
              </w:rPr>
            </w:pPr>
            <w:proofErr w:type="spellStart"/>
            <w:r w:rsidRPr="002929A1">
              <w:rPr>
                <w:b/>
              </w:rPr>
              <w:t>Cod_litof</w:t>
            </w:r>
            <w:proofErr w:type="spellEnd"/>
          </w:p>
        </w:tc>
        <w:tc>
          <w:tcPr>
            <w:tcW w:w="1134" w:type="dxa"/>
            <w:vAlign w:val="center"/>
          </w:tcPr>
          <w:p w:rsidR="00461450" w:rsidRPr="00DC2736" w:rsidRDefault="00461450" w:rsidP="00B244C9">
            <w:pPr>
              <w:pStyle w:val="tabla"/>
              <w:keepNext/>
              <w:rPr>
                <w:lang w:val="pt-BR"/>
              </w:rPr>
            </w:pPr>
            <w:r w:rsidRPr="00461450">
              <w:rPr>
                <w:lang w:val="pt-BR"/>
              </w:rPr>
              <w:t>Texto corto</w:t>
            </w:r>
          </w:p>
        </w:tc>
        <w:tc>
          <w:tcPr>
            <w:tcW w:w="5947" w:type="dxa"/>
            <w:vAlign w:val="center"/>
          </w:tcPr>
          <w:p w:rsidR="00461450" w:rsidRPr="00BE31FE" w:rsidRDefault="00BE31FE" w:rsidP="00B244C9">
            <w:pPr>
              <w:pStyle w:val="tabla"/>
              <w:keepNext/>
              <w:rPr>
                <w:lang w:val="es-ES_tradnl"/>
              </w:rPr>
            </w:pPr>
            <w:r>
              <w:t xml:space="preserve">Referencia numérica que se ha asignado a cada litofacies. Esta referencia está compuesta por el identificador que cada litofacies tenía en la </w:t>
            </w:r>
            <w:r>
              <w:rPr>
                <w:lang w:val="es-ES_tradnl"/>
              </w:rPr>
              <w:t xml:space="preserve">cartografía digital original del MAGNA, </w:t>
            </w:r>
            <w:r>
              <w:t xml:space="preserve">al que se le ha añadido </w:t>
            </w:r>
            <w:r>
              <w:rPr>
                <w:lang w:val="es-ES_tradnl"/>
              </w:rPr>
              <w:t xml:space="preserve">el número de la hoja 1:50.000 en la que se encuentra, separado mediante un </w:t>
            </w:r>
            <w:proofErr w:type="spellStart"/>
            <w:r>
              <w:rPr>
                <w:lang w:val="es-ES_tradnl"/>
              </w:rPr>
              <w:t>guión</w:t>
            </w:r>
            <w:proofErr w:type="spellEnd"/>
            <w:r>
              <w:rPr>
                <w:lang w:val="es-ES_tradnl"/>
              </w:rPr>
              <w:t xml:space="preserve"> bajo.</w:t>
            </w:r>
            <w:r w:rsidR="00461450" w:rsidRPr="00DC2736">
              <w:t xml:space="preserve"> 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Default="00461450" w:rsidP="00B244C9">
            <w:pPr>
              <w:pStyle w:val="tabla"/>
            </w:pPr>
            <w:proofErr w:type="spellStart"/>
            <w:r>
              <w:t>N_Mapa</w:t>
            </w:r>
            <w:proofErr w:type="spellEnd"/>
          </w:p>
        </w:tc>
        <w:tc>
          <w:tcPr>
            <w:tcW w:w="1134" w:type="dxa"/>
            <w:vAlign w:val="center"/>
          </w:tcPr>
          <w:p w:rsidR="00461450" w:rsidRDefault="00461450" w:rsidP="00B244C9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>
              <w:t xml:space="preserve">Número de la hoja </w:t>
            </w:r>
            <w:r>
              <w:rPr>
                <w:lang w:val="es-ES_tradnl"/>
              </w:rPr>
              <w:t>1:50.000 en la que aparece la litofacies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Default="00461450" w:rsidP="00B244C9">
            <w:pPr>
              <w:pStyle w:val="tabla"/>
            </w:pPr>
            <w:r>
              <w:t>Litofacies</w:t>
            </w:r>
          </w:p>
        </w:tc>
        <w:tc>
          <w:tcPr>
            <w:tcW w:w="1134" w:type="dxa"/>
            <w:vAlign w:val="center"/>
          </w:tcPr>
          <w:p w:rsidR="00461450" w:rsidRDefault="00461450" w:rsidP="00B244C9">
            <w:pPr>
              <w:pStyle w:val="tabla"/>
            </w:pPr>
            <w:r w:rsidRPr="00461450">
              <w:t>Texto corto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>
              <w:t>Denominación corregida de la litofacies después de la revisión de los datos originales del MAGNA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Default="00461450" w:rsidP="00B244C9">
            <w:pPr>
              <w:pStyle w:val="tabla"/>
            </w:pPr>
            <w:r>
              <w:t>Origen</w:t>
            </w:r>
          </w:p>
        </w:tc>
        <w:tc>
          <w:tcPr>
            <w:tcW w:w="1134" w:type="dxa"/>
            <w:vAlign w:val="center"/>
          </w:tcPr>
          <w:p w:rsidR="00461450" w:rsidRDefault="00461450" w:rsidP="00B244C9">
            <w:pPr>
              <w:pStyle w:val="tabla"/>
            </w:pPr>
            <w:r w:rsidRPr="00461450">
              <w:t>Texto corto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>
              <w:t xml:space="preserve">Periodo geológico en el que se ha formado la roca. Información añadida </w:t>
            </w:r>
            <w:r>
              <w:rPr>
                <w:lang w:val="es-ES_tradnl"/>
              </w:rPr>
              <w:t>a partir de la leyenda de la cartografía MAGNA disponible en formato convencional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Default="00461450" w:rsidP="00B244C9">
            <w:pPr>
              <w:pStyle w:val="tabla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:rsidR="00461450" w:rsidRDefault="00461450" w:rsidP="00B244C9">
            <w:pPr>
              <w:pStyle w:val="tabla"/>
            </w:pPr>
            <w:r w:rsidRPr="00461450">
              <w:t>Texto corto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>
              <w:t xml:space="preserve">Código que incorpora el </w:t>
            </w:r>
            <w:proofErr w:type="spellStart"/>
            <w:r>
              <w:t>IGME</w:t>
            </w:r>
            <w:proofErr w:type="spellEnd"/>
            <w:r>
              <w:t xml:space="preserve"> para cada litofacies. Información añadida </w:t>
            </w:r>
            <w:r>
              <w:rPr>
                <w:lang w:val="es-ES_tradnl"/>
              </w:rPr>
              <w:t xml:space="preserve">a partir de la leyenda de la cartografía MAGNA disponible en formato convencional. </w:t>
            </w:r>
            <w:r>
              <w:t>Para poder escribir estos códigos se han utilizado los símbolos según se explica en la</w:t>
            </w:r>
            <w:r w:rsidR="00B244C9">
              <w:t xml:space="preserve"> Tabla 2 del documento “Suelos forestales de la provincia de Huelva”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Default="00461450" w:rsidP="00B244C9">
            <w:pPr>
              <w:pStyle w:val="tabla"/>
            </w:pPr>
            <w:r>
              <w:t>Observaciones</w:t>
            </w:r>
          </w:p>
        </w:tc>
        <w:tc>
          <w:tcPr>
            <w:tcW w:w="1134" w:type="dxa"/>
            <w:vAlign w:val="center"/>
          </w:tcPr>
          <w:p w:rsidR="00461450" w:rsidRDefault="00461450" w:rsidP="00B244C9">
            <w:pPr>
              <w:pStyle w:val="tabla"/>
            </w:pPr>
            <w:r w:rsidRPr="00461450">
              <w:t>Texto corto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>
              <w:t xml:space="preserve">Información adicional recogida de </w:t>
            </w:r>
            <w:r>
              <w:rPr>
                <w:lang w:val="es-ES_tradnl"/>
              </w:rPr>
              <w:t xml:space="preserve">la cartografía MAGNA disponible en formato convencional (formación a la que pertenece la litofacies, dominio, complejo, unidad, </w:t>
            </w:r>
            <w:proofErr w:type="spellStart"/>
            <w:r>
              <w:rPr>
                <w:lang w:val="es-ES_tradnl"/>
              </w:rPr>
              <w:t>etc</w:t>
            </w:r>
            <w:proofErr w:type="spellEnd"/>
            <w:r>
              <w:rPr>
                <w:lang w:val="es-ES_tradnl"/>
              </w:rPr>
              <w:t>). También se especifica cuando se trata de una sobrecarga (SC), indicándose en este campo el nombre de la litofacies que sirve de base a la sobrecarga.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Default="00461450" w:rsidP="00B244C9">
            <w:pPr>
              <w:pStyle w:val="tabla"/>
            </w:pPr>
            <w:r>
              <w:t>LtS</w:t>
            </w:r>
          </w:p>
        </w:tc>
        <w:tc>
          <w:tcPr>
            <w:tcW w:w="1134" w:type="dxa"/>
            <w:vAlign w:val="center"/>
          </w:tcPr>
          <w:p w:rsidR="00461450" w:rsidRDefault="00461450" w:rsidP="00B244C9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>
              <w:t xml:space="preserve">Litofacies simplificada a la que se asigna la litofacies. </w:t>
            </w:r>
          </w:p>
        </w:tc>
      </w:tr>
      <w:tr w:rsidR="00461450" w:rsidTr="00B244C9">
        <w:trPr>
          <w:cantSplit/>
          <w:jc w:val="center"/>
        </w:trPr>
        <w:tc>
          <w:tcPr>
            <w:tcW w:w="1413" w:type="dxa"/>
            <w:vAlign w:val="center"/>
          </w:tcPr>
          <w:p w:rsidR="00461450" w:rsidRPr="0049462E" w:rsidRDefault="00461450" w:rsidP="00B244C9">
            <w:pPr>
              <w:pStyle w:val="tabla"/>
            </w:pPr>
            <w:proofErr w:type="spellStart"/>
            <w:r w:rsidRPr="0049462E">
              <w:t>Tipo_coinciden</w:t>
            </w:r>
            <w:proofErr w:type="spellEnd"/>
          </w:p>
        </w:tc>
        <w:tc>
          <w:tcPr>
            <w:tcW w:w="1134" w:type="dxa"/>
            <w:vAlign w:val="center"/>
          </w:tcPr>
          <w:p w:rsidR="00461450" w:rsidRPr="0049462E" w:rsidRDefault="00461450" w:rsidP="00B244C9">
            <w:pPr>
              <w:pStyle w:val="tabla"/>
            </w:pPr>
            <w:r w:rsidRPr="00461450">
              <w:t>Texto corto</w:t>
            </w:r>
          </w:p>
        </w:tc>
        <w:tc>
          <w:tcPr>
            <w:tcW w:w="5947" w:type="dxa"/>
            <w:vAlign w:val="center"/>
          </w:tcPr>
          <w:p w:rsidR="00461450" w:rsidRDefault="00461450" w:rsidP="00B244C9">
            <w:pPr>
              <w:pStyle w:val="tabla"/>
            </w:pPr>
            <w:r w:rsidRPr="0049462E">
              <w:t>Grado de coincidencia con la litofacies simplificada a la que se le asigna (ver</w:t>
            </w:r>
            <w:r w:rsidR="00B244C9">
              <w:t xml:space="preserve"> Tabla 4 del documento “Suelos forestales de la provincia de Huelva”</w:t>
            </w:r>
            <w:r w:rsidRPr="0049462E">
              <w:t>)</w:t>
            </w:r>
          </w:p>
        </w:tc>
      </w:tr>
    </w:tbl>
    <w:p w:rsidR="00461450" w:rsidRDefault="00461450" w:rsidP="00461450"/>
    <w:p w:rsidR="005A3874" w:rsidRDefault="005A3874" w:rsidP="00A56B06">
      <w:pPr>
        <w:pStyle w:val="Ttulo2"/>
      </w:pPr>
      <w:bookmarkStart w:id="7" w:name="_Toc331150544"/>
      <w:r>
        <w:t>Cartografía de unidades de suelo: “</w:t>
      </w:r>
      <w:proofErr w:type="spellStart"/>
      <w:r>
        <w:t>UddesCartog</w:t>
      </w:r>
      <w:proofErr w:type="spellEnd"/>
      <w:r>
        <w:t>”</w:t>
      </w:r>
      <w:bookmarkEnd w:id="7"/>
    </w:p>
    <w:p w:rsidR="005A3874" w:rsidRPr="00DE489C" w:rsidRDefault="005A3874" w:rsidP="005A3874">
      <w:pPr>
        <w:pStyle w:val="basico"/>
      </w:pPr>
      <w:r>
        <w:t xml:space="preserve">Los recintos a los que se asignan características edafológicas, que hemos denominado unidades cartográficas de suelo, quedan definidos por la superposición de los mapas de litofacies simplificadas (LtS), de tipos simplificados de relieve </w:t>
      </w:r>
      <w:r w:rsidRPr="0073716B">
        <w:t>(</w:t>
      </w:r>
      <w:proofErr w:type="spellStart"/>
      <w:r w:rsidR="0073716B" w:rsidRPr="0073716B">
        <w:t>RelieveMod_simpl</w:t>
      </w:r>
      <w:proofErr w:type="spellEnd"/>
      <w:r w:rsidRPr="0073716B">
        <w:t>) y</w:t>
      </w:r>
      <w:r>
        <w:t xml:space="preserve"> de los tipos termopluviométricos </w:t>
      </w:r>
      <w:r w:rsidRPr="00DE489C">
        <w:t>(</w:t>
      </w:r>
      <w:proofErr w:type="spellStart"/>
      <w:r w:rsidR="00F149D7">
        <w:t>CAT_t</w:t>
      </w:r>
      <w:r w:rsidR="00F149D7" w:rsidRPr="001310D2">
        <w:t>em</w:t>
      </w:r>
      <w:r w:rsidR="00F149D7">
        <w:t>_p</w:t>
      </w:r>
      <w:r w:rsidR="00F149D7" w:rsidRPr="001310D2">
        <w:t>rec</w:t>
      </w:r>
      <w:proofErr w:type="spellEnd"/>
      <w:r w:rsidRPr="00DE489C">
        <w:t>).</w:t>
      </w:r>
    </w:p>
    <w:p w:rsidR="001310D2" w:rsidRDefault="001310D2" w:rsidP="001310D2">
      <w:pPr>
        <w:pStyle w:val="basico"/>
      </w:pPr>
      <w:r>
        <w:t>Los campos que aparecen son los siguientes: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6"/>
        <w:gridCol w:w="1117"/>
        <w:gridCol w:w="5731"/>
      </w:tblGrid>
      <w:tr w:rsidR="001310D2" w:rsidRPr="00B244C9" w:rsidTr="00B42BAD">
        <w:trPr>
          <w:cantSplit/>
          <w:tblHeader/>
          <w:jc w:val="center"/>
        </w:trPr>
        <w:tc>
          <w:tcPr>
            <w:tcW w:w="1413" w:type="dxa"/>
            <w:vAlign w:val="center"/>
          </w:tcPr>
          <w:p w:rsidR="001310D2" w:rsidRPr="00B244C9" w:rsidRDefault="001310D2" w:rsidP="00B42BAD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Nombre del campo</w:t>
            </w:r>
          </w:p>
        </w:tc>
        <w:tc>
          <w:tcPr>
            <w:tcW w:w="1134" w:type="dxa"/>
            <w:vAlign w:val="center"/>
          </w:tcPr>
          <w:p w:rsidR="001310D2" w:rsidRPr="00B244C9" w:rsidRDefault="001310D2" w:rsidP="00B42BAD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Tipo de datos</w:t>
            </w:r>
          </w:p>
        </w:tc>
        <w:tc>
          <w:tcPr>
            <w:tcW w:w="5947" w:type="dxa"/>
            <w:vAlign w:val="center"/>
          </w:tcPr>
          <w:p w:rsidR="001310D2" w:rsidRPr="00B244C9" w:rsidRDefault="001310D2" w:rsidP="00B42BAD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Descripción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Pr="00B47FD4" w:rsidRDefault="001310D2" w:rsidP="00B42BAD">
            <w:pPr>
              <w:pStyle w:val="tabla"/>
              <w:keepNext/>
              <w:rPr>
                <w:b/>
              </w:rPr>
            </w:pPr>
            <w:proofErr w:type="spellStart"/>
            <w:r w:rsidRPr="00B47FD4">
              <w:rPr>
                <w:b/>
              </w:rPr>
              <w:t>LtS_CliRel</w:t>
            </w:r>
            <w:proofErr w:type="spellEnd"/>
          </w:p>
        </w:tc>
        <w:tc>
          <w:tcPr>
            <w:tcW w:w="1134" w:type="dxa"/>
            <w:vAlign w:val="center"/>
          </w:tcPr>
          <w:p w:rsidR="001310D2" w:rsidRPr="00DC2736" w:rsidRDefault="001310D2" w:rsidP="00B42BAD">
            <w:pPr>
              <w:pStyle w:val="tabla"/>
              <w:keepNext/>
              <w:rPr>
                <w:lang w:val="pt-BR"/>
              </w:rPr>
            </w:pPr>
            <w:r w:rsidRPr="00461450">
              <w:rPr>
                <w:lang w:val="pt-BR"/>
              </w:rPr>
              <w:t>Texto corto</w:t>
            </w:r>
          </w:p>
        </w:tc>
        <w:tc>
          <w:tcPr>
            <w:tcW w:w="5947" w:type="dxa"/>
            <w:vAlign w:val="center"/>
          </w:tcPr>
          <w:p w:rsidR="001310D2" w:rsidRPr="00BE31FE" w:rsidRDefault="00D35411" w:rsidP="00F149D7">
            <w:pPr>
              <w:pStyle w:val="tabla"/>
              <w:keepNext/>
              <w:rPr>
                <w:lang w:val="es-ES_tradnl"/>
              </w:rPr>
            </w:pPr>
            <w:r>
              <w:t>Referencia compuesta por el número de la litofacies simplificada y el código de la combinación del clima y los tipos de relieve (Clima</w:t>
            </w:r>
            <w:r w:rsidR="00F149D7">
              <w:t>_relieve</w:t>
            </w:r>
            <w:r>
              <w:t>)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Default="001310D2" w:rsidP="00F149D7">
            <w:pPr>
              <w:pStyle w:val="tabla"/>
            </w:pPr>
            <w:r w:rsidRPr="001310D2">
              <w:t>Clima</w:t>
            </w:r>
            <w:r w:rsidR="00F149D7">
              <w:t>_relieve</w:t>
            </w:r>
          </w:p>
        </w:tc>
        <w:tc>
          <w:tcPr>
            <w:tcW w:w="1134" w:type="dxa"/>
            <w:vAlign w:val="center"/>
          </w:tcPr>
          <w:p w:rsidR="001310D2" w:rsidRDefault="001310D2" w:rsidP="00B42BAD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1310D2" w:rsidRDefault="00D35411" w:rsidP="00B42BAD">
            <w:pPr>
              <w:pStyle w:val="tabla"/>
            </w:pPr>
            <w:r>
              <w:t>Variable combinada de los tipos de relieve y los tipos termopluviométricos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Default="0073716B" w:rsidP="00B42BAD">
            <w:pPr>
              <w:pStyle w:val="tabla"/>
            </w:pPr>
            <w:proofErr w:type="spellStart"/>
            <w:r w:rsidRPr="0073716B">
              <w:t>RelieveMod_simpl</w:t>
            </w:r>
            <w:proofErr w:type="spellEnd"/>
          </w:p>
        </w:tc>
        <w:tc>
          <w:tcPr>
            <w:tcW w:w="1134" w:type="dxa"/>
            <w:vAlign w:val="center"/>
          </w:tcPr>
          <w:p w:rsidR="001310D2" w:rsidRDefault="00D35411" w:rsidP="00B42BAD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1310D2" w:rsidRDefault="00023AF1" w:rsidP="00023AF1">
            <w:pPr>
              <w:pStyle w:val="tabla"/>
            </w:pPr>
            <w:r>
              <w:t>Variable de síntesis del relieve, que lo clasifica como accidentado (3) o suave (2)</w:t>
            </w:r>
            <w:r w:rsidR="00D35411">
              <w:t>. El valor 0 corresponde a zonas mineras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Default="001310D2" w:rsidP="00B42BAD">
            <w:pPr>
              <w:pStyle w:val="tabla"/>
            </w:pPr>
            <w:r w:rsidRPr="001310D2">
              <w:t>LtS</w:t>
            </w:r>
          </w:p>
        </w:tc>
        <w:tc>
          <w:tcPr>
            <w:tcW w:w="1134" w:type="dxa"/>
            <w:vAlign w:val="center"/>
          </w:tcPr>
          <w:p w:rsidR="001310D2" w:rsidRDefault="00D35411" w:rsidP="00B42BAD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1310D2" w:rsidRDefault="00023AF1" w:rsidP="00B42BAD">
            <w:pPr>
              <w:pStyle w:val="tabla"/>
            </w:pPr>
            <w:r>
              <w:t>Litofacies simplificada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Default="00F149D7" w:rsidP="00F149D7">
            <w:pPr>
              <w:pStyle w:val="tabla"/>
            </w:pPr>
            <w:proofErr w:type="spellStart"/>
            <w:r>
              <w:t>CAT_t</w:t>
            </w:r>
            <w:r w:rsidR="001310D2" w:rsidRPr="001310D2">
              <w:t>em</w:t>
            </w:r>
            <w:r>
              <w:t>_p</w:t>
            </w:r>
            <w:r w:rsidR="001310D2" w:rsidRPr="001310D2">
              <w:t>rec</w:t>
            </w:r>
            <w:proofErr w:type="spellEnd"/>
          </w:p>
        </w:tc>
        <w:tc>
          <w:tcPr>
            <w:tcW w:w="1134" w:type="dxa"/>
            <w:vAlign w:val="center"/>
          </w:tcPr>
          <w:p w:rsidR="001310D2" w:rsidRDefault="00D35411" w:rsidP="00B42BAD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1310D2" w:rsidRDefault="00D35411" w:rsidP="00B42BAD">
            <w:pPr>
              <w:pStyle w:val="tabla"/>
            </w:pPr>
            <w:r>
              <w:t>C</w:t>
            </w:r>
            <w:r w:rsidRPr="00D6004F">
              <w:t xml:space="preserve">ategoría </w:t>
            </w:r>
            <w:r>
              <w:t>resultante</w:t>
            </w:r>
            <w:r w:rsidRPr="00D6004F">
              <w:t xml:space="preserve"> de sumar los posibles casos de temperatura y precipitación</w:t>
            </w:r>
            <w:r w:rsidR="003E3C5D">
              <w:t xml:space="preserve"> (ver Anejo 1)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Default="003E3C5D" w:rsidP="003E3C5D">
            <w:pPr>
              <w:pStyle w:val="tabla"/>
            </w:pPr>
            <w:r>
              <w:lastRenderedPageBreak/>
              <w:t>CAT_Precip</w:t>
            </w:r>
          </w:p>
        </w:tc>
        <w:tc>
          <w:tcPr>
            <w:tcW w:w="1134" w:type="dxa"/>
            <w:vAlign w:val="center"/>
          </w:tcPr>
          <w:p w:rsidR="001310D2" w:rsidRDefault="00D35411" w:rsidP="00B42BAD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1310D2" w:rsidRDefault="00D35411" w:rsidP="00B42BAD">
            <w:pPr>
              <w:pStyle w:val="tabla"/>
            </w:pPr>
            <w:r>
              <w:t>Categorías de precipitación</w:t>
            </w:r>
            <w:r w:rsidR="003E3C5D">
              <w:t xml:space="preserve"> (ver Anejo 1)</w:t>
            </w:r>
          </w:p>
        </w:tc>
      </w:tr>
      <w:tr w:rsidR="001310D2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1310D2" w:rsidRDefault="003E3C5D" w:rsidP="003E3C5D">
            <w:pPr>
              <w:pStyle w:val="tabla"/>
            </w:pPr>
            <w:r>
              <w:t>CAT</w:t>
            </w:r>
            <w:r w:rsidR="001310D2" w:rsidRPr="001310D2">
              <w:t>_</w:t>
            </w:r>
            <w:r>
              <w:t>T</w:t>
            </w:r>
            <w:r w:rsidR="001310D2" w:rsidRPr="001310D2">
              <w:t>emp</w:t>
            </w:r>
          </w:p>
        </w:tc>
        <w:tc>
          <w:tcPr>
            <w:tcW w:w="1134" w:type="dxa"/>
            <w:vAlign w:val="center"/>
          </w:tcPr>
          <w:p w:rsidR="001310D2" w:rsidRDefault="001310D2" w:rsidP="00B42BAD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1310D2" w:rsidRDefault="00D35411" w:rsidP="00B42BAD">
            <w:pPr>
              <w:pStyle w:val="tabla"/>
            </w:pPr>
            <w:r>
              <w:t>Categorías de temperatura</w:t>
            </w:r>
            <w:r w:rsidR="003E3C5D">
              <w:t xml:space="preserve"> (ver Anejo 1)</w:t>
            </w:r>
          </w:p>
        </w:tc>
      </w:tr>
    </w:tbl>
    <w:p w:rsidR="001310D2" w:rsidRDefault="001310D2" w:rsidP="005A3874">
      <w:pPr>
        <w:pStyle w:val="basico"/>
      </w:pPr>
    </w:p>
    <w:p w:rsidR="005A3874" w:rsidRDefault="005A3874" w:rsidP="00A56B06">
      <w:pPr>
        <w:pStyle w:val="Ttulo2"/>
      </w:pPr>
      <w:bookmarkStart w:id="8" w:name="_Toc331150545"/>
      <w:r>
        <w:t>Cartografía de puntos de muestreo: “</w:t>
      </w:r>
      <w:proofErr w:type="spellStart"/>
      <w:r>
        <w:t>PtosMuestreo</w:t>
      </w:r>
      <w:proofErr w:type="spellEnd"/>
      <w:r>
        <w:t>”</w:t>
      </w:r>
      <w:bookmarkEnd w:id="8"/>
    </w:p>
    <w:p w:rsidR="005A3874" w:rsidRDefault="005A3874" w:rsidP="005A3874">
      <w:pPr>
        <w:pStyle w:val="basico"/>
      </w:pPr>
      <w:r>
        <w:t>Se trata de la representación de los 368 puntos de muestreo utilizados para la realización del ajuste estadístico de las propiedades de los suelos en toda la provincia de Huelva.</w:t>
      </w:r>
    </w:p>
    <w:p w:rsidR="005A3874" w:rsidRDefault="005A3874" w:rsidP="005A3874">
      <w:pPr>
        <w:pStyle w:val="basico"/>
      </w:pPr>
      <w:r>
        <w:t xml:space="preserve">La tabla asociada contiene los siguientes </w:t>
      </w:r>
      <w:r w:rsidR="003E3C5D">
        <w:t>campos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8"/>
        <w:gridCol w:w="1123"/>
        <w:gridCol w:w="5803"/>
      </w:tblGrid>
      <w:tr w:rsidR="003E3C5D" w:rsidRPr="00B244C9" w:rsidTr="00B42BAD">
        <w:trPr>
          <w:cantSplit/>
          <w:tblHeader/>
          <w:jc w:val="center"/>
        </w:trPr>
        <w:tc>
          <w:tcPr>
            <w:tcW w:w="1413" w:type="dxa"/>
            <w:vAlign w:val="center"/>
          </w:tcPr>
          <w:p w:rsidR="003E3C5D" w:rsidRPr="00B244C9" w:rsidRDefault="003E3C5D" w:rsidP="00B42BAD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Nombre del campo</w:t>
            </w:r>
          </w:p>
        </w:tc>
        <w:tc>
          <w:tcPr>
            <w:tcW w:w="1134" w:type="dxa"/>
            <w:vAlign w:val="center"/>
          </w:tcPr>
          <w:p w:rsidR="003E3C5D" w:rsidRPr="00B244C9" w:rsidRDefault="003E3C5D" w:rsidP="00B42BAD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Tipo de datos</w:t>
            </w:r>
          </w:p>
        </w:tc>
        <w:tc>
          <w:tcPr>
            <w:tcW w:w="5947" w:type="dxa"/>
            <w:vAlign w:val="center"/>
          </w:tcPr>
          <w:p w:rsidR="003E3C5D" w:rsidRPr="00B244C9" w:rsidRDefault="003E3C5D" w:rsidP="00B42BAD">
            <w:pPr>
              <w:pStyle w:val="tabla"/>
              <w:keepNext/>
              <w:jc w:val="center"/>
              <w:rPr>
                <w:b/>
              </w:rPr>
            </w:pPr>
            <w:r w:rsidRPr="00B244C9">
              <w:rPr>
                <w:b/>
              </w:rPr>
              <w:t>Descripción</w:t>
            </w:r>
          </w:p>
        </w:tc>
      </w:tr>
      <w:tr w:rsidR="003E3C5D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3E3C5D" w:rsidRPr="00B71223" w:rsidRDefault="0078368D" w:rsidP="00B42BAD">
            <w:pPr>
              <w:pStyle w:val="tabla"/>
              <w:keepNext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3E3C5D" w:rsidRPr="00B71223">
              <w:rPr>
                <w:b/>
              </w:rPr>
              <w:t>_observac</w:t>
            </w:r>
            <w:r w:rsidR="00EF43D3" w:rsidRPr="00B71223">
              <w:rPr>
                <w:b/>
              </w:rPr>
              <w:t>ion</w:t>
            </w:r>
            <w:proofErr w:type="spellEnd"/>
          </w:p>
        </w:tc>
        <w:tc>
          <w:tcPr>
            <w:tcW w:w="1134" w:type="dxa"/>
            <w:vAlign w:val="center"/>
          </w:tcPr>
          <w:p w:rsidR="003E3C5D" w:rsidRPr="00DC2736" w:rsidRDefault="003E3C5D" w:rsidP="00B42BAD">
            <w:pPr>
              <w:pStyle w:val="tabla"/>
              <w:keepNext/>
              <w:rPr>
                <w:lang w:val="pt-BR"/>
              </w:rPr>
            </w:pPr>
            <w:r w:rsidRPr="00461450">
              <w:rPr>
                <w:lang w:val="pt-BR"/>
              </w:rPr>
              <w:t>Texto corto</w:t>
            </w:r>
          </w:p>
        </w:tc>
        <w:tc>
          <w:tcPr>
            <w:tcW w:w="5947" w:type="dxa"/>
            <w:vAlign w:val="center"/>
          </w:tcPr>
          <w:p w:rsidR="003E3C5D" w:rsidRPr="00BE31FE" w:rsidRDefault="00EF43D3" w:rsidP="00B42BAD">
            <w:pPr>
              <w:pStyle w:val="tabla"/>
              <w:keepNext/>
              <w:rPr>
                <w:lang w:val="es-ES_tradnl"/>
              </w:rPr>
            </w:pPr>
            <w:r>
              <w:t xml:space="preserve">Código que identifica el punto de muestreo. Generalmente consiste en el número de </w:t>
            </w:r>
            <w:smartTag w:uri="urn:schemas-microsoft-com:office:smarttags" w:element="PersonName">
              <w:smartTagPr>
                <w:attr w:name="ProductID" w:val="la Hoja"/>
              </w:smartTagPr>
              <w:r>
                <w:t>la Hoja</w:t>
              </w:r>
            </w:smartTag>
            <w:r>
              <w:t xml:space="preserve"> del MTN 1:50.000 seguido de un número correlativo. En otras ocasiones (muestreos realizados en otros Proyectos) el número completo corresponde al código de parcela de inventario forestal (</w:t>
            </w:r>
            <w:proofErr w:type="spellStart"/>
            <w:r>
              <w:t>IFC</w:t>
            </w:r>
            <w:proofErr w:type="spellEnd"/>
            <w:r>
              <w:t xml:space="preserve"> del Grupo ENCE en general).</w:t>
            </w:r>
          </w:p>
        </w:tc>
      </w:tr>
      <w:tr w:rsidR="003E3C5D" w:rsidRPr="00B42BAD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3E3C5D" w:rsidRPr="00B42BAD" w:rsidRDefault="003E3C5D" w:rsidP="00B42BAD">
            <w:pPr>
              <w:pStyle w:val="tabla"/>
            </w:pPr>
            <w:r w:rsidRPr="00B42BAD">
              <w:t>LtS</w:t>
            </w:r>
          </w:p>
        </w:tc>
        <w:tc>
          <w:tcPr>
            <w:tcW w:w="1134" w:type="dxa"/>
            <w:vAlign w:val="center"/>
          </w:tcPr>
          <w:p w:rsidR="003E3C5D" w:rsidRPr="00B42BAD" w:rsidRDefault="003E3C5D" w:rsidP="00B42BAD">
            <w:pPr>
              <w:pStyle w:val="tabla"/>
            </w:pPr>
            <w:r w:rsidRPr="00B42BAD">
              <w:t>Número</w:t>
            </w:r>
          </w:p>
        </w:tc>
        <w:tc>
          <w:tcPr>
            <w:tcW w:w="5947" w:type="dxa"/>
            <w:vAlign w:val="center"/>
          </w:tcPr>
          <w:p w:rsidR="003E3C5D" w:rsidRPr="00B42BAD" w:rsidRDefault="00EF43D3" w:rsidP="00EF43D3">
            <w:pPr>
              <w:pStyle w:val="tabla"/>
            </w:pPr>
            <w:r w:rsidRPr="00B42BAD">
              <w:t>Litofacies simplificada en que se localiza el punto de muestreo</w:t>
            </w:r>
          </w:p>
        </w:tc>
      </w:tr>
      <w:tr w:rsidR="00EF43D3" w:rsidRPr="00EF43D3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EF43D3" w:rsidRPr="00B42BAD" w:rsidRDefault="00EF43D3" w:rsidP="00EF43D3">
            <w:pPr>
              <w:pStyle w:val="tabla"/>
            </w:pPr>
            <w:r w:rsidRPr="00B42BAD">
              <w:t>GL</w:t>
            </w:r>
          </w:p>
        </w:tc>
        <w:tc>
          <w:tcPr>
            <w:tcW w:w="1134" w:type="dxa"/>
            <w:vAlign w:val="center"/>
          </w:tcPr>
          <w:p w:rsidR="00EF43D3" w:rsidRPr="00B42BAD" w:rsidRDefault="00EF43D3" w:rsidP="00EF43D3">
            <w:pPr>
              <w:pStyle w:val="tabla"/>
            </w:pPr>
            <w:r w:rsidRPr="00B42BAD">
              <w:t>Número</w:t>
            </w:r>
          </w:p>
        </w:tc>
        <w:tc>
          <w:tcPr>
            <w:tcW w:w="5947" w:type="dxa"/>
            <w:vAlign w:val="center"/>
          </w:tcPr>
          <w:p w:rsidR="00EF43D3" w:rsidRPr="00645ED9" w:rsidRDefault="00EF43D3" w:rsidP="00B42BAD">
            <w:pPr>
              <w:pStyle w:val="tabla"/>
            </w:pPr>
            <w:r w:rsidRPr="00B42BAD">
              <w:t>Grupo litoedáfico en que se localiza el punto de muestreo</w:t>
            </w:r>
            <w:r w:rsidR="00B42BAD">
              <w:t>.</w:t>
            </w:r>
            <w:r w:rsidR="00B42BAD" w:rsidRPr="00B42BAD">
              <w:t xml:space="preserve"> </w:t>
            </w:r>
            <w:r w:rsidR="00805C5B">
              <w:t>Coincide con el campo “GL” de la tabla 15_GL_descripcion, que sirve de conexión para conocer las características de cada GL</w:t>
            </w:r>
          </w:p>
        </w:tc>
      </w:tr>
      <w:tr w:rsidR="00EF43D3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EF43D3" w:rsidRDefault="00EF43D3" w:rsidP="00EF43D3">
            <w:pPr>
              <w:pStyle w:val="tabla"/>
            </w:pPr>
            <w:r w:rsidRPr="003E3C5D">
              <w:t>X_ED50_H29</w:t>
            </w:r>
          </w:p>
        </w:tc>
        <w:tc>
          <w:tcPr>
            <w:tcW w:w="1134" w:type="dxa"/>
            <w:vAlign w:val="center"/>
          </w:tcPr>
          <w:p w:rsidR="00EF43D3" w:rsidRDefault="00EF43D3" w:rsidP="00EF43D3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EF43D3" w:rsidRDefault="00EF43D3" w:rsidP="00EF43D3">
            <w:pPr>
              <w:pStyle w:val="tabla"/>
            </w:pPr>
            <w:r>
              <w:t xml:space="preserve">Coordenadas </w:t>
            </w:r>
            <w:proofErr w:type="spellStart"/>
            <w:r>
              <w:t>UTM</w:t>
            </w:r>
            <w:proofErr w:type="spellEnd"/>
            <w:r>
              <w:t xml:space="preserve"> del punto en </w:t>
            </w: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Datum</w:t>
            </w:r>
            <w:proofErr w:type="spellEnd"/>
            <w:r>
              <w:t xml:space="preserve"> 1950, huso 29</w:t>
            </w:r>
          </w:p>
        </w:tc>
      </w:tr>
      <w:tr w:rsidR="00EF43D3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EF43D3" w:rsidRDefault="00EF43D3" w:rsidP="00EF43D3">
            <w:pPr>
              <w:pStyle w:val="tabla"/>
            </w:pPr>
            <w:r w:rsidRPr="003E3C5D">
              <w:t>Y_ED50_H29</w:t>
            </w:r>
          </w:p>
        </w:tc>
        <w:tc>
          <w:tcPr>
            <w:tcW w:w="1134" w:type="dxa"/>
            <w:vAlign w:val="center"/>
          </w:tcPr>
          <w:p w:rsidR="00EF43D3" w:rsidRDefault="00EF43D3" w:rsidP="00EF43D3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EF43D3" w:rsidRDefault="00EF43D3" w:rsidP="00EF43D3">
            <w:pPr>
              <w:pStyle w:val="tabla"/>
            </w:pPr>
            <w:r>
              <w:t xml:space="preserve">Coordenadas </w:t>
            </w:r>
            <w:proofErr w:type="spellStart"/>
            <w:r>
              <w:t>UTM</w:t>
            </w:r>
            <w:proofErr w:type="spellEnd"/>
            <w:r>
              <w:t xml:space="preserve"> del punto en </w:t>
            </w: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Datum</w:t>
            </w:r>
            <w:proofErr w:type="spellEnd"/>
            <w:r>
              <w:t xml:space="preserve"> 1950, huso 29</w:t>
            </w:r>
          </w:p>
        </w:tc>
      </w:tr>
      <w:tr w:rsidR="00EF43D3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EF43D3" w:rsidRDefault="00EF43D3" w:rsidP="00EF43D3">
            <w:pPr>
              <w:pStyle w:val="tabla"/>
            </w:pPr>
            <w:r w:rsidRPr="003E3C5D">
              <w:t>X_ETRS89_H29</w:t>
            </w:r>
          </w:p>
        </w:tc>
        <w:tc>
          <w:tcPr>
            <w:tcW w:w="1134" w:type="dxa"/>
            <w:vAlign w:val="center"/>
          </w:tcPr>
          <w:p w:rsidR="00EF43D3" w:rsidRDefault="00EF43D3" w:rsidP="00EF43D3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EF43D3" w:rsidRDefault="00EF43D3" w:rsidP="00EF43D3">
            <w:pPr>
              <w:pStyle w:val="tabla"/>
            </w:pPr>
            <w:r w:rsidRPr="00EF43D3">
              <w:t xml:space="preserve">Coordenadas </w:t>
            </w:r>
            <w:proofErr w:type="spellStart"/>
            <w:r w:rsidRPr="00EF43D3">
              <w:t>UTM</w:t>
            </w:r>
            <w:proofErr w:type="spellEnd"/>
            <w:r w:rsidRPr="00EF43D3">
              <w:t xml:space="preserve"> del punto en </w:t>
            </w:r>
            <w:proofErr w:type="spellStart"/>
            <w:r w:rsidRPr="00EF43D3">
              <w:t>ETRS</w:t>
            </w:r>
            <w:proofErr w:type="spellEnd"/>
            <w:r w:rsidRPr="00EF43D3">
              <w:t xml:space="preserve"> 89, huso 29</w:t>
            </w:r>
          </w:p>
        </w:tc>
      </w:tr>
      <w:tr w:rsidR="00EF43D3" w:rsidTr="00B42BAD">
        <w:trPr>
          <w:cantSplit/>
          <w:jc w:val="center"/>
        </w:trPr>
        <w:tc>
          <w:tcPr>
            <w:tcW w:w="1413" w:type="dxa"/>
            <w:vAlign w:val="center"/>
          </w:tcPr>
          <w:p w:rsidR="00EF43D3" w:rsidRPr="003E3C5D" w:rsidRDefault="00EF43D3" w:rsidP="00EF43D3">
            <w:pPr>
              <w:pStyle w:val="tabla"/>
            </w:pPr>
            <w:r w:rsidRPr="003E3C5D">
              <w:t>Y_ETRS89_H29</w:t>
            </w:r>
          </w:p>
        </w:tc>
        <w:tc>
          <w:tcPr>
            <w:tcW w:w="1134" w:type="dxa"/>
            <w:vAlign w:val="center"/>
          </w:tcPr>
          <w:p w:rsidR="00EF43D3" w:rsidRPr="00461450" w:rsidRDefault="00EF43D3" w:rsidP="00EF43D3">
            <w:pPr>
              <w:pStyle w:val="tabla"/>
            </w:pPr>
            <w:r w:rsidRPr="00461450">
              <w:t>Número</w:t>
            </w:r>
          </w:p>
        </w:tc>
        <w:tc>
          <w:tcPr>
            <w:tcW w:w="5947" w:type="dxa"/>
            <w:vAlign w:val="center"/>
          </w:tcPr>
          <w:p w:rsidR="00EF43D3" w:rsidRDefault="00EF43D3" w:rsidP="00EF43D3">
            <w:pPr>
              <w:pStyle w:val="tabla"/>
            </w:pPr>
            <w:r w:rsidRPr="00EF43D3">
              <w:t xml:space="preserve">Coordenadas </w:t>
            </w:r>
            <w:proofErr w:type="spellStart"/>
            <w:r w:rsidRPr="00EF43D3">
              <w:t>UTM</w:t>
            </w:r>
            <w:proofErr w:type="spellEnd"/>
            <w:r w:rsidRPr="00EF43D3">
              <w:t xml:space="preserve"> del punto en </w:t>
            </w:r>
            <w:proofErr w:type="spellStart"/>
            <w:r w:rsidRPr="00EF43D3">
              <w:t>ETRS</w:t>
            </w:r>
            <w:proofErr w:type="spellEnd"/>
            <w:r w:rsidRPr="00EF43D3">
              <w:t xml:space="preserve"> 89, huso 29</w:t>
            </w:r>
          </w:p>
        </w:tc>
      </w:tr>
    </w:tbl>
    <w:p w:rsidR="003E3C5D" w:rsidRDefault="003E3C5D" w:rsidP="003E3C5D">
      <w:pPr>
        <w:rPr>
          <w:lang w:val="es-ES_tradnl"/>
        </w:rPr>
      </w:pPr>
    </w:p>
    <w:p w:rsidR="005A3874" w:rsidRDefault="005A3874" w:rsidP="00A56B06">
      <w:pPr>
        <w:pStyle w:val="Ttulo1"/>
      </w:pPr>
      <w:bookmarkStart w:id="9" w:name="_Toc178613759"/>
      <w:bookmarkStart w:id="10" w:name="_Toc178613946"/>
      <w:bookmarkStart w:id="11" w:name="_Toc331150546"/>
      <w:r>
        <w:t>Tablas de la geodatabase</w:t>
      </w:r>
      <w:bookmarkEnd w:id="9"/>
      <w:bookmarkEnd w:id="10"/>
      <w:bookmarkEnd w:id="11"/>
    </w:p>
    <w:p w:rsidR="005A3874" w:rsidRDefault="00A56B06" w:rsidP="005A3874">
      <w:pPr>
        <w:pStyle w:val="basico"/>
      </w:pPr>
      <w:r>
        <w:t>O</w:t>
      </w:r>
      <w:r w:rsidR="005A3874">
        <w:t>bjetos del modelo que carecen de componente espacial. Se han creado en el directorio raíz de la geodatabase y se han organizado como se expone a continuación.</w:t>
      </w:r>
    </w:p>
    <w:p w:rsidR="005A3874" w:rsidRDefault="005A3874" w:rsidP="00A56B06">
      <w:pPr>
        <w:pStyle w:val="Ttulo2"/>
      </w:pPr>
      <w:bookmarkStart w:id="12" w:name="_Toc331150547"/>
      <w:r>
        <w:t>Campo</w:t>
      </w:r>
      <w:bookmarkEnd w:id="12"/>
      <w:r w:rsidR="00896692">
        <w:t xml:space="preserve"> – puntos de muestreo</w:t>
      </w:r>
    </w:p>
    <w:p w:rsidR="005A3874" w:rsidRPr="003256F1" w:rsidRDefault="005A3874" w:rsidP="005A3874">
      <w:pPr>
        <w:pStyle w:val="basico"/>
        <w:rPr>
          <w:lang w:val="es-ES_tradnl"/>
        </w:rPr>
      </w:pPr>
      <w:r>
        <w:rPr>
          <w:lang w:val="es-ES_tradnl"/>
        </w:rPr>
        <w:t>Se incluyen aquellas tablas que contienen información de los puntos de muestreo recogida directamente sobre el terreno. E</w:t>
      </w:r>
      <w:r>
        <w:t>n este caso se tienen tres tablas, que se describen a continuación.</w:t>
      </w:r>
    </w:p>
    <w:p w:rsidR="005A3874" w:rsidRPr="0008459A" w:rsidRDefault="00DF1CBF" w:rsidP="0008459A">
      <w:pPr>
        <w:pStyle w:val="Ttulo3"/>
      </w:pPr>
      <w:r>
        <w:t>T</w:t>
      </w:r>
      <w:r w:rsidR="00B42BAD" w:rsidRPr="0008459A">
        <w:t>01_</w:t>
      </w:r>
      <w:r w:rsidR="0008459A" w:rsidRPr="0008459A">
        <w:t>Recorrido</w:t>
      </w:r>
    </w:p>
    <w:p w:rsidR="005A3874" w:rsidRPr="00693710" w:rsidRDefault="005A3874" w:rsidP="005A3874">
      <w:pPr>
        <w:pStyle w:val="basico"/>
        <w:rPr>
          <w:szCs w:val="24"/>
        </w:rPr>
      </w:pPr>
      <w:r>
        <w:rPr>
          <w:szCs w:val="24"/>
        </w:rPr>
        <w:t>A</w:t>
      </w:r>
      <w:r w:rsidRPr="00693710">
        <w:rPr>
          <w:szCs w:val="24"/>
        </w:rPr>
        <w:t>lrededor del punto de muestreo se delimita</w:t>
      </w:r>
      <w:r>
        <w:rPr>
          <w:szCs w:val="24"/>
        </w:rPr>
        <w:t>,</w:t>
      </w:r>
      <w:r w:rsidRPr="00693710">
        <w:rPr>
          <w:szCs w:val="24"/>
        </w:rPr>
        <w:t xml:space="preserve"> de forma aproximada</w:t>
      </w:r>
      <w:r>
        <w:rPr>
          <w:szCs w:val="24"/>
        </w:rPr>
        <w:t>,</w:t>
      </w:r>
      <w:r w:rsidRPr="00693710">
        <w:rPr>
          <w:szCs w:val="24"/>
        </w:rPr>
        <w:t xml:space="preserve"> una parcela cuadrada de unos </w:t>
      </w:r>
      <w:smartTag w:uri="urn:schemas-microsoft-com:office:smarttags" w:element="metricconverter">
        <w:smartTagPr>
          <w:attr w:name="ProductID" w:val="20 m"/>
        </w:smartTagPr>
        <w:r w:rsidRPr="00693710">
          <w:rPr>
            <w:szCs w:val="24"/>
          </w:rPr>
          <w:t>20 m</w:t>
        </w:r>
      </w:smartTag>
      <w:r w:rsidRPr="00693710">
        <w:rPr>
          <w:szCs w:val="24"/>
        </w:rPr>
        <w:t xml:space="preserve"> de lado.</w:t>
      </w:r>
      <w:r>
        <w:rPr>
          <w:szCs w:val="24"/>
        </w:rPr>
        <w:t xml:space="preserve"> </w:t>
      </w:r>
      <w:r w:rsidRPr="00693710">
        <w:rPr>
          <w:szCs w:val="24"/>
        </w:rPr>
        <w:t xml:space="preserve">Las características físicas y bióticas de la parcela se anotan de forma sistemática, debiendo </w:t>
      </w:r>
      <w:r w:rsidR="00B42BAD">
        <w:rPr>
          <w:szCs w:val="24"/>
        </w:rPr>
        <w:t>indicarse</w:t>
      </w:r>
      <w:r w:rsidRPr="00693710">
        <w:rPr>
          <w:szCs w:val="24"/>
        </w:rPr>
        <w:t xml:space="preserve"> también cualquier aspecto complementario que pueda influir sobre la dinámica del suelo.</w:t>
      </w:r>
    </w:p>
    <w:p w:rsidR="005A3874" w:rsidRDefault="005A3874" w:rsidP="005A3874">
      <w:pPr>
        <w:pStyle w:val="basico"/>
      </w:pPr>
      <w:r>
        <w:t xml:space="preserve">Esta tabla contiene las características de esas parcelas, así como </w:t>
      </w:r>
      <w:r w:rsidR="00B42BAD">
        <w:t xml:space="preserve">otros </w:t>
      </w:r>
      <w:r>
        <w:t>aspectos generales de la calicata, que se recogen en los siguientes campos: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231"/>
      </w:tblGrid>
      <w:tr w:rsidR="005A3874" w:rsidTr="00206FF7">
        <w:trPr>
          <w:cantSplit/>
          <w:trHeight w:val="227"/>
          <w:tblHeader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71223" w:rsidRDefault="00397848" w:rsidP="00E572EA">
            <w:pPr>
              <w:pStyle w:val="tabla"/>
              <w:keepNext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5A3874" w:rsidRPr="00B71223">
              <w:rPr>
                <w:b/>
              </w:rPr>
              <w:t>_observacion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B71223">
            <w:pPr>
              <w:pStyle w:val="tabla"/>
              <w:keepNext/>
            </w:pPr>
            <w:r>
              <w:t xml:space="preserve">Código que identifica el punto de muestreo. </w:t>
            </w:r>
            <w:r w:rsidR="00B42BAD">
              <w:t xml:space="preserve">Coincide con el campo de </w:t>
            </w:r>
            <w:r w:rsidR="00B71223">
              <w:t>igual</w:t>
            </w:r>
            <w:r w:rsidR="00B42BAD">
              <w:t xml:space="preserve"> nombre en el </w:t>
            </w:r>
            <w:proofErr w:type="spellStart"/>
            <w:r w:rsidR="00B42BAD">
              <w:t>Feature</w:t>
            </w:r>
            <w:proofErr w:type="spellEnd"/>
            <w:r w:rsidR="00B42BAD">
              <w:t xml:space="preserve"> </w:t>
            </w:r>
            <w:proofErr w:type="spellStart"/>
            <w:r w:rsidR="00B42BAD">
              <w:t>class</w:t>
            </w:r>
            <w:proofErr w:type="spellEnd"/>
            <w:r w:rsidR="00B42BAD">
              <w:t xml:space="preserve"> “</w:t>
            </w:r>
            <w:proofErr w:type="spellStart"/>
            <w:r w:rsidR="00B42BAD">
              <w:t>PtosMuestreo</w:t>
            </w:r>
            <w:proofErr w:type="spellEnd"/>
            <w:r w:rsidR="00B42BAD">
              <w:t>”</w:t>
            </w:r>
            <w:r w:rsidR="00B71223">
              <w:t>, que sirve de conexi</w:t>
            </w:r>
            <w:r w:rsidR="00835E96">
              <w:t>ón entre ambas tablas</w:t>
            </w:r>
            <w:r w:rsidR="00C11509">
              <w:t xml:space="preserve">. La </w:t>
            </w:r>
            <w:proofErr w:type="spellStart"/>
            <w:r w:rsidR="003C4738">
              <w:t>cardinalidad</w:t>
            </w:r>
            <w:proofErr w:type="spellEnd"/>
            <w:r w:rsidR="003C4738">
              <w:t xml:space="preserve"> de la </w:t>
            </w:r>
            <w:r w:rsidR="00C11509">
              <w:t>relación es de uno a uno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Excl</w:t>
            </w:r>
            <w:r w:rsidR="005C49E3">
              <w:t>uible</w:t>
            </w:r>
            <w:r w:rsidR="005A3874">
              <w:t>_Lito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rPr>
                <w:lang w:val="es-ES_tradnl"/>
              </w:rPr>
              <w:t>Se marcan aquellos perfiles que no se han utilizado en el análisis estadístico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Atipico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Muestreos con características atípicas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lastRenderedPageBreak/>
              <w:t>Camb</w:t>
            </w:r>
            <w:r w:rsidR="005C49E3">
              <w:t>ios</w:t>
            </w:r>
            <w:r>
              <w:t>_lito</w:t>
            </w:r>
            <w:r w:rsidR="005C49E3">
              <w:t>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Se especifican las causas por las que se excluye el muestreo del análisis estadístico, se considera atípico o alguna otra característica reseñable, como el cambio de asignación de LtS.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Tipo_obs</w:t>
            </w:r>
            <w:r w:rsidR="005C49E3">
              <w:t>ervacion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Modalidades para la apertura de los puntos de muestreos (calicata – muestreo)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Fecha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Fecha en la que se realizó el muestreo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Autores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Autores del muestreo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N_Transecto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Cuando el muestreo forma parte de un transecto, se indica el número de dicho transecto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Hoja_50000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Número de </w:t>
            </w:r>
            <w:smartTag w:uri="urn:schemas-microsoft-com:office:smarttags" w:element="PersonName">
              <w:smartTagPr>
                <w:attr w:name="ProductID" w:val="la Hoja"/>
              </w:smartTagPr>
              <w:r>
                <w:t>la Hoja</w:t>
              </w:r>
            </w:smartTag>
            <w:r>
              <w:t xml:space="preserve"> 1:50000 del MTN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Provincia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Provincia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5C49E3">
            <w:pPr>
              <w:pStyle w:val="tabla"/>
            </w:pPr>
            <w:proofErr w:type="spellStart"/>
            <w:r>
              <w:t>Term</w:t>
            </w:r>
            <w:r w:rsidR="005C49E3">
              <w:t>inoMunicipal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Término municipal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5C49E3">
            <w:pPr>
              <w:pStyle w:val="tabla"/>
            </w:pPr>
            <w:proofErr w:type="spellStart"/>
            <w:r>
              <w:t>Sector</w:t>
            </w:r>
            <w:r w:rsidR="005C49E3">
              <w:t>_p</w:t>
            </w:r>
            <w:r w:rsidR="005A3874">
              <w:t>araje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91761" w:rsidP="00E572EA">
            <w:pPr>
              <w:pStyle w:val="tabla"/>
            </w:pPr>
            <w:r>
              <w:t>Nombre del paraje, si procede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Monte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91761" w:rsidP="00E572EA">
            <w:pPr>
              <w:pStyle w:val="tabla"/>
            </w:pPr>
            <w:r>
              <w:t>Nombre del monte, si procede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Subrecorrido_zona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Indicaciones sobre el acceso a la zona del muestreo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Exposicion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014E87">
            <w:pPr>
              <w:pStyle w:val="tabla"/>
            </w:pPr>
            <w:r>
              <w:t xml:space="preserve">Se diferencian exposiciones de solana y umbría, denominando </w:t>
            </w:r>
            <w:r w:rsidR="00014E87">
              <w:t>umbrías</w:t>
            </w:r>
            <w:r>
              <w:t xml:space="preserve"> a las laderas </w:t>
            </w:r>
            <w:r w:rsidRPr="00014E87">
              <w:t xml:space="preserve">con </w:t>
            </w:r>
            <w:r w:rsidR="00014E87" w:rsidRPr="00014E87">
              <w:t>más</w:t>
            </w:r>
            <w:r w:rsidRPr="00014E87">
              <w:t xml:space="preserve"> del 20% de pendiente y orien</w:t>
            </w:r>
            <w:r>
              <w:t xml:space="preserve">tación </w:t>
            </w:r>
            <w:r w:rsidR="00014E87">
              <w:t>de</w:t>
            </w:r>
            <w:r>
              <w:t xml:space="preserve"> </w:t>
            </w:r>
            <w:r w:rsidR="00014E87">
              <w:t>300 a 3</w:t>
            </w:r>
            <w:r>
              <w:t>60 y</w:t>
            </w:r>
            <w:r w:rsidR="00014E87">
              <w:t xml:space="preserve"> de 0 a 60</w:t>
            </w:r>
            <w:r>
              <w:t>º</w:t>
            </w:r>
            <w:r w:rsidR="00014E87">
              <w:t>. El resto se consideran solana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Orientacion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Dirección descendente de la máxima pendiente, en grados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PuntoCardinal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Categorías de la orientación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Altitud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Se ob</w:t>
            </w:r>
            <w:r w:rsidR="00191761">
              <w:t xml:space="preserve">tiene a partir de los </w:t>
            </w:r>
            <w:proofErr w:type="spellStart"/>
            <w:r w:rsidR="00191761">
              <w:t>MDE</w:t>
            </w:r>
            <w:proofErr w:type="spellEnd"/>
            <w:r w:rsidR="00191761">
              <w:t>, en m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Pte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Medida en el campo con clinómetro, en %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TipoPte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Clases de pendiente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Long</w:t>
            </w:r>
            <w:r w:rsidR="005C49E3">
              <w:t>itud</w:t>
            </w:r>
            <w:r w:rsidR="005A3874">
              <w:t>_ladera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Longitud de la ladera, en m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Topo</w:t>
            </w:r>
            <w:r w:rsidR="005C49E3">
              <w:t>g</w:t>
            </w:r>
            <w:r w:rsidR="005A3874">
              <w:t>_gral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Altura y tipo de relieve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Topo</w:t>
            </w:r>
            <w:r w:rsidR="005C49E3">
              <w:t>g</w:t>
            </w:r>
            <w:r w:rsidR="005A3874">
              <w:t>_local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Posición en ladera; características del terreno en una dimensión de unos </w:t>
            </w:r>
            <w:smartTag w:uri="urn:schemas-microsoft-com:office:smarttags" w:element="metricconverter">
              <w:smartTagPr>
                <w:attr w:name="ProductID" w:val="100 m"/>
              </w:smartTagPr>
              <w:r>
                <w:t>100 m</w:t>
              </w:r>
            </w:smartTag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Microtopog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Curvatura vertical o microtopografía, en categorías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Concentracion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Concentración de las aguas en la ladera; es la curvatura horizontal, en categorías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proofErr w:type="spellStart"/>
            <w:r w:rsidRPr="00E97CC0">
              <w:t>Tipo_reliev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r w:rsidRPr="00E97CC0">
              <w:t>Código del tipo de relieve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proofErr w:type="spellStart"/>
            <w:r w:rsidRPr="00E97CC0">
              <w:t>Alt_reliev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r w:rsidRPr="00E97CC0">
              <w:t>Código de la altura de relieve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r w:rsidRPr="00E97CC0">
              <w:t>Relieve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r w:rsidRPr="00E97CC0">
              <w:t>Relieve, combinando el tipo y la altura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3716B" w:rsidRPr="00E97CC0" w:rsidRDefault="0073716B" w:rsidP="00E572EA">
            <w:pPr>
              <w:pStyle w:val="tabla"/>
            </w:pPr>
            <w:proofErr w:type="spellStart"/>
            <w:r w:rsidRPr="00B461AE">
              <w:t>RelieveMod_simpl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E97CC0" w:rsidRDefault="005A3874" w:rsidP="00E572EA">
            <w:pPr>
              <w:pStyle w:val="tabla"/>
            </w:pPr>
            <w:r w:rsidRPr="00E97CC0">
              <w:t>Código de relieve; información procedente de las unidades de paisaje (2: relieve suave; 3:</w:t>
            </w:r>
            <w:r>
              <w:t xml:space="preserve"> </w:t>
            </w:r>
            <w:r w:rsidRPr="00E97CC0">
              <w:t>relieve accidentado). Puede ocurrir que este relieve general no coincida con el apuntado en el sitio, por características puntuales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3355D1" w:rsidP="00206FF7">
            <w:pPr>
              <w:pStyle w:val="tabla"/>
            </w:pPr>
            <w:proofErr w:type="spellStart"/>
            <w:r>
              <w:t>Obs</w:t>
            </w:r>
            <w:r w:rsidR="005C49E3">
              <w:t>ervaciones</w:t>
            </w:r>
            <w:r w:rsidR="001D725C">
              <w:t>_geomorf</w:t>
            </w:r>
            <w:r w:rsidR="005C49E3">
              <w:t>ol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Observaciones a la geomorfología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B461AE">
            <w:pPr>
              <w:pStyle w:val="tabla"/>
            </w:pPr>
            <w:proofErr w:type="spellStart"/>
            <w:r>
              <w:t>Ped</w:t>
            </w:r>
            <w:r w:rsidR="00B461AE">
              <w:t>_Sup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Porcentaje de pedregosidad en la superficie del terreno estimada visualmente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CA0E1E">
            <w:pPr>
              <w:pStyle w:val="tabla"/>
            </w:pPr>
            <w:proofErr w:type="spellStart"/>
            <w:r>
              <w:t>Afloramientos_roc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Afloramientos rocosos, en %; estimación visual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Aflor_rocos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Tipificación de los afloramientos rocosos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Buzamiento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Sólo en caso de rocas sedimentarias con una orientación apreciable de estratos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RocaSuelo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CA0E1E" w:rsidP="00CA0E1E">
            <w:pPr>
              <w:pStyle w:val="tabla"/>
            </w:pPr>
            <w:r>
              <w:t>Descripción del t</w:t>
            </w:r>
            <w:r w:rsidR="005A3874">
              <w:t>ipo de roca observada sobre el terreno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Natur_sustrato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Naturaleza del sustrato sobre el que se ha formado el suelo (alterita o materiales heredados)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7B613B" w:rsidRDefault="005A3874" w:rsidP="00E572EA">
            <w:pPr>
              <w:pStyle w:val="tabla"/>
              <w:rPr>
                <w:b/>
              </w:rPr>
            </w:pPr>
            <w:proofErr w:type="spellStart"/>
            <w:r w:rsidRPr="007B613B">
              <w:rPr>
                <w:b/>
              </w:rPr>
              <w:t>Cod_litof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3C4738">
            <w:pPr>
              <w:pStyle w:val="tabla"/>
            </w:pPr>
            <w:r>
              <w:t xml:space="preserve">Código que identifica la litofacies sobre la que se ha realizado el muestreo. </w:t>
            </w:r>
            <w:r w:rsidR="00CA0E1E">
              <w:t xml:space="preserve">Coincide con el campo de igual nombre en el </w:t>
            </w:r>
            <w:proofErr w:type="spellStart"/>
            <w:r w:rsidR="00CA0E1E">
              <w:t>Feature</w:t>
            </w:r>
            <w:proofErr w:type="spellEnd"/>
            <w:r w:rsidR="00CA0E1E">
              <w:t xml:space="preserve"> </w:t>
            </w:r>
            <w:proofErr w:type="spellStart"/>
            <w:r w:rsidR="00CA0E1E">
              <w:t>class</w:t>
            </w:r>
            <w:proofErr w:type="spellEnd"/>
            <w:r w:rsidR="00CA0E1E">
              <w:t xml:space="preserve"> “</w:t>
            </w:r>
            <w:proofErr w:type="spellStart"/>
            <w:r w:rsidR="00CA0E1E">
              <w:t>Geologico_Huelva</w:t>
            </w:r>
            <w:proofErr w:type="spellEnd"/>
            <w:r w:rsidR="00CA0E1E">
              <w:t>”, que sirve de conexión entre las tablas</w:t>
            </w:r>
            <w:r w:rsidR="003C4738">
              <w:t xml:space="preserve"> para conocer la información de la litofacies. La </w:t>
            </w:r>
            <w:proofErr w:type="spellStart"/>
            <w:r w:rsidR="003C4738">
              <w:t>cardinalidad</w:t>
            </w:r>
            <w:proofErr w:type="spellEnd"/>
            <w:r w:rsidR="003C4738">
              <w:t xml:space="preserve"> de la relación es de uno a muchos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Obs_Litologia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Observaciones sobre la litología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921F56" w:rsidP="001D725C">
            <w:pPr>
              <w:pStyle w:val="tabla"/>
            </w:pPr>
            <w:proofErr w:type="spellStart"/>
            <w:r>
              <w:lastRenderedPageBreak/>
              <w:t>F_P</w:t>
            </w:r>
            <w:r w:rsidR="003355D1" w:rsidRPr="003355D1">
              <w:t>edr</w:t>
            </w:r>
            <w:r>
              <w:t>eg</w:t>
            </w:r>
            <w:r w:rsidR="003355D1" w:rsidRPr="003355D1">
              <w:t>Sup</w:t>
            </w:r>
            <w:r>
              <w:t>_</w:t>
            </w:r>
            <w:r w:rsidR="003355D1" w:rsidRPr="003355D1">
              <w:t>M</w:t>
            </w:r>
            <w:r>
              <w:t>uestreo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Porcentaje de pedregosidad sobre la superficie del terreno estimada a través de un  muestreo realizado con una malla de 36 puntos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921F56" w:rsidP="001D725C">
            <w:pPr>
              <w:pStyle w:val="tabla"/>
            </w:pPr>
            <w:proofErr w:type="spellStart"/>
            <w:r>
              <w:t>F_</w:t>
            </w:r>
            <w:r w:rsidR="001D725C">
              <w:t>Rest</w:t>
            </w:r>
            <w:r>
              <w:t>os</w:t>
            </w:r>
            <w:r w:rsidR="005A3874">
              <w:t>Veg</w:t>
            </w:r>
            <w:r>
              <w:t>_</w:t>
            </w:r>
            <w:r w:rsidR="005A3874">
              <w:t>M</w:t>
            </w:r>
            <w:r>
              <w:t>uestreo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Porcentaje de restos vegetales sobre la superficie del terreno estimada a través de un  muestreo realizado con una malla de 36 puntos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921F56" w:rsidP="001D725C">
            <w:pPr>
              <w:pStyle w:val="tabla"/>
            </w:pPr>
            <w:proofErr w:type="spellStart"/>
            <w:r>
              <w:t>F_</w:t>
            </w:r>
            <w:r w:rsidR="003355D1">
              <w:t>CobSup</w:t>
            </w:r>
            <w:r>
              <w:t>_</w:t>
            </w:r>
            <w:r w:rsidR="003355D1">
              <w:t>M</w:t>
            </w:r>
            <w:r>
              <w:t>uestreo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Porcentaje de cobertura superficial sobre el terreno (pedregosidad superficial más restos vegetales) estimada a través de un  muestreo realizado con una malla de 36 puntos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1D725C">
            <w:pPr>
              <w:pStyle w:val="tabla"/>
            </w:pPr>
            <w:proofErr w:type="spellStart"/>
            <w:r>
              <w:t>Obs</w:t>
            </w:r>
            <w:r w:rsidR="00921F56">
              <w:t>erv</w:t>
            </w:r>
            <w:r w:rsidR="003355D1">
              <w:t>_M</w:t>
            </w:r>
            <w:r w:rsidR="00921F56">
              <w:t>uest</w:t>
            </w:r>
            <w:r w:rsidR="005A3874">
              <w:t>Pedreg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Observaciones sobre el muestreo que se realiza con una malla de 36 puntos sobre la superficie del suelo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3355D1" w:rsidP="00921F56">
            <w:pPr>
              <w:pStyle w:val="tabla"/>
            </w:pPr>
            <w:proofErr w:type="spellStart"/>
            <w:r>
              <w:t>Tipo_Form</w:t>
            </w:r>
            <w:r w:rsidR="00921F56">
              <w:t>acion_v</w:t>
            </w:r>
            <w:r w:rsidR="005A3874">
              <w:t>egetal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Tipo de formación vegetal (zonal o </w:t>
            </w:r>
            <w:proofErr w:type="spellStart"/>
            <w:r>
              <w:t>intrazonal</w:t>
            </w:r>
            <w:proofErr w:type="spellEnd"/>
            <w:r>
              <w:t>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Tipo_regeneracion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Tipo de regeneración (natural, repoblación, ...)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C97E73">
            <w:pPr>
              <w:pStyle w:val="tabla"/>
            </w:pPr>
            <w:proofErr w:type="spellStart"/>
            <w:r>
              <w:t>Situacion</w:t>
            </w:r>
            <w:r w:rsidR="00C97E73">
              <w:t>_a</w:t>
            </w:r>
            <w:r w:rsidR="005A3874">
              <w:t>ctual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Situación actual de la vegetación (normal, desbrozado, quemado, ...)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C97E73">
            <w:pPr>
              <w:pStyle w:val="tabla"/>
            </w:pPr>
            <w:proofErr w:type="spellStart"/>
            <w:r>
              <w:t>Talla</w:t>
            </w:r>
            <w:r w:rsidR="00C97E73">
              <w:t>_f</w:t>
            </w:r>
            <w:r w:rsidR="001D725C">
              <w:t>orm</w:t>
            </w:r>
            <w:r w:rsidR="00C97E73">
              <w:t>_v</w:t>
            </w:r>
            <w:r>
              <w:t>eg</w:t>
            </w:r>
            <w:r w:rsidR="00C97E73">
              <w:t>etal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Talla de la formación vegetal principal (arbórea, arbustiva, ...)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3355D1" w:rsidP="00C97E73">
            <w:pPr>
              <w:pStyle w:val="tabla"/>
            </w:pPr>
            <w:proofErr w:type="spellStart"/>
            <w:r>
              <w:t>Comp</w:t>
            </w:r>
            <w:r w:rsidR="00C97E73">
              <w:t>osicion_dom_v</w:t>
            </w:r>
            <w:r w:rsidR="005A3874">
              <w:t>eg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Composición dominante de la vegetación leñosa (pinar, eucaliptal, ...)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206FF7" w:rsidP="00E572EA">
            <w:pPr>
              <w:pStyle w:val="tabla"/>
            </w:pPr>
            <w:r w:rsidRPr="00206FF7">
              <w:t>Cub_arbo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Cobertura arbórea sobre el terreno (</w:t>
            </w:r>
            <w:smartTag w:uri="urn:schemas-microsoft-com:office:smarttags" w:element="metricconverter">
              <w:smartTagPr>
                <w:attr w:name="ProductID" w:val="1 a"/>
              </w:smartTagPr>
              <w:r>
                <w:t>1 a</w:t>
              </w:r>
            </w:smartTag>
            <w:r>
              <w:t xml:space="preserve"> 10)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206FF7" w:rsidP="00E572EA">
            <w:pPr>
              <w:pStyle w:val="tabla"/>
            </w:pPr>
            <w:r w:rsidRPr="00206FF7">
              <w:t>Cub_arbus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Cobertura arbustiva sobre el terreno (</w:t>
            </w:r>
            <w:smartTag w:uri="urn:schemas-microsoft-com:office:smarttags" w:element="metricconverter">
              <w:smartTagPr>
                <w:attr w:name="ProductID" w:val="1 a"/>
              </w:smartTagPr>
              <w:r>
                <w:t>1 a</w:t>
              </w:r>
            </w:smartTag>
            <w:r>
              <w:t xml:space="preserve"> 10)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206FF7" w:rsidP="00E572EA">
            <w:pPr>
              <w:pStyle w:val="tabla"/>
            </w:pPr>
            <w:proofErr w:type="spellStart"/>
            <w:r w:rsidRPr="00206FF7">
              <w:t>Cub_herb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Cobertura herbácea sobre el terreno (</w:t>
            </w:r>
            <w:smartTag w:uri="urn:schemas-microsoft-com:office:smarttags" w:element="metricconverter">
              <w:smartTagPr>
                <w:attr w:name="ProductID" w:val="1 a"/>
              </w:smartTagPr>
              <w:r>
                <w:t>1 a</w:t>
              </w:r>
            </w:smartTag>
            <w:r>
              <w:t xml:space="preserve"> 10)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Obs_Vegetacion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Observaciones sobre la vegetación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643C78">
            <w:pPr>
              <w:pStyle w:val="tabla"/>
            </w:pPr>
            <w:proofErr w:type="spellStart"/>
            <w:r>
              <w:t>Ancho</w:t>
            </w:r>
            <w:r w:rsidR="00643C78">
              <w:t>_c</w:t>
            </w:r>
            <w:r>
              <w:t>alicata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Ancho de la calicata, en metros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643C78" w:rsidP="001D725C">
            <w:pPr>
              <w:pStyle w:val="tabla"/>
            </w:pPr>
            <w:proofErr w:type="spellStart"/>
            <w:r>
              <w:t>Largo_c</w:t>
            </w:r>
            <w:r w:rsidR="005A3874">
              <w:t>alicata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Largo de la calicata, en metros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1D725C">
            <w:pPr>
              <w:pStyle w:val="tabla"/>
            </w:pPr>
            <w:proofErr w:type="spellStart"/>
            <w:r>
              <w:t>Prof</w:t>
            </w:r>
            <w:r w:rsidR="00643C78">
              <w:t>_c</w:t>
            </w:r>
            <w:r>
              <w:t>alicata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Profundidad de la calicata, en metros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Prof_Util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Profundidad útil, en centímetros. Espesor del suelo hasta alcanzar roca dura o una capa impenetrable por la raíces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1D725C">
            <w:pPr>
              <w:pStyle w:val="tabla"/>
            </w:pPr>
            <w:proofErr w:type="spellStart"/>
            <w:r>
              <w:t>Rest</w:t>
            </w:r>
            <w:r w:rsidR="00643C78">
              <w:t>os</w:t>
            </w:r>
            <w:r w:rsidR="005A3874">
              <w:t>Veg</w:t>
            </w:r>
            <w:r w:rsidR="00643C78">
              <w:t>etales</w:t>
            </w:r>
            <w:r w:rsidR="005A3874">
              <w:t>_L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Espesor en cm de los restos vegetales (materia orgánica tipo L): capa de hojas enteras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Disp</w:t>
            </w:r>
            <w:r w:rsidR="00643C78">
              <w:t>osicion</w:t>
            </w:r>
            <w:r w:rsidR="005A3874">
              <w:t>_capaL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Indica si la capa de restos vegetales, L, se dispone de forma continua o discontinua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MOfresca_F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Espesor en cm de la materia orgánica fresca (tipo F): capa de hojas fragmentadas y muy decoloradas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1D725C" w:rsidP="00E572EA">
            <w:pPr>
              <w:pStyle w:val="tabla"/>
            </w:pPr>
            <w:proofErr w:type="spellStart"/>
            <w:r>
              <w:t>Disp</w:t>
            </w:r>
            <w:r w:rsidR="00643C78">
              <w:t>osicion</w:t>
            </w:r>
            <w:r w:rsidR="005A3874">
              <w:t>_capaF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Indica si la capa de MO fresca, F, se dispone de forma continua o discontinua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0B1452" w:rsidP="00E572EA">
            <w:pPr>
              <w:pStyle w:val="tabla"/>
            </w:pPr>
            <w:proofErr w:type="spellStart"/>
            <w:r>
              <w:t>MOHumif</w:t>
            </w:r>
            <w:r w:rsidR="00643C78">
              <w:t>icada</w:t>
            </w:r>
            <w:r w:rsidR="005A3874">
              <w:t>_H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Espesor en cm de la materia orgánica </w:t>
            </w:r>
            <w:proofErr w:type="spellStart"/>
            <w:r>
              <w:t>humificada</w:t>
            </w:r>
            <w:proofErr w:type="spellEnd"/>
            <w:r>
              <w:t xml:space="preserve"> (tipo H): capa de materia orgánica en la que no se aprecian las estructuras originarias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0B1452" w:rsidP="00E572EA">
            <w:pPr>
              <w:pStyle w:val="tabla"/>
            </w:pPr>
            <w:proofErr w:type="spellStart"/>
            <w:r>
              <w:t>Disp</w:t>
            </w:r>
            <w:r w:rsidR="00643C78">
              <w:t>osicion</w:t>
            </w:r>
            <w:r w:rsidR="005A3874">
              <w:t>_capaH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Indica si la capa de MO </w:t>
            </w:r>
            <w:proofErr w:type="spellStart"/>
            <w:r>
              <w:t>humificada</w:t>
            </w:r>
            <w:proofErr w:type="spellEnd"/>
            <w:r>
              <w:t>, H, se dispone de forma continua o discontinua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0B1452">
            <w:pPr>
              <w:pStyle w:val="tabla"/>
            </w:pPr>
            <w:proofErr w:type="spellStart"/>
            <w:r>
              <w:t>Obs</w:t>
            </w:r>
            <w:r w:rsidR="00643C78">
              <w:t>_</w:t>
            </w:r>
            <w:r>
              <w:t>Calicata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Observaciones sobre la calicata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0B1452">
            <w:pPr>
              <w:pStyle w:val="tabla"/>
            </w:pPr>
            <w:proofErr w:type="spellStart"/>
            <w:r>
              <w:t>Clima</w:t>
            </w:r>
            <w:r w:rsidR="00643C78">
              <w:t>_a</w:t>
            </w:r>
            <w:r>
              <w:t>ctual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Estado del tiempo el día del muestreo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0B1452" w:rsidP="00E572EA">
            <w:pPr>
              <w:pStyle w:val="tabla"/>
            </w:pPr>
            <w:r>
              <w:t>Clima</w:t>
            </w:r>
            <w:r w:rsidR="00643C78">
              <w:t>_</w:t>
            </w:r>
            <w:r w:rsidR="005A3874">
              <w:t>10dias_antes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Estado del tiempo durante los 10 días anteriores al del muestreo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643C78">
            <w:pPr>
              <w:pStyle w:val="tabla"/>
            </w:pPr>
            <w:proofErr w:type="spellStart"/>
            <w:r>
              <w:t>Act</w:t>
            </w:r>
            <w:r w:rsidR="00643C78">
              <w:t>ividad_h</w:t>
            </w:r>
            <w:r w:rsidR="000B1452">
              <w:t>u</w:t>
            </w:r>
            <w:r>
              <w:t>mana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Existencia de algún tipo de actividad humana reseñable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0B1452">
            <w:pPr>
              <w:pStyle w:val="tabla"/>
            </w:pPr>
            <w:proofErr w:type="spellStart"/>
            <w:r>
              <w:t>Estado</w:t>
            </w:r>
            <w:r w:rsidR="00643C78">
              <w:t>_e</w:t>
            </w:r>
            <w:r>
              <w:t>rosivo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Información sobre el tipo de erosión apreciable en el terreno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Friabilidad</w:t>
            </w:r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Grado de friabilidad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0B1452" w:rsidP="00643C78">
            <w:pPr>
              <w:pStyle w:val="tabla"/>
            </w:pPr>
            <w:proofErr w:type="spellStart"/>
            <w:r>
              <w:t>Exist</w:t>
            </w:r>
            <w:r w:rsidR="00643C78">
              <w:t>encia_r</w:t>
            </w:r>
            <w:r w:rsidR="005A3874">
              <w:t>oca</w:t>
            </w:r>
            <w:r w:rsidR="00643C78">
              <w:t>_d</w:t>
            </w:r>
            <w:r w:rsidR="005A3874">
              <w:t>ura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En el caso de alcanzarse roca dura en el fondo de la</w:t>
            </w:r>
            <w:r w:rsidR="00E630C8">
              <w:t xml:space="preserve"> calicata, también se indica la</w:t>
            </w:r>
            <w:r>
              <w:t xml:space="preserve"> profundidad a la que aparece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E630C8" w:rsidP="00E572EA">
            <w:pPr>
              <w:pStyle w:val="tabla"/>
            </w:pPr>
            <w:proofErr w:type="spellStart"/>
            <w:r>
              <w:t>Precip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Precipitación según el modelo interpolado por Domingo Santos, 2002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>
              <w:t>Temp_media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>Temperatura media según el modelo interpolado por Domingo Santos, 2002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0B1452">
            <w:pPr>
              <w:pStyle w:val="tabla"/>
            </w:pPr>
            <w:proofErr w:type="spellStart"/>
            <w:r>
              <w:t>Prec</w:t>
            </w:r>
            <w:r w:rsidR="00643C78">
              <w:t>ip_</w:t>
            </w:r>
            <w:r>
              <w:t>REDIAM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Precipitación según el modelo proporcionado por </w:t>
            </w:r>
            <w:smartTag w:uri="urn:schemas-microsoft-com:office:smarttags" w:element="PersonName">
              <w:smartTagPr>
                <w:attr w:name="ProductID" w:val="la REDIAM"/>
              </w:smartTagPr>
              <w:r>
                <w:t>la REDIAM</w:t>
              </w:r>
            </w:smartTag>
            <w:r>
              <w:t xml:space="preserve"> (Junta de Andalucía)</w:t>
            </w:r>
          </w:p>
        </w:tc>
      </w:tr>
      <w:tr w:rsidR="005A3874" w:rsidTr="00206FF7">
        <w:trPr>
          <w:cantSplit/>
          <w:trHeight w:val="227"/>
          <w:jc w:val="center"/>
        </w:trPr>
        <w:tc>
          <w:tcPr>
            <w:tcW w:w="226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0B1452">
            <w:pPr>
              <w:pStyle w:val="tabla"/>
            </w:pPr>
            <w:proofErr w:type="spellStart"/>
            <w:r>
              <w:t>Temp</w:t>
            </w:r>
            <w:r w:rsidR="00643C78">
              <w:t>_</w:t>
            </w:r>
            <w:bookmarkStart w:id="13" w:name="_GoBack"/>
            <w:bookmarkEnd w:id="13"/>
            <w:r>
              <w:t>REDIAM</w:t>
            </w:r>
            <w:proofErr w:type="spellEnd"/>
          </w:p>
        </w:tc>
        <w:tc>
          <w:tcPr>
            <w:tcW w:w="6231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r>
              <w:t xml:space="preserve">Temperatura media según el modelo proporcionado por </w:t>
            </w:r>
            <w:smartTag w:uri="urn:schemas-microsoft-com:office:smarttags" w:element="PersonName">
              <w:smartTagPr>
                <w:attr w:name="ProductID" w:val="la REDIAM"/>
              </w:smartTagPr>
              <w:r>
                <w:t>la REDIAM</w:t>
              </w:r>
            </w:smartTag>
            <w:r>
              <w:t xml:space="preserve"> (Junta de Andalucía)</w:t>
            </w:r>
          </w:p>
        </w:tc>
      </w:tr>
    </w:tbl>
    <w:p w:rsidR="005A3874" w:rsidRPr="00D54198" w:rsidRDefault="00DF1CBF" w:rsidP="009223F8">
      <w:pPr>
        <w:pStyle w:val="Ttulo3"/>
      </w:pPr>
      <w:r>
        <w:lastRenderedPageBreak/>
        <w:t>T</w:t>
      </w:r>
      <w:r w:rsidR="00835E96">
        <w:t>02_</w:t>
      </w:r>
      <w:r w:rsidR="009300AC">
        <w:t>Vegetacion</w:t>
      </w:r>
    </w:p>
    <w:p w:rsidR="005A3874" w:rsidRDefault="005A3874" w:rsidP="001A4B8E">
      <w:pPr>
        <w:pStyle w:val="basico"/>
        <w:keepNext/>
      </w:pPr>
      <w:r>
        <w:t>Tabla con las especies vegetales que aparecen en las parcelas.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2"/>
        <w:gridCol w:w="6656"/>
      </w:tblGrid>
      <w:tr w:rsidR="005A3874" w:rsidTr="00E572EA">
        <w:trPr>
          <w:cantSplit/>
          <w:trHeight w:val="227"/>
          <w:jc w:val="center"/>
        </w:trPr>
        <w:tc>
          <w:tcPr>
            <w:tcW w:w="2162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656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Tr="00E572EA">
        <w:trPr>
          <w:cantSplit/>
          <w:trHeight w:val="227"/>
          <w:jc w:val="center"/>
        </w:trPr>
        <w:tc>
          <w:tcPr>
            <w:tcW w:w="2162" w:type="dxa"/>
            <w:shd w:val="clear" w:color="auto" w:fill="auto"/>
            <w:noWrap/>
            <w:vAlign w:val="center"/>
          </w:tcPr>
          <w:p w:rsidR="005A3874" w:rsidRPr="003C4738" w:rsidRDefault="00397848" w:rsidP="00E572EA">
            <w:pPr>
              <w:pStyle w:val="tabla"/>
              <w:keepNext/>
              <w:rPr>
                <w:b/>
              </w:rPr>
            </w:pPr>
            <w:proofErr w:type="spellStart"/>
            <w:r w:rsidRPr="003C4738">
              <w:rPr>
                <w:b/>
              </w:rPr>
              <w:t>Cod</w:t>
            </w:r>
            <w:r w:rsidR="005A3874" w:rsidRPr="003C4738">
              <w:rPr>
                <w:b/>
              </w:rPr>
              <w:t>_observacion</w:t>
            </w:r>
            <w:proofErr w:type="spellEnd"/>
          </w:p>
        </w:tc>
        <w:tc>
          <w:tcPr>
            <w:tcW w:w="6656" w:type="dxa"/>
            <w:shd w:val="clear" w:color="auto" w:fill="auto"/>
            <w:noWrap/>
            <w:vAlign w:val="center"/>
          </w:tcPr>
          <w:p w:rsidR="00835E96" w:rsidRDefault="00835E96" w:rsidP="00E572EA">
            <w:pPr>
              <w:pStyle w:val="tabla"/>
              <w:keepNext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>”, que sirve de conexión entre ambas tablas</w:t>
            </w:r>
            <w:r w:rsidR="008E101E">
              <w:t xml:space="preserve">. La </w:t>
            </w:r>
            <w:proofErr w:type="spellStart"/>
            <w:r w:rsidR="008E101E">
              <w:t>cardinalidad</w:t>
            </w:r>
            <w:proofErr w:type="spellEnd"/>
            <w:r w:rsidR="008E101E">
              <w:t xml:space="preserve"> de la relación es de uno a muchos.</w:t>
            </w:r>
          </w:p>
        </w:tc>
      </w:tr>
      <w:tr w:rsidR="005A3874" w:rsidTr="00E572EA">
        <w:trPr>
          <w:cantSplit/>
          <w:trHeight w:val="227"/>
          <w:jc w:val="center"/>
        </w:trPr>
        <w:tc>
          <w:tcPr>
            <w:tcW w:w="2162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</w:pPr>
            <w:r>
              <w:t>Especie</w:t>
            </w:r>
          </w:p>
        </w:tc>
        <w:tc>
          <w:tcPr>
            <w:tcW w:w="6656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</w:pPr>
            <w:r w:rsidRPr="00A17CEC">
              <w:t>Especies vegetales que se han identificado en cada uno de los puntos de muestreo</w:t>
            </w:r>
          </w:p>
        </w:tc>
      </w:tr>
      <w:tr w:rsidR="005A3874" w:rsidTr="00E572EA">
        <w:trPr>
          <w:cantSplit/>
          <w:trHeight w:val="227"/>
          <w:jc w:val="center"/>
        </w:trPr>
        <w:tc>
          <w:tcPr>
            <w:tcW w:w="2162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</w:pPr>
            <w:r>
              <w:t>Frecuencia</w:t>
            </w:r>
          </w:p>
        </w:tc>
        <w:tc>
          <w:tcPr>
            <w:tcW w:w="6656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</w:pPr>
            <w:r w:rsidRPr="00A17CEC">
              <w:t>Abundancia relativa de las especies vegetales según los criterios fitosociológicos de Braun-</w:t>
            </w:r>
            <w:proofErr w:type="spellStart"/>
            <w:r w:rsidRPr="00A17CEC">
              <w:t>Blanquet</w:t>
            </w:r>
            <w:proofErr w:type="spellEnd"/>
          </w:p>
        </w:tc>
      </w:tr>
    </w:tbl>
    <w:p w:rsidR="005A3874" w:rsidRDefault="00DF1CBF" w:rsidP="009223F8">
      <w:pPr>
        <w:pStyle w:val="Ttulo3"/>
      </w:pPr>
      <w:r>
        <w:t>T</w:t>
      </w:r>
      <w:r w:rsidR="00835E96">
        <w:t>03_</w:t>
      </w:r>
      <w:r w:rsidR="009300AC">
        <w:t>Horizontes</w:t>
      </w:r>
    </w:p>
    <w:p w:rsidR="005A3874" w:rsidRPr="00D54198" w:rsidRDefault="005A3874" w:rsidP="00896692">
      <w:pPr>
        <w:pStyle w:val="basico"/>
        <w:keepNext/>
      </w:pPr>
      <w:r>
        <w:t>Los campos que aparecen en esta tabla describen los horizontes edáficos definidos en cada uno de los muestreos.</w:t>
      </w:r>
    </w:p>
    <w:tbl>
      <w:tblPr>
        <w:tblW w:w="8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6893"/>
      </w:tblGrid>
      <w:tr w:rsidR="005A3874" w:rsidRPr="00167609" w:rsidTr="00E572EA">
        <w:trPr>
          <w:cantSplit/>
          <w:trHeight w:val="255"/>
          <w:tblHeader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7F468A" w:rsidRDefault="0078368D" w:rsidP="00E572EA">
            <w:pPr>
              <w:pStyle w:val="tabla"/>
              <w:keepNext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5A3874" w:rsidRPr="007F468A">
              <w:rPr>
                <w:b/>
              </w:rPr>
              <w:t>_observacion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835E96" w:rsidRPr="00167609" w:rsidRDefault="00835E96" w:rsidP="008E101E">
            <w:pPr>
              <w:pStyle w:val="tabla"/>
              <w:keepNext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>”, que sirve de conexión entre ambas tablas. En este caso</w:t>
            </w:r>
            <w:r w:rsidR="007F468A">
              <w:t xml:space="preserve"> este valor ser repite, según el número de horizontes, por lo que la </w:t>
            </w:r>
            <w:proofErr w:type="spellStart"/>
            <w:r w:rsidR="008E101E">
              <w:t>cardinalidad</w:t>
            </w:r>
            <w:proofErr w:type="spellEnd"/>
            <w:r w:rsidR="008E101E">
              <w:t xml:space="preserve"> de la relación es de </w:t>
            </w:r>
            <w:r w:rsidR="007F468A">
              <w:t>uno a muchos.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D65393" w:rsidRDefault="0078368D" w:rsidP="00E572EA">
            <w:pPr>
              <w:pStyle w:val="tabla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5A3874" w:rsidRPr="00D65393">
              <w:rPr>
                <w:b/>
              </w:rPr>
              <w:t>_muestra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78368D" w:rsidP="0078368D">
            <w:pPr>
              <w:pStyle w:val="tabla"/>
            </w:pPr>
            <w:r>
              <w:t>Código que identifica a la</w:t>
            </w:r>
            <w:r w:rsidR="005A3874" w:rsidRPr="00167609">
              <w:t xml:space="preserve"> muestra. Se denomina muestra a cada uno de los horizontes edáficos definidos en los muestreos. Se codifica con el número del punto de muestreo seguido de un</w:t>
            </w:r>
            <w:r w:rsidR="005A3874">
              <w:t xml:space="preserve"> cardinal en orden correlativo de arriba hacia abajo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Orden_horiz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Número de orden de los horizontes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HorDefinitivo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Letras (mayúscula y s</w:t>
            </w:r>
            <w:r>
              <w:t>ubíndices</w:t>
            </w:r>
            <w:r w:rsidRPr="00167609">
              <w:t>) que designan los horizontes principales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Lim_sup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Profundidad a la que comienza el horizonte en cm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Lim_inf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Profundidad a la que acaba el horizonte en cm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Espesor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Espesor del horizon</w:t>
            </w:r>
            <w:r>
              <w:t>t</w:t>
            </w:r>
            <w:r w:rsidRPr="00167609">
              <w:t>e, en cm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Color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 xml:space="preserve">Descripción del color de cada horizonte utilizando el código </w:t>
            </w:r>
            <w:proofErr w:type="spellStart"/>
            <w:r w:rsidRPr="00167609">
              <w:t>Munsell</w:t>
            </w:r>
            <w:proofErr w:type="spellEnd"/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Tipo_estruc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 xml:space="preserve">Propiedad de la estructura que describe la geometría de los agregados. Se evalúa según la </w:t>
            </w:r>
            <w:r>
              <w:t>tipificación</w:t>
            </w:r>
            <w:r w:rsidRPr="00167609">
              <w:t xml:space="preserve"> FAO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Grado_estruc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 xml:space="preserve">Grado de la estructura. Se refiere al grado de desarrollo de los agregados y se evalúa viendo la cohesión interna de estos agregados. Se evalúa según la </w:t>
            </w:r>
            <w:r>
              <w:t xml:space="preserve">tipificación </w:t>
            </w:r>
            <w:r w:rsidRPr="00167609">
              <w:t>FAO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Clase_estruc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 xml:space="preserve">Clase de estructura: dimensiones de los agregados. Se evalúa según la </w:t>
            </w:r>
            <w:r>
              <w:t>tipificación</w:t>
            </w:r>
            <w:r w:rsidRPr="00167609">
              <w:t xml:space="preserve"> FAO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Textura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Composición granulométrica de la fracción de tierra fina de cada horizonte edáfico</w:t>
            </w:r>
            <w:r>
              <w:t>, estimada en campo</w:t>
            </w:r>
            <w:r w:rsidRPr="00167609">
              <w:t>. Se ha utilizado la clasificación USDA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Frag_rocosos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1668DB">
            <w:pPr>
              <w:pStyle w:val="tabla"/>
            </w:pPr>
            <w:r w:rsidRPr="00167609">
              <w:t xml:space="preserve">Contenido en elementos gruesos (&gt; </w:t>
            </w:r>
            <w:smartTag w:uri="urn:schemas-microsoft-com:office:smarttags" w:element="metricconverter">
              <w:smartTagPr>
                <w:attr w:name="ProductID" w:val="2 mm"/>
              </w:smartTagPr>
              <w:r w:rsidRPr="00167609">
                <w:t>2 mm</w:t>
              </w:r>
            </w:smartTag>
            <w:r w:rsidRPr="00167609">
              <w:t>) de cada horizonte. Se expresa en porcentaje sobre la muestra de tierra natural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Naturaleza_frag_roc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Naturaleza mineralógica de los fragmentos rocosos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BD0AE9" w:rsidP="00E572EA">
            <w:pPr>
              <w:pStyle w:val="tabla"/>
            </w:pPr>
            <w:proofErr w:type="spellStart"/>
            <w:r>
              <w:t>Tamaño</w:t>
            </w:r>
            <w:r w:rsidR="005A3874" w:rsidRPr="00167609">
              <w:t>_frag_roc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Tamaño de los fragmentos rocosos. Según FAO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Alteracion_frag_roc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Grado de alteración de los fragmentos rocosos. Según FAO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Angulosidad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Forma de los elementos gruesos. Según FAO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Humedad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Humedad del suelo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Raices_cantidad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Cantidad de raíces presentes en el horizonte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Raices_tamaño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Tamaño de las raíces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Compactacion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Niveles de compactación de cada horizonte</w:t>
            </w:r>
            <w:r>
              <w:t>, determinados mediante prueba de penetración con un cuchillo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1668DB" w:rsidP="00E572EA">
            <w:pPr>
              <w:pStyle w:val="tabla"/>
            </w:pPr>
            <w:r>
              <w:t>Manchas</w:t>
            </w:r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7952BE" w:rsidRDefault="005A3874" w:rsidP="00E572EA">
            <w:pPr>
              <w:pStyle w:val="tabla"/>
            </w:pPr>
            <w:r w:rsidRPr="00167609">
              <w:t>Presencia de manchas, en porcentaje de superficie</w:t>
            </w:r>
            <w:r>
              <w:t xml:space="preserve"> </w:t>
            </w:r>
            <w:r w:rsidRPr="007952BE">
              <w:t>sobre el perfil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Manchas_color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 xml:space="preserve">Color de las manchas, según el código de colores </w:t>
            </w:r>
            <w:proofErr w:type="spellStart"/>
            <w:r w:rsidRPr="00167609">
              <w:t>Munsell</w:t>
            </w:r>
            <w:proofErr w:type="spellEnd"/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Manchas_tamaño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Tamaño de las manchas; diámetro más frecuente en cm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lastRenderedPageBreak/>
              <w:t>Manchas_contraste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 xml:space="preserve">Contraste de las manchas: nítido o difuso, según la distancia de transición sea inferior o superior a </w:t>
            </w:r>
            <w:smartTag w:uri="urn:schemas-microsoft-com:office:smarttags" w:element="metricconverter">
              <w:smartTagPr>
                <w:attr w:name="ProductID" w:val="2 mm"/>
              </w:smartTagPr>
              <w:r w:rsidRPr="00167609">
                <w:t>2 mm</w:t>
              </w:r>
            </w:smartTag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Top_diferen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Topografía del límite entre horizontes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Diferenciacion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Ancho de la transición entre horizontes</w:t>
            </w:r>
          </w:p>
        </w:tc>
      </w:tr>
      <w:tr w:rsidR="005A3874" w:rsidRPr="00167609" w:rsidTr="00E572EA">
        <w:trPr>
          <w:cantSplit/>
          <w:trHeight w:val="255"/>
          <w:jc w:val="center"/>
        </w:trPr>
        <w:tc>
          <w:tcPr>
            <w:tcW w:w="1918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proofErr w:type="spellStart"/>
            <w:r w:rsidRPr="00167609">
              <w:t>Horiz_no_muestreado</w:t>
            </w:r>
            <w:proofErr w:type="spellEnd"/>
          </w:p>
        </w:tc>
        <w:tc>
          <w:tcPr>
            <w:tcW w:w="6893" w:type="dxa"/>
            <w:shd w:val="clear" w:color="auto" w:fill="auto"/>
            <w:noWrap/>
            <w:vAlign w:val="center"/>
          </w:tcPr>
          <w:p w:rsidR="005A3874" w:rsidRPr="00167609" w:rsidRDefault="005A3874" w:rsidP="00E572EA">
            <w:pPr>
              <w:pStyle w:val="tabla"/>
            </w:pPr>
            <w:r w:rsidRPr="00167609">
              <w:t>Se marcan aquellos horizontes definidos en la calicata pero que no han sido muestreados (horizontes R o C)</w:t>
            </w:r>
          </w:p>
        </w:tc>
      </w:tr>
    </w:tbl>
    <w:p w:rsidR="005A3874" w:rsidRPr="00A84AD5" w:rsidRDefault="005A3874" w:rsidP="00A56B06">
      <w:pPr>
        <w:pStyle w:val="Ttulo2"/>
      </w:pPr>
      <w:bookmarkStart w:id="14" w:name="_Toc331150548"/>
      <w:r>
        <w:t>Laboratorio</w:t>
      </w:r>
      <w:bookmarkEnd w:id="14"/>
      <w:r w:rsidR="00AE506D">
        <w:t xml:space="preserve"> – puntos de muestreo</w:t>
      </w:r>
    </w:p>
    <w:p w:rsidR="005A3874" w:rsidRDefault="005A3874" w:rsidP="00896692">
      <w:pPr>
        <w:pStyle w:val="basico"/>
        <w:keepNext/>
      </w:pPr>
      <w:r>
        <w:t>Este apartado contiene 5 tablas con toda la información que se ha generado en el laboratorio. Se describen a continuación estas tablas.</w:t>
      </w:r>
    </w:p>
    <w:p w:rsidR="005A3874" w:rsidRPr="00D54198" w:rsidRDefault="00DF1CBF" w:rsidP="009223F8">
      <w:pPr>
        <w:pStyle w:val="Ttulo3"/>
      </w:pPr>
      <w:r>
        <w:t>T</w:t>
      </w:r>
      <w:r w:rsidR="00AE506D">
        <w:t>04_</w:t>
      </w:r>
      <w:r w:rsidR="009300AC">
        <w:t>Laboratorio</w:t>
      </w:r>
    </w:p>
    <w:p w:rsidR="005A3874" w:rsidRDefault="005A3874" w:rsidP="005A3874">
      <w:pPr>
        <w:pStyle w:val="basico"/>
      </w:pPr>
      <w:r>
        <w:t>Datos de los análisis realizados en el laboratorio. Los campos que incluye son: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798"/>
      </w:tblGrid>
      <w:tr w:rsidR="005A3874" w:rsidRPr="00D3661C" w:rsidTr="003E686B">
        <w:trPr>
          <w:cantSplit/>
          <w:trHeight w:val="255"/>
          <w:tblHeader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80E25" w:rsidRDefault="00397848" w:rsidP="00E572EA">
            <w:pPr>
              <w:pStyle w:val="tabla"/>
              <w:keepNext/>
            </w:pPr>
            <w:proofErr w:type="spellStart"/>
            <w:r w:rsidRPr="00B80E25">
              <w:t>Cod</w:t>
            </w:r>
            <w:r w:rsidR="005A3874" w:rsidRPr="00B80E25">
              <w:t>_observacion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835E96" w:rsidRPr="00D3661C" w:rsidRDefault="00835E96" w:rsidP="00120908">
            <w:pPr>
              <w:pStyle w:val="tabla"/>
              <w:keepNext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>”, que sirve de conexión entre ambas tablas</w:t>
            </w:r>
            <w:r w:rsidR="00AE506D">
              <w:t xml:space="preserve">. </w:t>
            </w:r>
            <w:r w:rsidR="00B80E25">
              <w:t xml:space="preserve">La </w:t>
            </w:r>
            <w:proofErr w:type="spellStart"/>
            <w:r w:rsidR="00B80E25">
              <w:t>cardinalidad</w:t>
            </w:r>
            <w:proofErr w:type="spellEnd"/>
            <w:r w:rsidR="00B80E25">
              <w:t xml:space="preserve"> de la relación es de</w:t>
            </w:r>
            <w:r w:rsidR="00120908">
              <w:t xml:space="preserve"> uno a muchos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65393" w:rsidRDefault="00397848" w:rsidP="00E572EA">
            <w:pPr>
              <w:pStyle w:val="tabla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5A3874" w:rsidRPr="00D65393">
              <w:rPr>
                <w:b/>
              </w:rPr>
              <w:t>_muestra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397848" w:rsidP="00CD7AE0">
            <w:pPr>
              <w:pStyle w:val="tabla"/>
            </w:pPr>
            <w:r>
              <w:t>Código que identifica a la</w:t>
            </w:r>
            <w:r w:rsidR="005A3874" w:rsidRPr="00167609">
              <w:t xml:space="preserve"> muestra. </w:t>
            </w:r>
            <w:r w:rsidR="00D65393">
              <w:t xml:space="preserve">Coincide con el campo de igual nombre de la tabla “03_Horizontes” y sirve de unión entre ellas. </w:t>
            </w:r>
            <w:r w:rsidR="00B80E25">
              <w:t xml:space="preserve">La </w:t>
            </w:r>
            <w:proofErr w:type="spellStart"/>
            <w:r w:rsidR="00B80E25">
              <w:t>cardinalidad</w:t>
            </w:r>
            <w:proofErr w:type="spellEnd"/>
            <w:r w:rsidR="00B80E25">
              <w:t xml:space="preserve"> de la relación es de</w:t>
            </w:r>
            <w:r w:rsidR="00D65393">
              <w:t xml:space="preserve"> uno a uno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Arena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Porcentaje de arena en la fracción de tierra fi</w:t>
            </w:r>
            <w:r>
              <w:t xml:space="preserve">na, según la clasificación </w:t>
            </w:r>
            <w:proofErr w:type="spellStart"/>
            <w:r>
              <w:t>USDA</w:t>
            </w:r>
            <w:proofErr w:type="spellEnd"/>
            <w:r>
              <w:t xml:space="preserve"> (</w:t>
            </w:r>
            <w:smartTag w:uri="urn:schemas-microsoft-com:office:smarttags" w:element="metricconverter">
              <w:smartTagPr>
                <w:attr w:name="ProductID" w:val="2 a"/>
              </w:smartTagPr>
              <w:r>
                <w:t>2 a</w:t>
              </w:r>
            </w:smartTag>
            <w:r>
              <w:t xml:space="preserve"> </w:t>
            </w:r>
            <w:smartTag w:uri="urn:schemas-microsoft-com:office:smarttags" w:element="metricconverter">
              <w:smartTagPr>
                <w:attr w:name="ProductID" w:val="0,05 mm"/>
              </w:smartTagPr>
              <w:r>
                <w:t>0,05 mm</w:t>
              </w:r>
            </w:smartTag>
            <w:r>
              <w:t>)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Limo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de limo en la fracción de tierra fina, según la clasificación </w:t>
            </w:r>
            <w:proofErr w:type="spellStart"/>
            <w:r w:rsidRPr="00D3661C">
              <w:t>USDA</w:t>
            </w:r>
            <w:proofErr w:type="spellEnd"/>
            <w:r>
              <w:t xml:space="preserve"> (</w:t>
            </w:r>
            <w:smartTag w:uri="urn:schemas-microsoft-com:office:smarttags" w:element="metricconverter">
              <w:smartTagPr>
                <w:attr w:name="ProductID" w:val="0,05 a"/>
              </w:smartTagPr>
              <w:r>
                <w:t>0,05 a</w:t>
              </w:r>
            </w:smartTag>
            <w:r>
              <w:t xml:space="preserve"> </w:t>
            </w:r>
            <w:smartTag w:uri="urn:schemas-microsoft-com:office:smarttags" w:element="metricconverter">
              <w:smartTagPr>
                <w:attr w:name="ProductID" w:val="0,002 mm"/>
              </w:smartTagPr>
              <w:r>
                <w:t>0,002 mm</w:t>
              </w:r>
            </w:smartTag>
            <w:r>
              <w:t>)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Arcilla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BE4F53">
            <w:pPr>
              <w:pStyle w:val="tabla"/>
            </w:pPr>
            <w:r w:rsidRPr="00D3661C">
              <w:t>Porcentaje de arcilla en la fracción de tierra fin</w:t>
            </w:r>
            <w:r>
              <w:t xml:space="preserve">a, según la clasificación </w:t>
            </w:r>
            <w:proofErr w:type="spellStart"/>
            <w:r>
              <w:t>USDA</w:t>
            </w:r>
            <w:proofErr w:type="spellEnd"/>
            <w:r>
              <w:t xml:space="preserve"> (&lt;</w:t>
            </w:r>
            <w:smartTag w:uri="urn:schemas-microsoft-com:office:smarttags" w:element="metricconverter">
              <w:smartTagPr>
                <w:attr w:name="ProductID" w:val="0,002 mm"/>
              </w:smartTagPr>
              <w:r>
                <w:t>0,002 mm</w:t>
              </w:r>
            </w:smartTag>
            <w:r>
              <w:t>)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AMF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de arena muy fina en la fracción de tierra fina, según la clasificación </w:t>
            </w:r>
            <w:proofErr w:type="spellStart"/>
            <w:r w:rsidRPr="00D3661C">
              <w:t>USDA</w:t>
            </w:r>
            <w:proofErr w:type="spellEnd"/>
            <w:r w:rsidR="00BE4F53">
              <w:t xml:space="preserve"> (0,05 a 0,1 mm)</w:t>
            </w:r>
            <w:r w:rsidRPr="00D3661C">
              <w:t>. Obtenido co</w:t>
            </w:r>
            <w:r w:rsidR="00BE4F53">
              <w:t>n un tamiz de 100 micras de luz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MO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Porcentaje de materia orgánic</w:t>
            </w:r>
            <w:r w:rsidR="00BE4F53">
              <w:t>a en la fracción de tierra fina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TFSA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de tierra fina seca al aire (&lt; </w:t>
            </w:r>
            <w:smartTag w:uri="urn:schemas-microsoft-com:office:smarttags" w:element="metricconverter">
              <w:smartTagPr>
                <w:attr w:name="ProductID" w:val="2 mm"/>
              </w:smartTagPr>
              <w:r w:rsidRPr="00D3661C">
                <w:t>2 mm</w:t>
              </w:r>
            </w:smartTag>
            <w:r w:rsidRPr="00D3661C">
              <w:t>)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D345E" w:rsidRDefault="005A3874" w:rsidP="00E572EA">
            <w:pPr>
              <w:pStyle w:val="tabla"/>
            </w:pPr>
            <w:r w:rsidRPr="000D345E">
              <w:t>Gruesos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D345E" w:rsidRDefault="00BE4F53" w:rsidP="00BE4F53">
            <w:pPr>
              <w:pStyle w:val="tabla"/>
            </w:pPr>
            <w:r>
              <w:t>Porcentaje de elementos gruesos (</w:t>
            </w:r>
            <w:r w:rsidR="005A3874" w:rsidRPr="000D345E">
              <w:t>&gt; 2</w:t>
            </w:r>
            <w:r>
              <w:t xml:space="preserve"> </w:t>
            </w:r>
            <w:r w:rsidR="005A3874" w:rsidRPr="000D345E">
              <w:t>mm</w:t>
            </w:r>
            <w:r>
              <w:t>)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D345E" w:rsidRDefault="0028667C" w:rsidP="00E572EA">
            <w:pPr>
              <w:pStyle w:val="tabla"/>
            </w:pPr>
            <w:proofErr w:type="spellStart"/>
            <w:r w:rsidRPr="0028667C">
              <w:t>Tipo_gruesos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D345E" w:rsidRDefault="005A3874" w:rsidP="00E572EA">
            <w:pPr>
              <w:pStyle w:val="tabla"/>
            </w:pPr>
            <w:r w:rsidRPr="000D345E">
              <w:t>Tipificación del contenido en elementos gruesos en cada horizonte, a partir de la información del laboratorio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28667C" w:rsidP="00E572EA">
            <w:pPr>
              <w:pStyle w:val="tabla"/>
            </w:pPr>
            <w:proofErr w:type="spellStart"/>
            <w:r w:rsidRPr="0028667C">
              <w:t>Hdad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Porcentaje de humedad residual relativa de la muestra secada al aire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pH_agua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pH en agua en una proporción tierra/agua de 1/2,5, realizándose la medida con pH-metro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pH_KCl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pH de intercambio en KCl </w:t>
            </w:r>
            <w:smartTag w:uri="urn:schemas-microsoft-com:office:smarttags" w:element="metricconverter">
              <w:smartTagPr>
                <w:attr w:name="ProductID" w:val="0,1 M"/>
              </w:smartTagPr>
              <w:r w:rsidRPr="00D3661C">
                <w:t>0,1 M</w:t>
              </w:r>
            </w:smartTag>
            <w:r w:rsidRPr="00D3661C">
              <w:t xml:space="preserve"> en una proporción tierra/KCl </w:t>
            </w:r>
            <w:smartTag w:uri="urn:schemas-microsoft-com:office:smarttags" w:element="metricconverter">
              <w:smartTagPr>
                <w:attr w:name="ProductID" w:val="0,1 M"/>
              </w:smartTagPr>
              <w:r w:rsidRPr="00D3661C">
                <w:t>0,1 M</w:t>
              </w:r>
            </w:smartTag>
            <w:r w:rsidRPr="00D3661C">
              <w:t xml:space="preserve"> de 1/2,5, realizándose la medida con pH-metro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28667C">
            <w:pPr>
              <w:pStyle w:val="tabla"/>
            </w:pPr>
            <w:r w:rsidRPr="00D3661C">
              <w:t>Conductividad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Conductividad eléctrica</w:t>
            </w:r>
            <w:r w:rsidR="0028667C">
              <w:t xml:space="preserve">, en </w:t>
            </w:r>
            <w:proofErr w:type="spellStart"/>
            <w:r w:rsidR="0028667C" w:rsidRPr="00D3661C">
              <w:t>dS</w:t>
            </w:r>
            <w:proofErr w:type="spellEnd"/>
            <w:r w:rsidR="0028667C" w:rsidRPr="00D3661C">
              <w:t>/m</w:t>
            </w:r>
            <w:r w:rsidRPr="00D3661C">
              <w:t xml:space="preserve">. Se determinó en extracto acuoso de suelo, en relación suelo/agua de 1/5, mediante </w:t>
            </w:r>
            <w:proofErr w:type="spellStart"/>
            <w:r w:rsidRPr="00D3661C">
              <w:t>conductímetro</w:t>
            </w:r>
            <w:proofErr w:type="spellEnd"/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0D5A64" w:rsidP="000D5A64">
            <w:pPr>
              <w:pStyle w:val="tabla"/>
            </w:pPr>
            <w:proofErr w:type="spellStart"/>
            <w:r>
              <w:t>Dreal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Densidad real del suelo, </w:t>
            </w:r>
            <w:r w:rsidR="000D5A64">
              <w:t xml:space="preserve">en </w:t>
            </w:r>
            <w:r w:rsidR="000D5A64" w:rsidRPr="00D3661C">
              <w:t>gr/ml</w:t>
            </w:r>
            <w:r w:rsidR="000D5A64">
              <w:t xml:space="preserve">, </w:t>
            </w:r>
            <w:r w:rsidRPr="00D3661C">
              <w:t>que se refiere a la densidad de las partículas sólidas, expresadas como la relación de la masa total de las partículas sólidas a su volumen total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CaCO3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Porcentaje de carbonatos, determinado por volumetría de gases utilizando el calcímetro de Bernard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Tipo_reaccion_hor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Tipificación de la reacción del suelo (en agua), a partir de Soil </w:t>
            </w:r>
            <w:proofErr w:type="spellStart"/>
            <w:r w:rsidRPr="00D3661C">
              <w:t>Taxonomy</w:t>
            </w:r>
            <w:proofErr w:type="spellEnd"/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72271E" w:rsidP="00E572EA">
            <w:pPr>
              <w:pStyle w:val="tabla"/>
            </w:pPr>
            <w:proofErr w:type="spellStart"/>
            <w:r w:rsidRPr="0072271E">
              <w:t>Clase_text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Clasificación textural americana (Soil Survey </w:t>
            </w:r>
            <w:proofErr w:type="spellStart"/>
            <w:r w:rsidRPr="00D3661C">
              <w:t>Division</w:t>
            </w:r>
            <w:proofErr w:type="spellEnd"/>
            <w:r w:rsidRPr="00D3661C">
              <w:t xml:space="preserve"> Staff), a partir del análisis granulométrico en el laboratorio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Observaciones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72271E" w:rsidP="00E572EA">
            <w:pPr>
              <w:pStyle w:val="tabla"/>
            </w:pPr>
            <w:r>
              <w:t>Observaciones generales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Dg</w:t>
            </w:r>
            <w:r w:rsidR="00D15FE4">
              <w:t>_TF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6B2B6F">
            <w:pPr>
              <w:pStyle w:val="tabla"/>
            </w:pPr>
            <w:r w:rsidRPr="00D3661C">
              <w:t xml:space="preserve">Diámetro </w:t>
            </w:r>
            <w:r>
              <w:t xml:space="preserve">medio </w:t>
            </w:r>
            <w:r w:rsidR="006B2B6F">
              <w:t>cuadrático</w:t>
            </w:r>
            <w:r w:rsidRPr="00D3661C">
              <w:t xml:space="preserve"> </w:t>
            </w:r>
            <w:r>
              <w:t xml:space="preserve">de </w:t>
            </w:r>
            <w:r w:rsidR="006B2B6F">
              <w:t>los tamaños de</w:t>
            </w:r>
            <w:r>
              <w:t xml:space="preserve"> partículas </w:t>
            </w:r>
            <w:r w:rsidR="006B2B6F">
              <w:t>en</w:t>
            </w:r>
            <w:r>
              <w:t xml:space="preserve"> tierra fina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SIGMAg</w:t>
            </w:r>
            <w:r w:rsidR="00C01AB2">
              <w:t>_TF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C01AB2">
            <w:pPr>
              <w:pStyle w:val="tabla"/>
            </w:pPr>
            <w:r w:rsidRPr="00D3661C">
              <w:t>Desviación típica geométrica</w:t>
            </w:r>
            <w:r>
              <w:t xml:space="preserve"> de</w:t>
            </w:r>
            <w:r w:rsidR="00C01AB2">
              <w:t xml:space="preserve"> la distribución de tamaños</w:t>
            </w:r>
            <w:r>
              <w:t xml:space="preserve"> de partículas </w:t>
            </w:r>
            <w:r w:rsidR="006B2B6F">
              <w:t>en</w:t>
            </w:r>
            <w:r>
              <w:t xml:space="preserve"> tierra fina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lastRenderedPageBreak/>
              <w:t>Dg_TN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C01AB2">
            <w:pPr>
              <w:pStyle w:val="tabla"/>
            </w:pPr>
            <w:r w:rsidRPr="00D3661C">
              <w:t xml:space="preserve">Diámetro medio </w:t>
            </w:r>
            <w:r w:rsidR="00C01AB2">
              <w:t xml:space="preserve">cuadrático </w:t>
            </w:r>
            <w:r w:rsidRPr="00D3661C">
              <w:t xml:space="preserve">total, de la </w:t>
            </w:r>
            <w:proofErr w:type="spellStart"/>
            <w:r w:rsidRPr="00D3661C">
              <w:t>TF</w:t>
            </w:r>
            <w:proofErr w:type="spellEnd"/>
            <w:r w:rsidRPr="00D3661C">
              <w:t xml:space="preserve"> y los gruesos, en mm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SIGMAg_TN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Desviación típica geométrica total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Ca_ppm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Concentración de Ca en ppm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Mg_ppm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Concentración de Mg en ppm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Na_ppm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Concentración de Na en ppm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C01AB2">
            <w:pPr>
              <w:pStyle w:val="tabla"/>
            </w:pPr>
            <w:proofErr w:type="spellStart"/>
            <w:r w:rsidRPr="00D3661C">
              <w:t>Na</w:t>
            </w:r>
            <w:r w:rsidR="00C01AB2">
              <w:t>_meq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Concentración de Na en </w:t>
            </w:r>
            <w:proofErr w:type="spellStart"/>
            <w:r w:rsidRPr="00D3661C">
              <w:t>meq</w:t>
            </w:r>
            <w:proofErr w:type="spellEnd"/>
            <w:r w:rsidRPr="00D3661C">
              <w:t xml:space="preserve"> por cada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D3661C">
                <w:t>100 g</w:t>
              </w:r>
            </w:smartTag>
            <w:r w:rsidRPr="00D3661C">
              <w:t xml:space="preserve"> de tierra fina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K_ppm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Concentración de K en ppm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CIC_TF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Capacidad de intercambio catiónico en tierra fina, en </w:t>
            </w:r>
            <w:proofErr w:type="spellStart"/>
            <w:r w:rsidRPr="00D3661C">
              <w:t>cMol</w:t>
            </w:r>
            <w:proofErr w:type="spellEnd"/>
            <w:r w:rsidRPr="00D3661C">
              <w:t>/kg muestra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CIC_arcilla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Capacidad de intercambio catiónico en fracción de arcilla, en </w:t>
            </w:r>
            <w:proofErr w:type="spellStart"/>
            <w:r w:rsidRPr="00D3661C">
              <w:t>cMol</w:t>
            </w:r>
            <w:proofErr w:type="spellEnd"/>
            <w:r w:rsidRPr="00D3661C">
              <w:t>/kg arcilla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B34952" w:rsidP="00E572EA">
            <w:pPr>
              <w:pStyle w:val="tabla"/>
            </w:pPr>
            <w:r>
              <w:t>S_meq_</w:t>
            </w:r>
            <w:r w:rsidR="005A3874" w:rsidRPr="00D3661C">
              <w:t>100g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Suma de cationes (Ca, Mg, K y Na)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B34952" w:rsidP="00E572EA">
            <w:pPr>
              <w:pStyle w:val="tabla"/>
            </w:pPr>
            <w:proofErr w:type="spellStart"/>
            <w:r>
              <w:t>S_meq_</w:t>
            </w:r>
            <w:r w:rsidR="005A3874" w:rsidRPr="00D3661C">
              <w:t>arcilla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Suma de cationes (Ca, Mg, K y Na) en la fracción de arcilla, en </w:t>
            </w:r>
            <w:proofErr w:type="spellStart"/>
            <w:r w:rsidRPr="00D3661C">
              <w:t>meq</w:t>
            </w:r>
            <w:proofErr w:type="spellEnd"/>
            <w:r w:rsidRPr="00D3661C">
              <w:t>/100g de arcilla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V_TF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Tanto de saturación (S/CIC) en </w:t>
            </w:r>
            <w:proofErr w:type="spellStart"/>
            <w:r w:rsidRPr="00D3661C">
              <w:t>TF</w:t>
            </w:r>
            <w:proofErr w:type="spellEnd"/>
            <w:r w:rsidR="00B34952">
              <w:t>, en porcentaje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Obs_cationes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Observaciones sobre la extracción de cationes y la CIC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ColorLab_Seco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Color de la muestra seca medido en el laboratorio, según el código de colores </w:t>
            </w:r>
            <w:proofErr w:type="spellStart"/>
            <w:r w:rsidRPr="00D3661C">
              <w:t>Munsell</w:t>
            </w:r>
            <w:proofErr w:type="spellEnd"/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ColorLab_humedo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Color de la muestra húmeda medido en el laboratorio, según el código de colores </w:t>
            </w:r>
            <w:proofErr w:type="spellStart"/>
            <w:r w:rsidRPr="00D3661C">
              <w:t>Munsell</w:t>
            </w:r>
            <w:proofErr w:type="spellEnd"/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 w:rsidRPr="00D3661C">
              <w:t>Colo</w:t>
            </w:r>
            <w:r w:rsidR="00AC59FD">
              <w:t>rLab_Manchas</w:t>
            </w:r>
            <w:proofErr w:type="spellEnd"/>
          </w:p>
          <w:p w:rsidR="005A3874" w:rsidRPr="00D3661C" w:rsidRDefault="00AC59FD" w:rsidP="00E572EA">
            <w:pPr>
              <w:pStyle w:val="tabla"/>
            </w:pPr>
            <w:r>
              <w:t>_</w:t>
            </w:r>
            <w:r w:rsidR="005A3874" w:rsidRPr="00D3661C">
              <w:t>Seco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Color de las manchas de la muestra seca medido en el laboratorio, según el código de colores </w:t>
            </w:r>
            <w:proofErr w:type="spellStart"/>
            <w:r w:rsidRPr="00D3661C">
              <w:t>Munsell</w:t>
            </w:r>
            <w:proofErr w:type="spellEnd"/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AC59FD" w:rsidP="00E572EA">
            <w:pPr>
              <w:pStyle w:val="tabla"/>
            </w:pPr>
            <w:proofErr w:type="spellStart"/>
            <w:r>
              <w:t>ColorLab_Manchas</w:t>
            </w:r>
            <w:proofErr w:type="spellEnd"/>
          </w:p>
          <w:p w:rsidR="005A3874" w:rsidRPr="00D3661C" w:rsidRDefault="00AC59FD" w:rsidP="00E572EA">
            <w:pPr>
              <w:pStyle w:val="tabla"/>
            </w:pPr>
            <w:r>
              <w:t>_</w:t>
            </w:r>
            <w:proofErr w:type="spellStart"/>
            <w:r w:rsidR="005A3874" w:rsidRPr="00D3661C">
              <w:t>Humedo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Color de las manchas de la muestra húmeda medido en el laboratorio, según el código de colores </w:t>
            </w:r>
            <w:proofErr w:type="spellStart"/>
            <w:r w:rsidRPr="00D3661C">
              <w:t>Munsell</w:t>
            </w:r>
            <w:proofErr w:type="spellEnd"/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Obs_color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Observaciones sobre el color de la muestra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86130C" w:rsidRDefault="005A3874" w:rsidP="00E572EA">
            <w:pPr>
              <w:pStyle w:val="tabla"/>
              <w:rPr>
                <w:b/>
              </w:rPr>
            </w:pPr>
            <w:proofErr w:type="spellStart"/>
            <w:r w:rsidRPr="0086130C">
              <w:rPr>
                <w:b/>
              </w:rPr>
              <w:t>CodRoca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Código asignado al tipo de roca más abundante en la muestra</w:t>
            </w:r>
            <w:r w:rsidR="007632BA">
              <w:t>. Coincide con el campo de igual nombre de la tabla 06_Rocas y sirve de unión para conocer las características de la roca del horizonte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86130C" w:rsidP="0086130C">
            <w:pPr>
              <w:pStyle w:val="tabla"/>
            </w:pPr>
            <w:r>
              <w:t>Gruesos</w:t>
            </w:r>
            <w:r w:rsidR="005A3874" w:rsidRPr="00D3661C">
              <w:t>_63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en peso de la fracción gruesa de la muestra comprendida entre 2 y </w:t>
            </w:r>
            <w:smartTag w:uri="urn:schemas-microsoft-com:office:smarttags" w:element="metricconverter">
              <w:smartTagPr>
                <w:attr w:name="ProductID" w:val="6,3 mm"/>
              </w:smartTagPr>
              <w:r w:rsidRPr="00D3661C">
                <w:t xml:space="preserve">6,3 </w:t>
              </w:r>
              <w:proofErr w:type="spellStart"/>
              <w:r w:rsidRPr="00D3661C">
                <w:t>mm</w:t>
              </w:r>
            </w:smartTag>
            <w:r w:rsidRPr="00D3661C">
              <w:t>.</w:t>
            </w:r>
            <w:proofErr w:type="spellEnd"/>
            <w:r w:rsidRPr="00D3661C">
              <w:t xml:space="preserve"> Se usan tamices de </w:t>
            </w:r>
            <w:smartTag w:uri="urn:schemas-microsoft-com:office:smarttags" w:element="metricconverter">
              <w:smartTagPr>
                <w:attr w:name="ProductID" w:val="6,3 mm"/>
              </w:smartTagPr>
              <w:r w:rsidRPr="00D3661C">
                <w:t>6,3 mm</w:t>
              </w:r>
            </w:smartTag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86130C" w:rsidP="0086130C">
            <w:pPr>
              <w:pStyle w:val="tabla"/>
            </w:pPr>
            <w:r>
              <w:t>Gruesos_</w:t>
            </w:r>
            <w:r w:rsidR="005A3874" w:rsidRPr="00D3661C">
              <w:t>315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en peso de la fracción gruesa de la muestra comprendida entre 6,3 y </w:t>
            </w:r>
            <w:smartTag w:uri="urn:schemas-microsoft-com:office:smarttags" w:element="metricconverter">
              <w:smartTagPr>
                <w:attr w:name="ProductID" w:val="31,5 mm"/>
              </w:smartTagPr>
              <w:r w:rsidRPr="00D3661C">
                <w:t xml:space="preserve">31,5 </w:t>
              </w:r>
              <w:proofErr w:type="spellStart"/>
              <w:r w:rsidRPr="00D3661C">
                <w:t>mm</w:t>
              </w:r>
            </w:smartTag>
            <w:r w:rsidRPr="00D3661C">
              <w:t>.</w:t>
            </w:r>
            <w:proofErr w:type="spellEnd"/>
            <w:r w:rsidRPr="00D3661C">
              <w:t xml:space="preserve"> Se usan tamices de 6,3 y </w:t>
            </w:r>
            <w:smartTag w:uri="urn:schemas-microsoft-com:office:smarttags" w:element="metricconverter">
              <w:smartTagPr>
                <w:attr w:name="ProductID" w:val="31,5 mm"/>
              </w:smartTagPr>
              <w:r w:rsidRPr="00D3661C">
                <w:t>31,5 mm</w:t>
              </w:r>
            </w:smartTag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86130C" w:rsidP="0086130C">
            <w:pPr>
              <w:pStyle w:val="tabla"/>
            </w:pPr>
            <w:r>
              <w:t>Gruesos</w:t>
            </w:r>
            <w:r w:rsidR="005A3874" w:rsidRPr="00D3661C">
              <w:t>_80</w:t>
            </w:r>
            <w:r>
              <w:t>0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en peso de la fracción gruesa de la muestra comprendida entre 31,5 y </w:t>
            </w:r>
            <w:smartTag w:uri="urn:schemas-microsoft-com:office:smarttags" w:element="metricconverter">
              <w:smartTagPr>
                <w:attr w:name="ProductID" w:val="80 mm"/>
              </w:smartTagPr>
              <w:r w:rsidRPr="00D3661C">
                <w:t xml:space="preserve">80 </w:t>
              </w:r>
              <w:proofErr w:type="spellStart"/>
              <w:r w:rsidRPr="00D3661C">
                <w:t>mm</w:t>
              </w:r>
            </w:smartTag>
            <w:r w:rsidRPr="00D3661C">
              <w:t>.</w:t>
            </w:r>
            <w:proofErr w:type="spellEnd"/>
            <w:r w:rsidRPr="00D3661C">
              <w:t xml:space="preserve"> Se usan tamices de 31,5 y </w:t>
            </w:r>
            <w:smartTag w:uri="urn:schemas-microsoft-com:office:smarttags" w:element="metricconverter">
              <w:smartTagPr>
                <w:attr w:name="ProductID" w:val="80 mm"/>
              </w:smartTagPr>
              <w:r w:rsidRPr="00D3661C">
                <w:t>80 mm</w:t>
              </w:r>
            </w:smartTag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86130C" w:rsidP="003E686B">
            <w:pPr>
              <w:pStyle w:val="tabla"/>
            </w:pPr>
            <w:r>
              <w:t>Gruesos</w:t>
            </w:r>
            <w:r w:rsidR="005A3874" w:rsidRPr="00D3661C">
              <w:t>_</w:t>
            </w:r>
            <w:r w:rsidR="003E686B">
              <w:t>900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 xml:space="preserve">Porcentaje en peso de la fracción gruesa de la muestra mayor de </w:t>
            </w:r>
            <w:smartTag w:uri="urn:schemas-microsoft-com:office:smarttags" w:element="metricconverter">
              <w:smartTagPr>
                <w:attr w:name="ProductID" w:val="80 mm"/>
              </w:smartTagPr>
              <w:r w:rsidRPr="00D3661C">
                <w:t>80 mm</w:t>
              </w:r>
            </w:smartTag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Dureza_gruesos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Descripción de la dureza de los elementos gruesos de la muestra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Friabilidad_gruesos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Descripción de la friabilidad de los elementos gruesos de la muestra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Color1_gruesos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Color principal de la fracción gruesa de la muestra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Color2_gruesos</w:t>
            </w:r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Colores secundarios de los elementos gruesos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Forma_gruesos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Descripción de la forma de los elementos gruesos</w:t>
            </w:r>
          </w:p>
        </w:tc>
      </w:tr>
      <w:tr w:rsidR="005A3874" w:rsidRPr="00D3661C" w:rsidTr="003E686B">
        <w:trPr>
          <w:cantSplit/>
          <w:trHeight w:val="255"/>
          <w:jc w:val="center"/>
        </w:trPr>
        <w:tc>
          <w:tcPr>
            <w:tcW w:w="169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proofErr w:type="spellStart"/>
            <w:r w:rsidRPr="00D3661C">
              <w:t>Obs_gruesos</w:t>
            </w:r>
            <w:proofErr w:type="spellEnd"/>
          </w:p>
        </w:tc>
        <w:tc>
          <w:tcPr>
            <w:tcW w:w="679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D3661C" w:rsidRDefault="005A3874" w:rsidP="00E572EA">
            <w:pPr>
              <w:pStyle w:val="tabla"/>
            </w:pPr>
            <w:r w:rsidRPr="00D3661C">
              <w:t>Observaciones sobre la fracción gruesa de la muestra</w:t>
            </w:r>
          </w:p>
        </w:tc>
      </w:tr>
    </w:tbl>
    <w:p w:rsidR="005A3874" w:rsidRDefault="00DF1CBF" w:rsidP="009223F8">
      <w:pPr>
        <w:pStyle w:val="Ttulo3"/>
      </w:pPr>
      <w:r>
        <w:t>T</w:t>
      </w:r>
      <w:r w:rsidR="001059BC">
        <w:t>05_</w:t>
      </w:r>
      <w:r w:rsidR="005A3874">
        <w:t>Gruesos_CodRocaS</w:t>
      </w:r>
      <w:r w:rsidR="009300AC">
        <w:t>ecund</w:t>
      </w:r>
    </w:p>
    <w:p w:rsidR="005A3874" w:rsidRDefault="005A3874" w:rsidP="001059BC">
      <w:pPr>
        <w:pStyle w:val="basico"/>
        <w:keepNext/>
      </w:pPr>
      <w:r>
        <w:t>Se indican las rocas tipo que aparecen en el horizonte de forma secundaria.</w:t>
      </w:r>
    </w:p>
    <w:tbl>
      <w:tblPr>
        <w:tblW w:w="8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0"/>
        <w:gridCol w:w="6639"/>
      </w:tblGrid>
      <w:tr w:rsidR="005A3874" w:rsidRPr="004040CF" w:rsidTr="00E572EA">
        <w:trPr>
          <w:cantSplit/>
          <w:trHeight w:val="255"/>
          <w:tblHeader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639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RPr="00003AFC" w:rsidTr="00E572EA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CD7AE0" w:rsidRDefault="00CD7AE0" w:rsidP="00E572EA">
            <w:pPr>
              <w:pStyle w:val="tabla"/>
              <w:keepNext/>
              <w:rPr>
                <w:b/>
              </w:rPr>
            </w:pPr>
            <w:proofErr w:type="spellStart"/>
            <w:r w:rsidRPr="00CD7AE0">
              <w:rPr>
                <w:b/>
              </w:rPr>
              <w:t>Cod</w:t>
            </w:r>
            <w:r w:rsidR="005A3874" w:rsidRPr="00CD7AE0">
              <w:rPr>
                <w:b/>
              </w:rPr>
              <w:t>_muestra</w:t>
            </w:r>
            <w:proofErr w:type="spellEnd"/>
          </w:p>
        </w:tc>
        <w:tc>
          <w:tcPr>
            <w:tcW w:w="6639" w:type="dxa"/>
            <w:shd w:val="clear" w:color="auto" w:fill="auto"/>
            <w:vAlign w:val="center"/>
          </w:tcPr>
          <w:p w:rsidR="001059BC" w:rsidRPr="00003AFC" w:rsidRDefault="0078368D" w:rsidP="00B80E25">
            <w:pPr>
              <w:pStyle w:val="tabla"/>
              <w:keepNext/>
            </w:pPr>
            <w:r>
              <w:t>Código que identifica a la</w:t>
            </w:r>
            <w:r w:rsidRPr="00167609">
              <w:t xml:space="preserve"> muestra</w:t>
            </w:r>
            <w:r w:rsidR="005A3874" w:rsidRPr="00167609">
              <w:t>.</w:t>
            </w:r>
            <w:r w:rsidR="001059BC" w:rsidRPr="00167609">
              <w:t xml:space="preserve"> </w:t>
            </w:r>
            <w:r w:rsidR="001059BC">
              <w:t xml:space="preserve">Coincide con el campo de igual nombre de la tabla “03_Horizontes” y sirve de unión entre ellas. </w:t>
            </w:r>
            <w:r w:rsidR="00B80E25">
              <w:t xml:space="preserve">La </w:t>
            </w:r>
            <w:proofErr w:type="spellStart"/>
            <w:r w:rsidR="00B80E25">
              <w:t>cardinalidad</w:t>
            </w:r>
            <w:proofErr w:type="spellEnd"/>
            <w:r w:rsidR="00B80E25">
              <w:t xml:space="preserve"> de la relación es de</w:t>
            </w:r>
            <w:r w:rsidR="001059BC">
              <w:t xml:space="preserve"> uno a </w:t>
            </w:r>
            <w:r w:rsidR="00FF0472">
              <w:t>muchos</w:t>
            </w:r>
          </w:p>
        </w:tc>
      </w:tr>
      <w:tr w:rsidR="005A3874" w:rsidRPr="004040CF" w:rsidTr="00E572EA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CD7AE0" w:rsidRDefault="005A3874" w:rsidP="00E572EA">
            <w:pPr>
              <w:pStyle w:val="tabla"/>
              <w:rPr>
                <w:b/>
              </w:rPr>
            </w:pPr>
            <w:proofErr w:type="spellStart"/>
            <w:r w:rsidRPr="00CD7AE0">
              <w:rPr>
                <w:b/>
              </w:rPr>
              <w:t>CodRoca_Secund</w:t>
            </w:r>
            <w:proofErr w:type="spellEnd"/>
          </w:p>
        </w:tc>
        <w:tc>
          <w:tcPr>
            <w:tcW w:w="6639" w:type="dxa"/>
            <w:shd w:val="clear" w:color="auto" w:fill="auto"/>
            <w:vAlign w:val="center"/>
          </w:tcPr>
          <w:p w:rsidR="005A3874" w:rsidRPr="006617CC" w:rsidRDefault="005A3874" w:rsidP="007632BA">
            <w:pPr>
              <w:pStyle w:val="tabla"/>
            </w:pPr>
            <w:r w:rsidRPr="006617CC">
              <w:t>Código de la roca tipo que aparece en el horizonte, pero de menor representación</w:t>
            </w:r>
            <w:r w:rsidR="007632BA">
              <w:t>. Coincide con el campo “</w:t>
            </w:r>
            <w:proofErr w:type="spellStart"/>
            <w:r w:rsidR="007632BA">
              <w:t>CodRoca</w:t>
            </w:r>
            <w:proofErr w:type="spellEnd"/>
            <w:r w:rsidR="007632BA">
              <w:t>” de la tabla 06_Rocas y sirve de unión para conocer las características de la roca</w:t>
            </w:r>
          </w:p>
        </w:tc>
      </w:tr>
    </w:tbl>
    <w:p w:rsidR="005A3874" w:rsidRDefault="00DF1CBF" w:rsidP="009223F8">
      <w:pPr>
        <w:pStyle w:val="Ttulo3"/>
      </w:pPr>
      <w:r>
        <w:lastRenderedPageBreak/>
        <w:t>T</w:t>
      </w:r>
      <w:r w:rsidR="001059BC">
        <w:t>06_</w:t>
      </w:r>
      <w:r w:rsidR="009300AC">
        <w:t>Rocas</w:t>
      </w:r>
    </w:p>
    <w:p w:rsidR="005A3874" w:rsidRPr="00D54198" w:rsidRDefault="005A3874" w:rsidP="005A3874">
      <w:pPr>
        <w:pStyle w:val="basico"/>
      </w:pPr>
      <w:r>
        <w:rPr>
          <w:szCs w:val="24"/>
        </w:rPr>
        <w:t>A</w:t>
      </w:r>
      <w:r w:rsidRPr="00693710">
        <w:rPr>
          <w:szCs w:val="24"/>
        </w:rPr>
        <w:t xml:space="preserve"> partir de las muestras de gruesos de los suelos se ha establecido un catálogo de rocas, en el que se describen y se codifican </w:t>
      </w:r>
      <w:r>
        <w:rPr>
          <w:szCs w:val="24"/>
        </w:rPr>
        <w:t>las muestras obtenidas en la zona de estudio. En esta tabla</w:t>
      </w:r>
      <w:r>
        <w:t xml:space="preserve"> se describen las propiedades físicas de cada tipo de roca.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6879"/>
      </w:tblGrid>
      <w:tr w:rsidR="005A3874" w:rsidRPr="00DC345C" w:rsidTr="002716CF">
        <w:trPr>
          <w:cantSplit/>
          <w:trHeight w:val="255"/>
          <w:tblHeader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RPr="005B6B2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A1091B" w:rsidRDefault="005A3874" w:rsidP="00E572EA">
            <w:pPr>
              <w:pStyle w:val="tabla"/>
              <w:keepNext/>
              <w:rPr>
                <w:b/>
              </w:rPr>
            </w:pPr>
            <w:proofErr w:type="spellStart"/>
            <w:r w:rsidRPr="00A1091B">
              <w:rPr>
                <w:b/>
              </w:rPr>
              <w:t>CodRoca</w:t>
            </w:r>
            <w:proofErr w:type="spellEnd"/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7632BA" w:rsidRDefault="005A3874" w:rsidP="007632BA">
            <w:pPr>
              <w:pStyle w:val="tabla"/>
              <w:keepNext/>
              <w:rPr>
                <w:lang w:val="pt-BR"/>
              </w:rPr>
            </w:pPr>
            <w:r w:rsidRPr="007632BA">
              <w:rPr>
                <w:lang w:val="pt-BR"/>
              </w:rPr>
              <w:t xml:space="preserve">Código </w:t>
            </w:r>
            <w:proofErr w:type="spellStart"/>
            <w:r w:rsidRPr="007632BA">
              <w:rPr>
                <w:lang w:val="pt-BR"/>
              </w:rPr>
              <w:t>asignado</w:t>
            </w:r>
            <w:proofErr w:type="spellEnd"/>
            <w:r w:rsidRPr="007632BA">
              <w:rPr>
                <w:lang w:val="pt-BR"/>
              </w:rPr>
              <w:t xml:space="preserve"> a cada tipo de roca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proofErr w:type="spellStart"/>
            <w:r w:rsidRPr="00DC345C">
              <w:t>Denominacion</w:t>
            </w:r>
            <w:proofErr w:type="spellEnd"/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1C2261">
              <w:t>Nombre asignado a cada tipo de roca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Colores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1C2261">
              <w:t xml:space="preserve">Colores principales de cada tipo de roca (en la tabla </w:t>
            </w:r>
            <w:r w:rsidR="007632BA">
              <w:t>07_</w:t>
            </w:r>
            <w:r w:rsidRPr="001C2261">
              <w:t xml:space="preserve">Rocas_Colores se indican los códigos </w:t>
            </w:r>
            <w:proofErr w:type="spellStart"/>
            <w:r w:rsidRPr="001C2261">
              <w:t>Munsell</w:t>
            </w:r>
            <w:proofErr w:type="spellEnd"/>
            <w:r w:rsidRPr="001C2261">
              <w:t>)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Grano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3661C">
              <w:t>Descripción de</w:t>
            </w:r>
            <w:r>
              <w:t>l grano</w:t>
            </w:r>
            <w:r w:rsidRPr="00D3661C">
              <w:t xml:space="preserve"> de </w:t>
            </w:r>
            <w:r>
              <w:t>cada tipo de roca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Dureza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3661C">
              <w:t xml:space="preserve">Descripción de la dureza de </w:t>
            </w:r>
            <w:r>
              <w:t>cada tipo de roca según escala Mohs de resistencia al rayado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Friabilidad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>
              <w:t>Resistencia a la disgregación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proofErr w:type="spellStart"/>
            <w:r w:rsidRPr="00DC345C">
              <w:t>Color_raya</w:t>
            </w:r>
            <w:proofErr w:type="spellEnd"/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>
              <w:t>Descripción básica del color de la raya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Forma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7632BA">
            <w:pPr>
              <w:pStyle w:val="tabla"/>
            </w:pPr>
            <w:r>
              <w:t xml:space="preserve">Forma de la roca según la tipificación del anejo </w:t>
            </w:r>
            <w:r w:rsidR="007632BA">
              <w:t>1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proofErr w:type="spellStart"/>
            <w:r w:rsidRPr="00DC345C">
              <w:t>Exfoliacion</w:t>
            </w:r>
            <w:proofErr w:type="spellEnd"/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>
              <w:t>Resistencia a la exfoliación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Esquistosidad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>
              <w:t>Facilidad para apreciar la disposición estratificada de los minerales de la roca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7632BA" w:rsidP="00E572EA">
            <w:pPr>
              <w:pStyle w:val="tabla"/>
            </w:pPr>
            <w:r>
              <w:t>HCl_20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1C2261">
              <w:t xml:space="preserve">Se marca cuando reacciona con el </w:t>
            </w:r>
            <w:proofErr w:type="spellStart"/>
            <w:r w:rsidRPr="001C2261">
              <w:t>HCl</w:t>
            </w:r>
            <w:proofErr w:type="spellEnd"/>
            <w:r w:rsidR="007632BA">
              <w:t xml:space="preserve"> (20 %)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Tacto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>
              <w:t>Sensación que causa la roca al tocarla s</w:t>
            </w:r>
            <w:r w:rsidR="007632BA">
              <w:t>egún la tipificación del anejo 1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90335F">
            <w:pPr>
              <w:pStyle w:val="tabla"/>
            </w:pPr>
            <w:r w:rsidRPr="00DC345C">
              <w:t>Densidad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>
              <w:t>Densidad media de la roca medida en 3 muestras</w:t>
            </w:r>
            <w:r w:rsidR="0090335F">
              <w:t xml:space="preserve">, en </w:t>
            </w:r>
            <w:r w:rsidR="0090335F" w:rsidRPr="00DC345C">
              <w:t>g/l</w:t>
            </w:r>
          </w:p>
        </w:tc>
      </w:tr>
      <w:tr w:rsidR="005A3874" w:rsidRPr="00DC345C" w:rsidTr="002716CF">
        <w:trPr>
          <w:cantSplit/>
          <w:trHeight w:val="25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5A3874" w:rsidRPr="00DC345C" w:rsidRDefault="005A3874" w:rsidP="00E572EA">
            <w:pPr>
              <w:pStyle w:val="tabla"/>
            </w:pPr>
            <w:r w:rsidRPr="00DC345C">
              <w:t>Observaciones</w:t>
            </w:r>
          </w:p>
        </w:tc>
        <w:tc>
          <w:tcPr>
            <w:tcW w:w="6879" w:type="dxa"/>
            <w:shd w:val="clear" w:color="auto" w:fill="auto"/>
            <w:noWrap/>
            <w:vAlign w:val="center"/>
          </w:tcPr>
          <w:p w:rsidR="005A3874" w:rsidRPr="00DC345C" w:rsidRDefault="0090335F" w:rsidP="00E572EA">
            <w:pPr>
              <w:pStyle w:val="tabla"/>
            </w:pPr>
            <w:r>
              <w:t>Observaciones generales sobre la roca</w:t>
            </w:r>
          </w:p>
        </w:tc>
      </w:tr>
    </w:tbl>
    <w:p w:rsidR="005A3874" w:rsidRDefault="00DF1CBF" w:rsidP="009223F8">
      <w:pPr>
        <w:pStyle w:val="Ttulo3"/>
      </w:pPr>
      <w:r>
        <w:t>T</w:t>
      </w:r>
      <w:r w:rsidR="001059BC">
        <w:t>07_</w:t>
      </w:r>
      <w:r w:rsidR="009300AC">
        <w:t>Rocas_Colores</w:t>
      </w:r>
    </w:p>
    <w:p w:rsidR="005A3874" w:rsidRDefault="005A3874" w:rsidP="00B06ACA">
      <w:pPr>
        <w:pStyle w:val="basico"/>
        <w:keepNext/>
      </w:pPr>
      <w:r>
        <w:t>Se indican los diferentes colores que presentan las rocas tipo.</w:t>
      </w:r>
    </w:p>
    <w:tbl>
      <w:tblPr>
        <w:tblW w:w="8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0"/>
        <w:gridCol w:w="6355"/>
      </w:tblGrid>
      <w:tr w:rsidR="005A3874" w:rsidRPr="004040CF" w:rsidTr="00E572EA">
        <w:trPr>
          <w:cantSplit/>
          <w:trHeight w:val="255"/>
          <w:tblHeader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355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RPr="004040CF" w:rsidTr="00E572EA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B06ACA" w:rsidRDefault="005A3874" w:rsidP="00E572EA">
            <w:pPr>
              <w:pStyle w:val="tabla"/>
              <w:keepNext/>
              <w:rPr>
                <w:b/>
              </w:rPr>
            </w:pPr>
            <w:proofErr w:type="spellStart"/>
            <w:r w:rsidRPr="00B06ACA">
              <w:rPr>
                <w:b/>
              </w:rPr>
              <w:t>CodRoca</w:t>
            </w:r>
            <w:proofErr w:type="spellEnd"/>
          </w:p>
        </w:tc>
        <w:tc>
          <w:tcPr>
            <w:tcW w:w="6355" w:type="dxa"/>
            <w:shd w:val="clear" w:color="auto" w:fill="auto"/>
            <w:vAlign w:val="center"/>
          </w:tcPr>
          <w:p w:rsidR="005A3874" w:rsidRPr="004040CF" w:rsidRDefault="005A3874" w:rsidP="00B06ACA">
            <w:pPr>
              <w:pStyle w:val="tabla"/>
              <w:keepNext/>
              <w:rPr>
                <w:lang w:val="pt-BR"/>
              </w:rPr>
            </w:pPr>
            <w:r w:rsidRPr="004040CF">
              <w:rPr>
                <w:lang w:val="pt-BR"/>
              </w:rPr>
              <w:t xml:space="preserve">Código </w:t>
            </w:r>
            <w:proofErr w:type="spellStart"/>
            <w:r w:rsidRPr="004040CF">
              <w:rPr>
                <w:lang w:val="pt-BR"/>
              </w:rPr>
              <w:t>asignado</w:t>
            </w:r>
            <w:proofErr w:type="spellEnd"/>
            <w:r w:rsidRPr="004040CF">
              <w:rPr>
                <w:lang w:val="pt-BR"/>
              </w:rPr>
              <w:t xml:space="preserve"> a cada tipo de roca</w:t>
            </w:r>
            <w:r w:rsidR="00B06ACA">
              <w:rPr>
                <w:lang w:val="pt-BR"/>
              </w:rPr>
              <w:t xml:space="preserve">. </w:t>
            </w:r>
            <w:r w:rsidR="00B06ACA">
              <w:t xml:space="preserve">Coincide con el campo de igual nombre de la tabla 06_Rocas y sirve de unión para asignarle los colores </w:t>
            </w:r>
            <w:proofErr w:type="spellStart"/>
            <w:r w:rsidR="00B06ACA">
              <w:t>Munsell</w:t>
            </w:r>
            <w:proofErr w:type="spellEnd"/>
            <w:r w:rsidR="00B06ACA">
              <w:t xml:space="preserve"> a cada tipo de roca</w:t>
            </w:r>
            <w:r w:rsidR="00FF0472">
              <w:t>.</w:t>
            </w:r>
            <w:r w:rsidR="005D5DB5">
              <w:t xml:space="preserve"> La </w:t>
            </w:r>
            <w:proofErr w:type="spellStart"/>
            <w:r w:rsidR="005D5DB5">
              <w:t>cardinalidad</w:t>
            </w:r>
            <w:proofErr w:type="spellEnd"/>
            <w:r w:rsidR="005D5DB5">
              <w:t xml:space="preserve"> de la relación es de</w:t>
            </w:r>
            <w:r w:rsidR="00FF0472">
              <w:t xml:space="preserve"> uno a muchos</w:t>
            </w:r>
          </w:p>
        </w:tc>
      </w:tr>
      <w:tr w:rsidR="005A3874" w:rsidRPr="004040CF" w:rsidTr="00E572EA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>Importancia</w:t>
            </w:r>
          </w:p>
        </w:tc>
        <w:tc>
          <w:tcPr>
            <w:tcW w:w="6355" w:type="dxa"/>
            <w:shd w:val="clear" w:color="auto" w:fill="auto"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>Numeración según la dominancia del color</w:t>
            </w:r>
            <w:r>
              <w:t xml:space="preserve"> en la roca</w:t>
            </w:r>
          </w:p>
        </w:tc>
      </w:tr>
      <w:tr w:rsidR="005A3874" w:rsidRPr="004040CF" w:rsidTr="00E572EA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>Color</w:t>
            </w:r>
          </w:p>
        </w:tc>
        <w:tc>
          <w:tcPr>
            <w:tcW w:w="6355" w:type="dxa"/>
            <w:shd w:val="clear" w:color="auto" w:fill="auto"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 xml:space="preserve">Color identificado para asignarle el código </w:t>
            </w:r>
            <w:proofErr w:type="spellStart"/>
            <w:r w:rsidRPr="004040CF">
              <w:t>Munsell</w:t>
            </w:r>
            <w:proofErr w:type="spellEnd"/>
          </w:p>
        </w:tc>
      </w:tr>
      <w:tr w:rsidR="005A3874" w:rsidRPr="004040CF" w:rsidTr="00E572EA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4040CF" w:rsidRDefault="005A3874" w:rsidP="00E572EA">
            <w:pPr>
              <w:pStyle w:val="tabla"/>
            </w:pPr>
            <w:proofErr w:type="spellStart"/>
            <w:r w:rsidRPr="004040CF">
              <w:t>CodColor</w:t>
            </w:r>
            <w:proofErr w:type="spellEnd"/>
          </w:p>
        </w:tc>
        <w:tc>
          <w:tcPr>
            <w:tcW w:w="6355" w:type="dxa"/>
            <w:shd w:val="clear" w:color="auto" w:fill="auto"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 xml:space="preserve">Código </w:t>
            </w:r>
            <w:proofErr w:type="spellStart"/>
            <w:r w:rsidRPr="004040CF">
              <w:t>Munsell</w:t>
            </w:r>
            <w:proofErr w:type="spellEnd"/>
          </w:p>
        </w:tc>
      </w:tr>
    </w:tbl>
    <w:p w:rsidR="005A3874" w:rsidRDefault="00DF1CBF" w:rsidP="009223F8">
      <w:pPr>
        <w:pStyle w:val="Ttulo3"/>
      </w:pPr>
      <w:r>
        <w:t>T</w:t>
      </w:r>
      <w:r w:rsidR="001059BC">
        <w:t>08_</w:t>
      </w:r>
      <w:r w:rsidR="009300AC">
        <w:t>Gruesos_color</w:t>
      </w:r>
    </w:p>
    <w:p w:rsidR="005A3874" w:rsidRDefault="005A3874" w:rsidP="00B06ACA">
      <w:pPr>
        <w:pStyle w:val="basico"/>
        <w:keepNext/>
      </w:pPr>
      <w:r>
        <w:t>Al analizar la fracción gruesa de cada muestreo, se han definido los diferentes colores que tienen.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0"/>
        <w:gridCol w:w="6380"/>
      </w:tblGrid>
      <w:tr w:rsidR="005A3874" w:rsidRPr="004040CF" w:rsidTr="00167995">
        <w:trPr>
          <w:cantSplit/>
          <w:trHeight w:val="255"/>
          <w:tblHeader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380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FF0472" w:rsidRPr="00003AFC" w:rsidTr="00167995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FF0472" w:rsidRPr="005059CF" w:rsidRDefault="00FF0472" w:rsidP="00FF0472">
            <w:pPr>
              <w:pStyle w:val="tabla"/>
              <w:keepNext/>
              <w:rPr>
                <w:b/>
              </w:rPr>
            </w:pPr>
            <w:proofErr w:type="spellStart"/>
            <w:r w:rsidRPr="005059CF">
              <w:rPr>
                <w:b/>
              </w:rPr>
              <w:t>Cod_muestra</w:t>
            </w:r>
            <w:proofErr w:type="spellEnd"/>
          </w:p>
        </w:tc>
        <w:tc>
          <w:tcPr>
            <w:tcW w:w="6380" w:type="dxa"/>
            <w:shd w:val="clear" w:color="auto" w:fill="auto"/>
            <w:vAlign w:val="center"/>
          </w:tcPr>
          <w:p w:rsidR="00FF0472" w:rsidRPr="00003AFC" w:rsidRDefault="00FF0472" w:rsidP="00FF0472">
            <w:pPr>
              <w:pStyle w:val="tabla"/>
              <w:keepNext/>
            </w:pPr>
            <w:r>
              <w:t>Código que identifica a la</w:t>
            </w:r>
            <w:r w:rsidRPr="00167609">
              <w:t xml:space="preserve"> muestra. </w:t>
            </w:r>
            <w:r>
              <w:t>Coincide con el campo de igual nombre de la tabla “03_Horizontes” y sirve de unión entre ellas.</w:t>
            </w:r>
            <w:r w:rsidR="008B687D">
              <w:t xml:space="preserve"> La </w:t>
            </w:r>
            <w:proofErr w:type="spellStart"/>
            <w:r w:rsidR="008B687D">
              <w:t>cardinalidad</w:t>
            </w:r>
            <w:proofErr w:type="spellEnd"/>
            <w:r w:rsidR="008B687D">
              <w:t xml:space="preserve"> de la relación es de</w:t>
            </w:r>
            <w:r>
              <w:t xml:space="preserve"> uno a muchos</w:t>
            </w:r>
          </w:p>
        </w:tc>
      </w:tr>
      <w:tr w:rsidR="005A3874" w:rsidRPr="004040CF" w:rsidTr="00167995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>Importancia</w:t>
            </w:r>
          </w:p>
        </w:tc>
        <w:tc>
          <w:tcPr>
            <w:tcW w:w="6380" w:type="dxa"/>
            <w:shd w:val="clear" w:color="auto" w:fill="auto"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>Numeración según la dominancia del color</w:t>
            </w:r>
          </w:p>
        </w:tc>
      </w:tr>
      <w:tr w:rsidR="005A3874" w:rsidRPr="004040CF" w:rsidTr="00167995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>Color</w:t>
            </w:r>
          </w:p>
        </w:tc>
        <w:tc>
          <w:tcPr>
            <w:tcW w:w="6380" w:type="dxa"/>
            <w:shd w:val="clear" w:color="auto" w:fill="auto"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 xml:space="preserve">Color identificado para asignarle el código </w:t>
            </w:r>
            <w:proofErr w:type="spellStart"/>
            <w:r w:rsidRPr="004040CF">
              <w:t>Munsell</w:t>
            </w:r>
            <w:proofErr w:type="spellEnd"/>
          </w:p>
        </w:tc>
      </w:tr>
      <w:tr w:rsidR="005A3874" w:rsidRPr="004040CF" w:rsidTr="00167995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4040CF" w:rsidRDefault="005A3874" w:rsidP="00E572EA">
            <w:pPr>
              <w:pStyle w:val="tabla"/>
            </w:pPr>
            <w:proofErr w:type="spellStart"/>
            <w:r w:rsidRPr="004040CF">
              <w:t>CodColor</w:t>
            </w:r>
            <w:proofErr w:type="spellEnd"/>
          </w:p>
        </w:tc>
        <w:tc>
          <w:tcPr>
            <w:tcW w:w="6380" w:type="dxa"/>
            <w:shd w:val="clear" w:color="auto" w:fill="auto"/>
            <w:vAlign w:val="center"/>
          </w:tcPr>
          <w:p w:rsidR="005A3874" w:rsidRPr="004040CF" w:rsidRDefault="005A3874" w:rsidP="00E572EA">
            <w:pPr>
              <w:pStyle w:val="tabla"/>
            </w:pPr>
            <w:r w:rsidRPr="004040CF">
              <w:t xml:space="preserve">Código </w:t>
            </w:r>
            <w:proofErr w:type="spellStart"/>
            <w:r w:rsidRPr="004040CF">
              <w:t>Munsell</w:t>
            </w:r>
            <w:proofErr w:type="spellEnd"/>
          </w:p>
        </w:tc>
      </w:tr>
    </w:tbl>
    <w:p w:rsidR="005A3874" w:rsidRDefault="005A3874" w:rsidP="00A56B06">
      <w:pPr>
        <w:pStyle w:val="Ttulo2"/>
      </w:pPr>
      <w:bookmarkStart w:id="15" w:name="_Toc331150549"/>
      <w:r>
        <w:lastRenderedPageBreak/>
        <w:t xml:space="preserve">Clasificación </w:t>
      </w:r>
      <w:bookmarkEnd w:id="15"/>
      <w:r w:rsidR="00C738BF">
        <w:t>de los puntos de muestreo</w:t>
      </w:r>
    </w:p>
    <w:p w:rsidR="005A3874" w:rsidRPr="00D54198" w:rsidRDefault="00DF1CBF" w:rsidP="009223F8">
      <w:pPr>
        <w:pStyle w:val="Ttulo3"/>
      </w:pPr>
      <w:r>
        <w:t>T</w:t>
      </w:r>
      <w:r w:rsidR="00C11509">
        <w:t>09_</w:t>
      </w:r>
      <w:r w:rsidR="009300AC">
        <w:t>ClasificacionPerfiles</w:t>
      </w:r>
    </w:p>
    <w:p w:rsidR="005A3874" w:rsidRDefault="005A3874" w:rsidP="00C11509">
      <w:pPr>
        <w:pStyle w:val="basico"/>
        <w:keepNext/>
      </w:pPr>
      <w:r>
        <w:t>Tabla con la clasificación de los perfiles levantados. Los campos que se han incorporado son los siguientes: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8"/>
        <w:gridCol w:w="6649"/>
      </w:tblGrid>
      <w:tr w:rsidR="005A3874" w:rsidRPr="00D03BD5" w:rsidTr="00167995">
        <w:trPr>
          <w:cantSplit/>
          <w:trHeight w:val="255"/>
          <w:tblHeader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C11509" w:rsidRDefault="00C11509" w:rsidP="00E572EA">
            <w:pPr>
              <w:pStyle w:val="tabla"/>
              <w:keepNext/>
              <w:rPr>
                <w:b/>
              </w:rPr>
            </w:pPr>
            <w:proofErr w:type="spellStart"/>
            <w:r w:rsidRPr="00C11509">
              <w:rPr>
                <w:b/>
              </w:rPr>
              <w:t>Cod</w:t>
            </w:r>
            <w:r w:rsidR="005A3874" w:rsidRPr="00C11509">
              <w:rPr>
                <w:b/>
              </w:rPr>
              <w:t>_observacion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C11509" w:rsidP="003C4738">
            <w:pPr>
              <w:pStyle w:val="tabla"/>
              <w:keepNext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 xml:space="preserve">”, que sirve de conexión entre ambas tablas. </w:t>
            </w:r>
            <w:r w:rsidR="003C4738">
              <w:t xml:space="preserve">La </w:t>
            </w:r>
            <w:proofErr w:type="spellStart"/>
            <w:r w:rsidR="003C4738">
              <w:t>cardinalidad</w:t>
            </w:r>
            <w:proofErr w:type="spellEnd"/>
            <w:r w:rsidR="003C4738">
              <w:t xml:space="preserve"> de la relación es de </w:t>
            </w:r>
            <w:r>
              <w:t>uno a uno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Horz_diagn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Horizontes de diagnóstico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ReseñaHzt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Reseña sobre los horizontes de diagnóstico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Clasf_FAO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Clasificación FAO (FAO-ISRIC-SICS, 2006)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FAO_resumida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Grupo de suelo de referencia, FAO 2006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ReseñaFAO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Reseña sobre la clasificación FAO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ClasfSoilTax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 xml:space="preserve">Clasificación “Soil </w:t>
            </w:r>
            <w:proofErr w:type="spellStart"/>
            <w:r w:rsidRPr="00D03BD5">
              <w:t>Taxonomy</w:t>
            </w:r>
            <w:proofErr w:type="spellEnd"/>
            <w:r w:rsidRPr="00D03BD5">
              <w:t>”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ReseñaSoilTax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 xml:space="preserve">Reseña sobre la clasificación “Soil </w:t>
            </w:r>
            <w:proofErr w:type="spellStart"/>
            <w:r w:rsidRPr="00D03BD5">
              <w:t>Taxonomy</w:t>
            </w:r>
            <w:proofErr w:type="spellEnd"/>
            <w:r w:rsidRPr="00D03BD5">
              <w:t>”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ClasfGand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Clasificación básica forestal de los suelos españoles (</w:t>
            </w:r>
            <w:proofErr w:type="spellStart"/>
            <w:r w:rsidRPr="00D03BD5">
              <w:t>Gandullo</w:t>
            </w:r>
            <w:proofErr w:type="spellEnd"/>
            <w:r w:rsidRPr="00D03BD5">
              <w:t>, 1994)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ReseñaGand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Reseña sobre la clasificación básica forestal de los suelos españoles</w:t>
            </w:r>
          </w:p>
        </w:tc>
      </w:tr>
      <w:tr w:rsidR="005A3874" w:rsidRPr="00D03BD5" w:rsidTr="00167995">
        <w:trPr>
          <w:cantSplit/>
          <w:trHeight w:val="255"/>
          <w:jc w:val="center"/>
        </w:trPr>
        <w:tc>
          <w:tcPr>
            <w:tcW w:w="1568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proofErr w:type="spellStart"/>
            <w:r w:rsidRPr="00D03BD5">
              <w:t>ReseñaSuelo</w:t>
            </w:r>
            <w:proofErr w:type="spellEnd"/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5A3874" w:rsidRPr="00D03BD5" w:rsidRDefault="005A3874" w:rsidP="00E572EA">
            <w:pPr>
              <w:pStyle w:val="tabla"/>
            </w:pPr>
            <w:r w:rsidRPr="00D03BD5">
              <w:t>Reseña general sobre las características del muestreo</w:t>
            </w:r>
          </w:p>
        </w:tc>
      </w:tr>
    </w:tbl>
    <w:p w:rsidR="00C11509" w:rsidRDefault="00C11509" w:rsidP="00C11509"/>
    <w:p w:rsidR="005A3874" w:rsidRDefault="005A3874" w:rsidP="005A3874">
      <w:pPr>
        <w:pStyle w:val="basico"/>
      </w:pPr>
      <w:r>
        <w:t>Se han clasificado 322 perfiles de los 368 realizados, debido a que el resto son muestreos que carecen de la información necesaria para su correcta clasificación.</w:t>
      </w:r>
    </w:p>
    <w:p w:rsidR="005A3874" w:rsidRPr="00D54198" w:rsidRDefault="00DF1CBF" w:rsidP="009223F8">
      <w:pPr>
        <w:pStyle w:val="Ttulo3"/>
      </w:pPr>
      <w:r>
        <w:t>T</w:t>
      </w:r>
      <w:r w:rsidR="00500252">
        <w:t>10_</w:t>
      </w:r>
      <w:r w:rsidR="009300AC">
        <w:t>Factores_dominantes</w:t>
      </w:r>
    </w:p>
    <w:p w:rsidR="005A3874" w:rsidRDefault="005A3874" w:rsidP="005A3874">
      <w:pPr>
        <w:pStyle w:val="basico"/>
      </w:pPr>
      <w:r>
        <w:t>Indicadores orientativos de los factores ecológicos que más han podido influir en la formación y evolución de ese suelo.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0"/>
        <w:gridCol w:w="5672"/>
      </w:tblGrid>
      <w:tr w:rsidR="005A3874" w:rsidRPr="007C7DE2" w:rsidTr="00C11509">
        <w:trPr>
          <w:cantSplit/>
          <w:trHeight w:val="255"/>
          <w:tblHeader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5672" w:type="dxa"/>
            <w:shd w:val="clear" w:color="auto" w:fill="auto"/>
            <w:noWrap/>
            <w:vAlign w:val="center"/>
          </w:tcPr>
          <w:p w:rsidR="005A3874" w:rsidRDefault="005A3874" w:rsidP="00E572EA">
            <w:pPr>
              <w:pStyle w:val="tabla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C11509" w:rsidRPr="007C7DE2" w:rsidTr="00C11509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C11509" w:rsidRPr="00C11509" w:rsidRDefault="00C11509" w:rsidP="00C11509">
            <w:pPr>
              <w:pStyle w:val="tabla"/>
              <w:keepNext/>
              <w:rPr>
                <w:b/>
              </w:rPr>
            </w:pPr>
            <w:proofErr w:type="spellStart"/>
            <w:r w:rsidRPr="00C11509">
              <w:rPr>
                <w:b/>
              </w:rPr>
              <w:t>Cod_observacion</w:t>
            </w:r>
            <w:proofErr w:type="spellEnd"/>
          </w:p>
        </w:tc>
        <w:tc>
          <w:tcPr>
            <w:tcW w:w="5672" w:type="dxa"/>
            <w:shd w:val="clear" w:color="auto" w:fill="auto"/>
            <w:noWrap/>
            <w:vAlign w:val="center"/>
          </w:tcPr>
          <w:p w:rsidR="00C11509" w:rsidRPr="00D03BD5" w:rsidRDefault="00C11509" w:rsidP="00500252">
            <w:pPr>
              <w:pStyle w:val="tabla"/>
              <w:keepNext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 xml:space="preserve">”, que sirve de conexión entre ambas tablas. </w:t>
            </w:r>
            <w:r w:rsidR="003C4738">
              <w:t xml:space="preserve">La </w:t>
            </w:r>
            <w:proofErr w:type="spellStart"/>
            <w:r w:rsidR="003C4738">
              <w:t>cardinalidad</w:t>
            </w:r>
            <w:proofErr w:type="spellEnd"/>
            <w:r w:rsidR="003C4738">
              <w:t xml:space="preserve"> de la relación es de</w:t>
            </w:r>
            <w:r>
              <w:t xml:space="preserve"> uno a </w:t>
            </w:r>
            <w:r w:rsidR="00500252">
              <w:t>muchos</w:t>
            </w:r>
          </w:p>
        </w:tc>
      </w:tr>
      <w:tr w:rsidR="005A3874" w:rsidRPr="007C7DE2" w:rsidTr="00C11509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7C7DE2" w:rsidRDefault="005A3874" w:rsidP="00E572EA">
            <w:pPr>
              <w:pStyle w:val="tabla"/>
            </w:pPr>
            <w:proofErr w:type="spellStart"/>
            <w:r w:rsidRPr="007C7DE2">
              <w:t>Factor_relevante</w:t>
            </w:r>
            <w:proofErr w:type="spellEnd"/>
          </w:p>
        </w:tc>
        <w:tc>
          <w:tcPr>
            <w:tcW w:w="5672" w:type="dxa"/>
            <w:shd w:val="clear" w:color="auto" w:fill="auto"/>
            <w:vAlign w:val="center"/>
          </w:tcPr>
          <w:p w:rsidR="005A3874" w:rsidRPr="007C7DE2" w:rsidRDefault="00500252" w:rsidP="00E572EA">
            <w:pPr>
              <w:pStyle w:val="tabla"/>
            </w:pPr>
            <w:r>
              <w:t>Factor o factores que más influyen en la evolución del suelo</w:t>
            </w:r>
          </w:p>
        </w:tc>
      </w:tr>
      <w:tr w:rsidR="005A3874" w:rsidRPr="007C7DE2" w:rsidTr="00C11509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7C7DE2" w:rsidRDefault="005A3874" w:rsidP="00E572EA">
            <w:pPr>
              <w:pStyle w:val="tabla"/>
            </w:pPr>
            <w:proofErr w:type="spellStart"/>
            <w:r w:rsidRPr="007C7DE2">
              <w:t>Tipo_influencia</w:t>
            </w:r>
            <w:proofErr w:type="spellEnd"/>
          </w:p>
        </w:tc>
        <w:tc>
          <w:tcPr>
            <w:tcW w:w="5672" w:type="dxa"/>
            <w:shd w:val="clear" w:color="auto" w:fill="auto"/>
            <w:vAlign w:val="center"/>
          </w:tcPr>
          <w:p w:rsidR="005A3874" w:rsidRPr="007C7DE2" w:rsidRDefault="00500252" w:rsidP="00E572EA">
            <w:pPr>
              <w:pStyle w:val="tabla"/>
            </w:pPr>
            <w:r>
              <w:t>Tipo de influencia del factor: dominante, influyente o determinante</w:t>
            </w:r>
          </w:p>
        </w:tc>
      </w:tr>
      <w:tr w:rsidR="005A3874" w:rsidRPr="007C7DE2" w:rsidTr="00C11509">
        <w:trPr>
          <w:cantSplit/>
          <w:trHeight w:val="255"/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:rsidR="005A3874" w:rsidRPr="007C7DE2" w:rsidRDefault="005A3874" w:rsidP="00E572EA">
            <w:pPr>
              <w:pStyle w:val="tabla"/>
            </w:pPr>
            <w:proofErr w:type="spellStart"/>
            <w:r w:rsidRPr="007C7DE2">
              <w:t>Correlaci</w:t>
            </w:r>
            <w:r>
              <w:t>o</w:t>
            </w:r>
            <w:r w:rsidRPr="007C7DE2">
              <w:t>n</w:t>
            </w:r>
            <w:proofErr w:type="spellEnd"/>
          </w:p>
        </w:tc>
        <w:tc>
          <w:tcPr>
            <w:tcW w:w="5672" w:type="dxa"/>
            <w:shd w:val="clear" w:color="auto" w:fill="auto"/>
            <w:vAlign w:val="center"/>
          </w:tcPr>
          <w:p w:rsidR="005A3874" w:rsidRPr="007C7DE2" w:rsidRDefault="00500252" w:rsidP="00500252">
            <w:pPr>
              <w:pStyle w:val="tabla"/>
            </w:pPr>
            <w:r>
              <w:t>Tipo de correlación del factor con la evolución del suelo: positiva, negativa o dudosa</w:t>
            </w:r>
          </w:p>
        </w:tc>
      </w:tr>
    </w:tbl>
    <w:p w:rsidR="005A3874" w:rsidRDefault="005A3874" w:rsidP="00A56B06">
      <w:pPr>
        <w:pStyle w:val="Ttulo2"/>
      </w:pPr>
      <w:bookmarkStart w:id="16" w:name="_Toc331150550"/>
      <w:r>
        <w:t>Gabinete</w:t>
      </w:r>
      <w:bookmarkEnd w:id="16"/>
      <w:r w:rsidR="0008459A">
        <w:t xml:space="preserve"> – puntos de muestreo</w:t>
      </w:r>
    </w:p>
    <w:p w:rsidR="005A3874" w:rsidRDefault="005A3874" w:rsidP="005A3874">
      <w:pPr>
        <w:pStyle w:val="basico"/>
      </w:pPr>
      <w:r>
        <w:rPr>
          <w:lang w:val="es-ES_tradnl"/>
        </w:rPr>
        <w:t xml:space="preserve">En este apartado se recoge, fundamentalmente, toda aquella información derivada </w:t>
      </w:r>
      <w:r w:rsidR="001017FB">
        <w:rPr>
          <w:lang w:val="es-ES_tradnl"/>
        </w:rPr>
        <w:t>de los análisis de laboratorio relativa a los puntos de muestreo. La descripción de las tablas que se incluyen</w:t>
      </w:r>
      <w:r>
        <w:t xml:space="preserve"> se detalla a continuación.</w:t>
      </w:r>
    </w:p>
    <w:p w:rsidR="005A3874" w:rsidRDefault="00DF1CBF" w:rsidP="009223F8">
      <w:pPr>
        <w:pStyle w:val="Ttulo3"/>
      </w:pPr>
      <w:r>
        <w:lastRenderedPageBreak/>
        <w:t>T</w:t>
      </w:r>
      <w:r w:rsidR="009300AC">
        <w:t>11_</w:t>
      </w:r>
      <w:r w:rsidR="005A3874" w:rsidRPr="00046FE5">
        <w:t>VblesEdaficas_Hz</w:t>
      </w:r>
    </w:p>
    <w:p w:rsidR="005A3874" w:rsidRDefault="005A3874" w:rsidP="00167995">
      <w:pPr>
        <w:pStyle w:val="basico"/>
        <w:keepNext/>
        <w:tabs>
          <w:tab w:val="right" w:pos="9070"/>
        </w:tabs>
      </w:pPr>
      <w:bookmarkStart w:id="17" w:name="OLE_LINK1"/>
      <w:r>
        <w:t>Variables edáficas de cada uno de los horizontes definidos en los perfiles muestreados, obtenidas a partir de los análisis realizados en el laboratorio.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372"/>
      </w:tblGrid>
      <w:tr w:rsidR="005A3874" w:rsidRPr="00046FE5" w:rsidTr="00670BA7">
        <w:trPr>
          <w:cantSplit/>
          <w:trHeight w:val="255"/>
          <w:tblHeader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bookmarkEnd w:id="17"/>
          <w:p w:rsidR="005A3874" w:rsidRPr="00046FE5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Variable</w:t>
            </w:r>
          </w:p>
        </w:tc>
      </w:tr>
      <w:tr w:rsidR="009300AC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300AC" w:rsidRPr="009300AC" w:rsidRDefault="009300AC" w:rsidP="009300AC">
            <w:pPr>
              <w:pStyle w:val="tabla"/>
              <w:keepNext/>
              <w:rPr>
                <w:b/>
              </w:rPr>
            </w:pPr>
            <w:proofErr w:type="spellStart"/>
            <w:r w:rsidRPr="009300AC">
              <w:rPr>
                <w:b/>
              </w:rPr>
              <w:t>Cod_observacion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300AC" w:rsidRPr="00D3661C" w:rsidRDefault="009300AC" w:rsidP="00D748A5">
            <w:pPr>
              <w:pStyle w:val="tabla"/>
              <w:keepNext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 xml:space="preserve">”, que sirve de conexión entre ambas tablas. En este caso este valor se repite, según el número de horizontes, por lo que la </w:t>
            </w:r>
            <w:proofErr w:type="spellStart"/>
            <w:r w:rsidR="00D748A5">
              <w:t>cardinalidad</w:t>
            </w:r>
            <w:proofErr w:type="spellEnd"/>
            <w:r w:rsidR="00D748A5">
              <w:t xml:space="preserve"> de la relación es de </w:t>
            </w:r>
            <w:r w:rsidR="00120908">
              <w:t>uno a muchos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9300AC" w:rsidRDefault="009300AC" w:rsidP="00E572EA">
            <w:pPr>
              <w:pStyle w:val="tabla"/>
              <w:rPr>
                <w:b/>
              </w:rPr>
            </w:pPr>
            <w:proofErr w:type="spellStart"/>
            <w:r w:rsidRPr="009300AC">
              <w:rPr>
                <w:b/>
              </w:rPr>
              <w:t>Cod</w:t>
            </w:r>
            <w:r w:rsidR="005A3874" w:rsidRPr="009300AC">
              <w:rPr>
                <w:b/>
              </w:rPr>
              <w:t>_muestra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120908" w:rsidP="00D748A5">
            <w:pPr>
              <w:pStyle w:val="tabla"/>
            </w:pPr>
            <w:r>
              <w:t>Código que identifica a la</w:t>
            </w:r>
            <w:r w:rsidRPr="00167609">
              <w:t xml:space="preserve"> muestra. </w:t>
            </w:r>
            <w:r>
              <w:t xml:space="preserve">Coincide con el campo de igual nombre de la tabla “03_Horizontes” y sirve de conexión entre ellas. La </w:t>
            </w:r>
            <w:proofErr w:type="spellStart"/>
            <w:r w:rsidR="00D748A5">
              <w:t>cardinalidad</w:t>
            </w:r>
            <w:proofErr w:type="spellEnd"/>
            <w:r w:rsidR="00D748A5">
              <w:t xml:space="preserve"> de la relación es de </w:t>
            </w:r>
            <w:r>
              <w:t>uno a uno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120908">
            <w:pPr>
              <w:pStyle w:val="tabla"/>
            </w:pPr>
            <w:proofErr w:type="spellStart"/>
            <w:r w:rsidRPr="00046FE5">
              <w:t>Itext_ln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Índice textural logarítmico</w:t>
            </w:r>
            <w:r w:rsidR="00120908">
              <w:t>. Ver anejo 1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he</w:t>
            </w:r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Equivalente de humedad de la tierra fina del horizonte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120908">
            <w:pPr>
              <w:pStyle w:val="tabla"/>
            </w:pPr>
            <w:proofErr w:type="spellStart"/>
            <w:r w:rsidRPr="00046FE5">
              <w:t>CRA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agua, en altura de agua por cada metro de espesor de horizonte,</w:t>
            </w:r>
            <w:r w:rsidR="00120908">
              <w:t xml:space="preserve"> en</w:t>
            </w:r>
            <w:r w:rsidRPr="00046FE5">
              <w:t xml:space="preserve"> mm/m (</w:t>
            </w:r>
            <w:proofErr w:type="spellStart"/>
            <w:r w:rsidRPr="00046FE5">
              <w:t>Gandullo</w:t>
            </w:r>
            <w:proofErr w:type="spellEnd"/>
            <w:r w:rsidRPr="00046FE5">
              <w:t>, 1985)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CRA_hor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del horizonte, en mm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120908" w:rsidP="00E572EA">
            <w:pPr>
              <w:pStyle w:val="tabla"/>
            </w:pPr>
            <w:proofErr w:type="spellStart"/>
            <w:r>
              <w:t>CRAM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modificada, en mm/m (Domingo Santos</w:t>
            </w:r>
            <w:r>
              <w:t xml:space="preserve"> </w:t>
            </w:r>
            <w:r>
              <w:rPr>
                <w:i/>
              </w:rPr>
              <w:t>et al</w:t>
            </w:r>
            <w:r w:rsidRPr="00046FE5">
              <w:t>, 2006)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CRAM_hor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modificada del horizonte</w:t>
            </w:r>
            <w:r w:rsidR="00120908">
              <w:t>,</w:t>
            </w:r>
            <w:r w:rsidRPr="00046FE5">
              <w:t xml:space="preserve"> en mm (Domingo Santos</w:t>
            </w:r>
            <w:r>
              <w:t xml:space="preserve"> </w:t>
            </w:r>
            <w:r>
              <w:rPr>
                <w:i/>
              </w:rPr>
              <w:t>et al</w:t>
            </w:r>
            <w:r w:rsidRPr="00046FE5">
              <w:t>, 2006)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CRAD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disponible, en mm/m (Domingo Santos</w:t>
            </w:r>
            <w:r>
              <w:t xml:space="preserve"> </w:t>
            </w:r>
            <w:r>
              <w:rPr>
                <w:i/>
              </w:rPr>
              <w:t>et al</w:t>
            </w:r>
            <w:r w:rsidRPr="00046FE5">
              <w:t>, 2006)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CRAD_hor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disponible del horizonte, en mm (Domingo Santos</w:t>
            </w:r>
            <w:r>
              <w:t xml:space="preserve"> </w:t>
            </w:r>
            <w:r>
              <w:rPr>
                <w:i/>
              </w:rPr>
              <w:t>et al</w:t>
            </w:r>
            <w:r w:rsidRPr="00046FE5">
              <w:t>, 2006)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CRADU</w:t>
            </w:r>
            <w:r>
              <w:t>_hor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disponible del horizonte, en mm, teniendo en cuenta la profundidad útil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CRAMU</w:t>
            </w:r>
            <w:r>
              <w:t>_hor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Capacidad de retención de agua mo</w:t>
            </w:r>
            <w:r w:rsidR="001017FB">
              <w:t xml:space="preserve">dificada del horizonte, en mm, </w:t>
            </w:r>
            <w:r w:rsidRPr="00046FE5">
              <w:t>teniendo en cuenta la profundidad útil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Dens_mineral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Densidad aparente mineral del suelo, estimada a partir del ábaco propuesto por Rawls </w:t>
            </w:r>
            <w:r w:rsidRPr="00046FE5">
              <w:rPr>
                <w:i/>
              </w:rPr>
              <w:t>et al</w:t>
            </w:r>
            <w:r w:rsidRPr="00046FE5">
              <w:t>. (1992) en función de la textura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1017FB">
            <w:pPr>
              <w:pStyle w:val="tabla"/>
            </w:pPr>
            <w:proofErr w:type="spellStart"/>
            <w:r w:rsidRPr="00046FE5">
              <w:t>Densidad_apar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Densidad aparente del suelo, </w:t>
            </w:r>
            <w:r w:rsidR="001017FB" w:rsidRPr="001017FB">
              <w:t>g/cm</w:t>
            </w:r>
            <w:r w:rsidR="001017FB" w:rsidRPr="001017FB">
              <w:rPr>
                <w:vertAlign w:val="superscript"/>
              </w:rPr>
              <w:t>3</w:t>
            </w:r>
            <w:r w:rsidR="001017FB">
              <w:t>,</w:t>
            </w:r>
            <w:r w:rsidR="001017FB" w:rsidRPr="001017FB">
              <w:t xml:space="preserve"> </w:t>
            </w:r>
            <w:r w:rsidRPr="00046FE5">
              <w:t xml:space="preserve">según Rawls </w:t>
            </w:r>
            <w:r w:rsidRPr="00046FE5">
              <w:rPr>
                <w:i/>
              </w:rPr>
              <w:t>et al</w:t>
            </w:r>
            <w:r w:rsidRPr="00046FE5">
              <w:t>., 1992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Porosidad</w:t>
            </w:r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Porosidad de suelo en tanto por uno, considerando el valor de la densidad aparente del suelo según Rawls </w:t>
            </w:r>
            <w:r w:rsidRPr="00046FE5">
              <w:rPr>
                <w:i/>
              </w:rPr>
              <w:t>et al</w:t>
            </w:r>
            <w:r w:rsidRPr="00046FE5">
              <w:t>., 1992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K_Brak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Conductividad hidráulica saturada </w:t>
            </w:r>
            <w:r w:rsidRPr="0046050A">
              <w:t>en cm/h, según</w:t>
            </w:r>
            <w:r w:rsidRPr="00046FE5">
              <w:t xml:space="preserve"> </w:t>
            </w:r>
            <w:proofErr w:type="spellStart"/>
            <w:r w:rsidRPr="00046FE5">
              <w:t>Brakensiek</w:t>
            </w:r>
            <w:proofErr w:type="spellEnd"/>
            <w:r w:rsidRPr="00046FE5">
              <w:t xml:space="preserve"> </w:t>
            </w:r>
            <w:r w:rsidRPr="00046FE5">
              <w:rPr>
                <w:i/>
              </w:rPr>
              <w:t>et al</w:t>
            </w:r>
            <w:r w:rsidRPr="00046FE5">
              <w:t>. (1984)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1017FB" w:rsidP="00E572EA">
            <w:pPr>
              <w:pStyle w:val="tabla"/>
            </w:pPr>
            <w:proofErr w:type="spellStart"/>
            <w:r>
              <w:t>saturacio</w:t>
            </w:r>
            <w:r w:rsidR="005A3874" w:rsidRPr="00046FE5">
              <w:t>n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>Contenido volumétrico de agua a la saturación, en m</w:t>
            </w:r>
            <w:r w:rsidRPr="00046FE5">
              <w:rPr>
                <w:vertAlign w:val="superscript"/>
              </w:rPr>
              <w:t>3</w:t>
            </w:r>
            <w:r w:rsidRPr="00046FE5">
              <w:t>agua/m</w:t>
            </w:r>
            <w:r w:rsidRPr="00046FE5">
              <w:rPr>
                <w:vertAlign w:val="superscript"/>
              </w:rPr>
              <w:t>3</w:t>
            </w:r>
            <w:r w:rsidRPr="00046FE5">
              <w:t xml:space="preserve">suelo (tierra fina), estimado </w:t>
            </w:r>
            <w:r>
              <w:t>según</w:t>
            </w:r>
            <w:r w:rsidRPr="00046FE5">
              <w:t xml:space="preserve"> </w:t>
            </w:r>
            <w:proofErr w:type="spellStart"/>
            <w:r w:rsidRPr="00046FE5">
              <w:t>Saxton</w:t>
            </w:r>
            <w:proofErr w:type="spellEnd"/>
            <w:r w:rsidRPr="00046FE5">
              <w:t xml:space="preserve"> </w:t>
            </w:r>
            <w:r w:rsidRPr="00046FE5">
              <w:rPr>
                <w:i/>
              </w:rPr>
              <w:t>et al</w:t>
            </w:r>
            <w:r w:rsidRPr="00046FE5">
              <w:t>. (1986)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K_Saxton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Conductividad </w:t>
            </w:r>
            <w:r w:rsidRPr="0046050A">
              <w:t>hidráulica insaturada, según</w:t>
            </w:r>
            <w:r w:rsidRPr="00046FE5">
              <w:t xml:space="preserve"> </w:t>
            </w:r>
            <w:proofErr w:type="spellStart"/>
            <w:r w:rsidRPr="00046FE5">
              <w:t>Saxton</w:t>
            </w:r>
            <w:proofErr w:type="spellEnd"/>
            <w:r w:rsidRPr="00046FE5">
              <w:t xml:space="preserve"> </w:t>
            </w:r>
            <w:r w:rsidRPr="00046FE5">
              <w:rPr>
                <w:i/>
              </w:rPr>
              <w:t>et al</w:t>
            </w:r>
            <w:r w:rsidRPr="00046FE5">
              <w:t>. (1986), en cm/h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Permb_Brak_Almorox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Evaluación cualitativa de la permeabilidad o conductividad hidráulica del suelo según </w:t>
            </w:r>
            <w:proofErr w:type="spellStart"/>
            <w:r w:rsidRPr="00046FE5">
              <w:t>Brakensiek</w:t>
            </w:r>
            <w:proofErr w:type="spellEnd"/>
            <w:r>
              <w:t xml:space="preserve"> </w:t>
            </w:r>
            <w:r w:rsidRPr="002436C6">
              <w:rPr>
                <w:i/>
              </w:rPr>
              <w:t>et al</w:t>
            </w:r>
            <w:r>
              <w:t xml:space="preserve"> (1984)</w:t>
            </w:r>
            <w:r w:rsidRPr="00046FE5">
              <w:t xml:space="preserve">, con los intervalos definidos por </w:t>
            </w:r>
            <w:proofErr w:type="spellStart"/>
            <w:r w:rsidRPr="00046FE5">
              <w:t>Almorox</w:t>
            </w:r>
            <w:proofErr w:type="spellEnd"/>
            <w:r w:rsidRPr="00046FE5">
              <w:t xml:space="preserve"> </w:t>
            </w:r>
            <w:r w:rsidRPr="00046FE5">
              <w:rPr>
                <w:i/>
              </w:rPr>
              <w:t>et al</w:t>
            </w:r>
            <w:r w:rsidRPr="00046FE5">
              <w:t>. (1994)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Permb_Saxton_Almorox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Evaluación cualitativa de la permeabilidad o conductividad hidráulica del suelo según </w:t>
            </w:r>
            <w:proofErr w:type="spellStart"/>
            <w:r w:rsidRPr="00046FE5">
              <w:t>Saxton</w:t>
            </w:r>
            <w:proofErr w:type="spellEnd"/>
            <w:r>
              <w:t xml:space="preserve"> </w:t>
            </w:r>
            <w:r w:rsidRPr="002436C6">
              <w:rPr>
                <w:i/>
              </w:rPr>
              <w:t>et al</w:t>
            </w:r>
            <w:r>
              <w:t xml:space="preserve"> (1986)</w:t>
            </w:r>
            <w:r w:rsidRPr="00046FE5">
              <w:t xml:space="preserve">, con los intervalos definidos por </w:t>
            </w:r>
            <w:proofErr w:type="spellStart"/>
            <w:r w:rsidRPr="00046FE5">
              <w:t>Almorox</w:t>
            </w:r>
            <w:proofErr w:type="spellEnd"/>
            <w:r w:rsidRPr="00046FE5">
              <w:t xml:space="preserve"> </w:t>
            </w:r>
            <w:r w:rsidRPr="00046FE5">
              <w:rPr>
                <w:i/>
              </w:rPr>
              <w:t>et al</w:t>
            </w:r>
            <w:r w:rsidRPr="00046FE5">
              <w:t>. (1994)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Permb_Brak_RUSLE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Evaluación cualitativa de la permeabilidad o conductividad hidráulica del suelo según </w:t>
            </w:r>
            <w:proofErr w:type="spellStart"/>
            <w:r w:rsidRPr="00046FE5">
              <w:t>Brakensiek</w:t>
            </w:r>
            <w:proofErr w:type="spellEnd"/>
            <w:r>
              <w:t xml:space="preserve"> </w:t>
            </w:r>
            <w:r w:rsidRPr="002436C6">
              <w:rPr>
                <w:i/>
              </w:rPr>
              <w:t>et al</w:t>
            </w:r>
            <w:r>
              <w:t xml:space="preserve"> (1984)</w:t>
            </w:r>
            <w:r w:rsidRPr="00046FE5">
              <w:t xml:space="preserve">, con los intervalos definidos por Rawls </w:t>
            </w:r>
            <w:r w:rsidRPr="00046FE5">
              <w:rPr>
                <w:i/>
              </w:rPr>
              <w:t>et al</w:t>
            </w:r>
            <w:r w:rsidRPr="00046FE5">
              <w:t>. (1982)</w:t>
            </w:r>
          </w:p>
        </w:tc>
      </w:tr>
      <w:tr w:rsidR="005A3874" w:rsidRPr="00046FE5" w:rsidTr="00670BA7">
        <w:trPr>
          <w:cantSplit/>
          <w:trHeight w:val="255"/>
          <w:jc w:val="center"/>
        </w:trPr>
        <w:tc>
          <w:tcPr>
            <w:tcW w:w="21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proofErr w:type="spellStart"/>
            <w:r w:rsidRPr="00046FE5">
              <w:t>Permb_Saxton_RUSLE</w:t>
            </w:r>
            <w:proofErr w:type="spellEnd"/>
          </w:p>
        </w:tc>
        <w:tc>
          <w:tcPr>
            <w:tcW w:w="637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046FE5" w:rsidRDefault="005A3874" w:rsidP="00E572EA">
            <w:pPr>
              <w:pStyle w:val="tabla"/>
            </w:pPr>
            <w:r w:rsidRPr="00046FE5">
              <w:t xml:space="preserve">Evaluación cualitativa de la permeabilidad o conductividad hidráulica del suelo según </w:t>
            </w:r>
            <w:proofErr w:type="spellStart"/>
            <w:r w:rsidRPr="00046FE5">
              <w:t>Saxton</w:t>
            </w:r>
            <w:proofErr w:type="spellEnd"/>
            <w:r>
              <w:t xml:space="preserve"> </w:t>
            </w:r>
            <w:r w:rsidRPr="002436C6">
              <w:rPr>
                <w:i/>
              </w:rPr>
              <w:t>et al</w:t>
            </w:r>
            <w:r>
              <w:t xml:space="preserve"> (1986)</w:t>
            </w:r>
            <w:r w:rsidRPr="00046FE5">
              <w:t xml:space="preserve">, con los intervalos definidos por Rawls </w:t>
            </w:r>
            <w:r w:rsidRPr="00046FE5">
              <w:rPr>
                <w:i/>
              </w:rPr>
              <w:t>et al</w:t>
            </w:r>
            <w:r w:rsidRPr="00046FE5">
              <w:t>. (1982)</w:t>
            </w:r>
          </w:p>
        </w:tc>
      </w:tr>
    </w:tbl>
    <w:p w:rsidR="005A3874" w:rsidRDefault="00DF1CBF" w:rsidP="009300AC">
      <w:pPr>
        <w:pStyle w:val="Ttulo3"/>
      </w:pPr>
      <w:r>
        <w:lastRenderedPageBreak/>
        <w:t>T</w:t>
      </w:r>
      <w:r w:rsidR="00670BA7">
        <w:t>12_</w:t>
      </w:r>
      <w:r w:rsidR="005A3874" w:rsidRPr="00046FE5">
        <w:t>VblesEdaficas_</w:t>
      </w:r>
      <w:r w:rsidR="00670BA7">
        <w:t>Perfil</w:t>
      </w:r>
    </w:p>
    <w:p w:rsidR="005A3874" w:rsidRDefault="005A3874" w:rsidP="008B23ED">
      <w:pPr>
        <w:pStyle w:val="basico"/>
        <w:keepNext/>
      </w:pPr>
      <w:r>
        <w:t>Principales variables edáficas de cada uno de los perfiles muestreados.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448"/>
      </w:tblGrid>
      <w:tr w:rsidR="005A3874" w:rsidRPr="00B14EAF" w:rsidTr="00670BA7">
        <w:trPr>
          <w:cantSplit/>
          <w:trHeight w:val="255"/>
          <w:tblHeader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Variable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670BA7" w:rsidRDefault="00670BA7" w:rsidP="00E572EA">
            <w:pPr>
              <w:pStyle w:val="tabla"/>
              <w:rPr>
                <w:b/>
              </w:rPr>
            </w:pPr>
            <w:proofErr w:type="spellStart"/>
            <w:r w:rsidRPr="00670BA7">
              <w:rPr>
                <w:b/>
              </w:rPr>
              <w:t>Cod</w:t>
            </w:r>
            <w:r w:rsidR="005A3874" w:rsidRPr="00670BA7">
              <w:rPr>
                <w:b/>
              </w:rPr>
              <w:t>_observacion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670BA7" w:rsidP="008E101E">
            <w:pPr>
              <w:pStyle w:val="tabla"/>
            </w:pPr>
            <w:r>
              <w:t xml:space="preserve">Código que identifica el punto de muestreo. Coincide con el campo de igual nombre en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“</w:t>
            </w:r>
            <w:proofErr w:type="spellStart"/>
            <w:r>
              <w:t>PtosMuestreo</w:t>
            </w:r>
            <w:proofErr w:type="spellEnd"/>
            <w:r>
              <w:t>”, que sirve d</w:t>
            </w:r>
            <w:r w:rsidR="008E101E">
              <w:t xml:space="preserve">e conexión entre ambas tablas. La </w:t>
            </w:r>
            <w:proofErr w:type="spellStart"/>
            <w:r w:rsidR="008E101E">
              <w:t>cardinalidad</w:t>
            </w:r>
            <w:proofErr w:type="spellEnd"/>
            <w:r w:rsidR="008E101E">
              <w:t xml:space="preserve"> de la relación es de </w:t>
            </w:r>
            <w:r>
              <w:t>uno a uno</w:t>
            </w:r>
            <w:r w:rsidR="005A3874" w:rsidRPr="00B14EAF">
              <w:t xml:space="preserve"> 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M_TF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de tierra fina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M_arcilla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de arcilla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M_limo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de limo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M_arena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de arena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M_AMF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de arena muy fina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Itext_ln_Pf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Índice textural logarítmico continuo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tipo_Itex_ln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Índice textural logarítmico entero</w:t>
            </w:r>
            <w:r>
              <w:t xml:space="preserve"> (redondeado)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>
              <w:t>MO_10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F1D02" w:rsidRDefault="005A3874" w:rsidP="00E572EA">
            <w:pPr>
              <w:pStyle w:val="tabla"/>
            </w:pPr>
            <w:r w:rsidRPr="00BF1D02">
              <w:t xml:space="preserve">Porcentaje de materia orgánica en la fracción de tierra fina </w:t>
            </w:r>
            <w:r w:rsidRPr="004C5737">
              <w:t xml:space="preserve">en los 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4C5737">
                <w:t>10 cm</w:t>
              </w:r>
            </w:smartTag>
            <w:r w:rsidRPr="004C5737">
              <w:t xml:space="preserve"> superficiales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M_RM_pHagua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pH al agua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Tipo_reaccion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Tipificación de la reacción del suelo (media pH al agua ponderada </w:t>
            </w:r>
            <w:proofErr w:type="spellStart"/>
            <w:r w:rsidRPr="00B14EAF">
              <w:t>Rusell</w:t>
            </w:r>
            <w:proofErr w:type="spellEnd"/>
            <w:r w:rsidRPr="00B14EAF">
              <w:t xml:space="preserve">-Moore), a partir de Soil </w:t>
            </w:r>
            <w:proofErr w:type="spellStart"/>
            <w:r w:rsidRPr="00B14EAF">
              <w:t>Taxonomy</w:t>
            </w:r>
            <w:proofErr w:type="spellEnd"/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M_RM_pHKCl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pH-KCl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M_pHagua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pH al agua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M_pHKCl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 pH-KCl ponderada por espesor de horizontes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M_Cond_e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de conductividad eléctrica ponderada por espesor de horizontes, en </w:t>
            </w:r>
            <w:proofErr w:type="spellStart"/>
            <w:r w:rsidRPr="00B14EAF">
              <w:t>dS</w:t>
            </w:r>
            <w:proofErr w:type="spellEnd"/>
            <w:r w:rsidRPr="00B14EAF">
              <w:t>/m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M_RM_Cond_e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de conductividad eléctrica ponderada </w:t>
            </w:r>
            <w:proofErr w:type="spellStart"/>
            <w:r w:rsidRPr="00B14EAF">
              <w:t>Rusell</w:t>
            </w:r>
            <w:proofErr w:type="spellEnd"/>
            <w:r w:rsidRPr="00B14EAF">
              <w:t xml:space="preserve">-Moore, en </w:t>
            </w:r>
            <w:proofErr w:type="spellStart"/>
            <w:r w:rsidRPr="00B14EAF">
              <w:t>dS</w:t>
            </w:r>
            <w:proofErr w:type="spellEnd"/>
            <w:r w:rsidRPr="00B14EAF">
              <w:t>/m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M_RM_Ca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Ca cambiable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(ppm)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M_RM_Mg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Mg cambiable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(ppm)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M_RM_K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K cambiable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(ppm)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M_RM_Na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Na cambiable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(ppm)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M_RM_CIC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capacidad de intercambio catiónico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</w:t>
            </w:r>
            <w:proofErr w:type="spellStart"/>
            <w:r>
              <w:t>meq</w:t>
            </w:r>
            <w:proofErr w:type="spellEnd"/>
            <w:r>
              <w:t>/100g)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M_RM_V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saturación en bases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M_RM_DensAp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densidad aparente del suelo, según Rawls et al., 1992,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</w:t>
            </w:r>
            <w:r w:rsidRPr="00B14EAF">
              <w:t>g/cm</w:t>
            </w:r>
            <w:r w:rsidRPr="00D675B8">
              <w:rPr>
                <w:vertAlign w:val="superscript"/>
              </w:rPr>
              <w:t>3</w:t>
            </w:r>
            <w:r>
              <w:t>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M_RM_SIGMAg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</w:t>
            </w:r>
            <w:r>
              <w:t xml:space="preserve"> de la</w:t>
            </w:r>
            <w:r w:rsidRPr="00B14EAF">
              <w:t xml:space="preserve"> desviación típica geométrica de la distribución de tamaños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M_RM_Dg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Media</w:t>
            </w:r>
            <w:r>
              <w:t xml:space="preserve"> del</w:t>
            </w:r>
            <w:r w:rsidRPr="00B14EAF">
              <w:t xml:space="preserve"> diámetro geométrico medio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  <w:r>
              <w:t xml:space="preserve"> (mm)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DgPf_TF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Diámetro medio cuadrático de los tamaños de partículas en tierra fina en todo el perfil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SigmagPf_TF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Desviación típica geométrica de la distribución de tamaños de partículas en tierra fina en todo el perfil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CRAM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CC4A82">
            <w:pPr>
              <w:pStyle w:val="tabla"/>
            </w:pPr>
            <w:r w:rsidRPr="00B14EAF">
              <w:t xml:space="preserve">Capacidad de retención de agua </w:t>
            </w:r>
            <w:r w:rsidR="00CC4A82">
              <w:t>total</w:t>
            </w:r>
            <w:r w:rsidRPr="00B14EAF">
              <w:t xml:space="preserve"> del perfil en mm (Domingo Santos</w:t>
            </w:r>
            <w:r>
              <w:t xml:space="preserve"> </w:t>
            </w:r>
            <w:r w:rsidRPr="001D4783">
              <w:rPr>
                <w:i/>
              </w:rPr>
              <w:t>et al</w:t>
            </w:r>
            <w:r w:rsidRPr="00B14EAF">
              <w:t>, 2006)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CRAD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Capacidad de retención de agua disponible del perfil, en mm (Domingo Santos</w:t>
            </w:r>
            <w:r>
              <w:t xml:space="preserve"> </w:t>
            </w:r>
            <w:r w:rsidRPr="001D4783">
              <w:rPr>
                <w:i/>
              </w:rPr>
              <w:t>et al</w:t>
            </w:r>
            <w:r w:rsidRPr="00B14EAF">
              <w:t>, 2006)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CRADU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Capacidad de retención de agua disponible útil del perfil, en mm, teniendo en cuenta la profundidad útil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CRAMU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Capacidad de retención de agua total útil del perfil, en mm, teniendo en cuenta la profundidad útil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L_Lad_mdf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Longitud de ladera modificada</w:t>
            </w:r>
            <w:r>
              <w:t>, según se indica e</w:t>
            </w:r>
            <w:r w:rsidR="00DA6D00">
              <w:t>n el anejo 1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ADrj_Espec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Área de drenaje específico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ADrj_mdf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Área de drenaje específico correspondiente a la longitud de ladera modificada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WI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Índice de Humedad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WI_mdf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Índice de Humedad modificado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lastRenderedPageBreak/>
              <w:t>LS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Índice de capacidad de transporte de sedimentos</w:t>
            </w:r>
            <w:r>
              <w:t xml:space="preserve"> (USLE)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M_K_Brak_RM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conductividad hidráulica según </w:t>
            </w:r>
            <w:proofErr w:type="spellStart"/>
            <w:r w:rsidRPr="00B14EAF">
              <w:t>Brakensiek</w:t>
            </w:r>
            <w:proofErr w:type="spellEnd"/>
            <w:r>
              <w:t xml:space="preserve"> </w:t>
            </w:r>
            <w:r w:rsidRPr="001D4783">
              <w:rPr>
                <w:i/>
              </w:rPr>
              <w:t>et al</w:t>
            </w:r>
            <w:r>
              <w:t xml:space="preserve"> (1984)</w:t>
            </w:r>
            <w:r w:rsidRPr="00B14EAF">
              <w:t xml:space="preserve">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proofErr w:type="spellStart"/>
            <w:r w:rsidRPr="00B14EAF">
              <w:t>M_K_Saxton_RM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Media conductividad hidráulica según </w:t>
            </w:r>
            <w:proofErr w:type="spellStart"/>
            <w:r w:rsidRPr="00B14EAF">
              <w:t>Saxton</w:t>
            </w:r>
            <w:proofErr w:type="spellEnd"/>
            <w:r>
              <w:t xml:space="preserve"> </w:t>
            </w:r>
            <w:r w:rsidRPr="001D4783">
              <w:rPr>
                <w:i/>
              </w:rPr>
              <w:t>et al</w:t>
            </w:r>
            <w:r>
              <w:t xml:space="preserve"> (1986)</w:t>
            </w:r>
            <w:r w:rsidRPr="00B14EAF">
              <w:t xml:space="preserve"> ponderada </w:t>
            </w:r>
            <w:proofErr w:type="spellStart"/>
            <w:r w:rsidRPr="00B14EAF">
              <w:t>Rusell</w:t>
            </w:r>
            <w:proofErr w:type="spellEnd"/>
            <w:r w:rsidRPr="00B14EAF">
              <w:t>-Moore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 w:rsidRPr="00B14EAF">
              <w:t>Permb_Brak_Almx</w:t>
            </w:r>
            <w:proofErr w:type="spellEnd"/>
          </w:p>
          <w:p w:rsidR="005A3874" w:rsidRPr="00B14EAF" w:rsidRDefault="005A3874" w:rsidP="00E572EA">
            <w:pPr>
              <w:pStyle w:val="tabla"/>
            </w:pPr>
            <w:r w:rsidRPr="00B14EAF">
              <w:t>_perfil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Evaluación cualitativa de la permeabilidad o conductividad hidráulica del suelo según </w:t>
            </w:r>
            <w:proofErr w:type="spellStart"/>
            <w:r w:rsidRPr="00B14EAF">
              <w:t>Brakensiek</w:t>
            </w:r>
            <w:proofErr w:type="spellEnd"/>
            <w:r w:rsidRPr="00B14EAF">
              <w:t xml:space="preserve">, con los intervalos definidos por </w:t>
            </w:r>
            <w:proofErr w:type="spellStart"/>
            <w:r w:rsidRPr="00B14EAF">
              <w:t>Almorox</w:t>
            </w:r>
            <w:proofErr w:type="spellEnd"/>
            <w:r w:rsidRPr="00B14EAF">
              <w:t xml:space="preserve"> et al. (1994), para todo el perfil (a partir de </w:t>
            </w:r>
            <w:proofErr w:type="spellStart"/>
            <w:r w:rsidRPr="00B14EAF">
              <w:t>M_K_Brak_RM</w:t>
            </w:r>
            <w:proofErr w:type="spellEnd"/>
            <w:r w:rsidRPr="00B14EAF">
              <w:t>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 w:rsidRPr="00B14EAF">
              <w:t>Permb_Saxton_Almx</w:t>
            </w:r>
            <w:proofErr w:type="spellEnd"/>
          </w:p>
          <w:p w:rsidR="005A3874" w:rsidRPr="00B14EAF" w:rsidRDefault="005A3874" w:rsidP="00E572EA">
            <w:pPr>
              <w:pStyle w:val="tabla"/>
            </w:pPr>
            <w:r w:rsidRPr="00B14EAF">
              <w:t>_perfil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Evaluación cualitativa de la permeabilidad o conductividad hidráulica del suelo según </w:t>
            </w:r>
            <w:proofErr w:type="spellStart"/>
            <w:r w:rsidRPr="00B14EAF">
              <w:t>Saxton</w:t>
            </w:r>
            <w:proofErr w:type="spellEnd"/>
            <w:r w:rsidRPr="00B14EAF">
              <w:t xml:space="preserve">, con los intervalos definidos por </w:t>
            </w:r>
            <w:proofErr w:type="spellStart"/>
            <w:r w:rsidRPr="00B14EAF">
              <w:t>Almorox</w:t>
            </w:r>
            <w:proofErr w:type="spellEnd"/>
            <w:r w:rsidRPr="00B14EAF">
              <w:t xml:space="preserve"> et al. (1994), para todo el perfil (a partir de </w:t>
            </w:r>
            <w:proofErr w:type="spellStart"/>
            <w:r w:rsidRPr="00B14EAF">
              <w:t>M_K_Saxton_RM</w:t>
            </w:r>
            <w:proofErr w:type="spellEnd"/>
            <w:r w:rsidRPr="00B14EAF">
              <w:t>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 w:rsidRPr="00B14EAF">
              <w:t>Permb_Brak_RUSLE</w:t>
            </w:r>
            <w:proofErr w:type="spellEnd"/>
          </w:p>
          <w:p w:rsidR="005A3874" w:rsidRPr="00B14EAF" w:rsidRDefault="005A3874" w:rsidP="00E572EA">
            <w:pPr>
              <w:pStyle w:val="tabla"/>
            </w:pPr>
            <w:r w:rsidRPr="00B14EAF">
              <w:t>_perfil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Evaluación cualitativa de la permeabilidad o conductividad hidráulica del suelo según </w:t>
            </w:r>
            <w:proofErr w:type="spellStart"/>
            <w:r w:rsidRPr="00B14EAF">
              <w:t>Brakensiek</w:t>
            </w:r>
            <w:proofErr w:type="spellEnd"/>
            <w:r w:rsidRPr="00B14EAF">
              <w:t xml:space="preserve">, con los intervalos definidos por Rawls et al. (1982), para todo el perfil (a partir de </w:t>
            </w:r>
            <w:proofErr w:type="spellStart"/>
            <w:r w:rsidRPr="00B14EAF">
              <w:t>M_K_Brak_RM</w:t>
            </w:r>
            <w:proofErr w:type="spellEnd"/>
            <w:r w:rsidRPr="00B14EAF">
              <w:t>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Default="005A3874" w:rsidP="00E572EA">
            <w:pPr>
              <w:pStyle w:val="tabla"/>
            </w:pPr>
            <w:proofErr w:type="spellStart"/>
            <w:r w:rsidRPr="00B14EAF">
              <w:t>Permb_Saxton_RUSLE</w:t>
            </w:r>
            <w:proofErr w:type="spellEnd"/>
          </w:p>
          <w:p w:rsidR="005A3874" w:rsidRPr="00B14EAF" w:rsidRDefault="005A3874" w:rsidP="00E572EA">
            <w:pPr>
              <w:pStyle w:val="tabla"/>
            </w:pPr>
            <w:r w:rsidRPr="00B14EAF">
              <w:t>_perfil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 xml:space="preserve">Evaluación cualitativa de la permeabilidad o conductividad hidráulica del suelo según </w:t>
            </w:r>
            <w:proofErr w:type="spellStart"/>
            <w:r w:rsidRPr="00B14EAF">
              <w:t>Saxton</w:t>
            </w:r>
            <w:proofErr w:type="spellEnd"/>
            <w:r w:rsidRPr="00B14EAF">
              <w:t xml:space="preserve">, con los intervalos definidos por Rawls et al. (1982), para todo el perfil (a partir de </w:t>
            </w:r>
            <w:proofErr w:type="spellStart"/>
            <w:r w:rsidRPr="00B14EAF">
              <w:t>M_K_Saxton_RM</w:t>
            </w:r>
            <w:proofErr w:type="spellEnd"/>
            <w:r w:rsidRPr="00B14EAF">
              <w:t>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1B2A96">
            <w:pPr>
              <w:pStyle w:val="tabla"/>
            </w:pPr>
            <w:proofErr w:type="spellStart"/>
            <w:r w:rsidRPr="00B14EAF">
              <w:t>FactorK</w:t>
            </w:r>
            <w:proofErr w:type="spellEnd"/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B14EAF" w:rsidRDefault="005A3874" w:rsidP="00E572EA">
            <w:pPr>
              <w:pStyle w:val="tabla"/>
            </w:pPr>
            <w:r w:rsidRPr="00B14EAF">
              <w:t>Factor K (USLE)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4707B7" w:rsidRDefault="005A3874" w:rsidP="00E572EA">
            <w:pPr>
              <w:pStyle w:val="tabla"/>
            </w:pPr>
            <w:proofErr w:type="spellStart"/>
            <w:r w:rsidRPr="004707B7">
              <w:t>GHS_perfil</w:t>
            </w:r>
            <w:proofErr w:type="spellEnd"/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4707B7" w:rsidRDefault="005A3874" w:rsidP="00E572EA">
            <w:pPr>
              <w:pStyle w:val="tabla"/>
            </w:pPr>
            <w:r w:rsidRPr="004707B7">
              <w:t>Grupo hidrológico del suelo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376010" w:rsidRDefault="005A3874" w:rsidP="00E572EA">
            <w:pPr>
              <w:pStyle w:val="tabla"/>
            </w:pPr>
            <w:proofErr w:type="spellStart"/>
            <w:r w:rsidRPr="00376010">
              <w:t>IndiceArcilla</w:t>
            </w:r>
            <w:proofErr w:type="spellEnd"/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376010" w:rsidRDefault="005A3874" w:rsidP="00E572EA">
            <w:pPr>
              <w:pStyle w:val="tabla"/>
            </w:pPr>
            <w:r w:rsidRPr="00376010">
              <w:t>Índice de arrastre de arcilla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376010" w:rsidRDefault="005A3874" w:rsidP="00E572EA">
            <w:pPr>
              <w:pStyle w:val="tabla"/>
            </w:pPr>
            <w:proofErr w:type="spellStart"/>
            <w:r w:rsidRPr="00376010">
              <w:t>desvStd_arcilla</w:t>
            </w:r>
            <w:proofErr w:type="spellEnd"/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4707B7" w:rsidRDefault="005A3874" w:rsidP="00E572EA">
            <w:pPr>
              <w:pStyle w:val="tabla"/>
            </w:pPr>
            <w:r w:rsidRPr="004C5737">
              <w:t>Desviación típica del contenido de arcilla en el perfil</w:t>
            </w:r>
          </w:p>
        </w:tc>
      </w:tr>
      <w:tr w:rsidR="005A3874" w:rsidRPr="00B14EAF" w:rsidTr="00670BA7">
        <w:trPr>
          <w:cantSplit/>
          <w:trHeight w:val="255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6E009D" w:rsidRDefault="005A3874" w:rsidP="00E572EA">
            <w:pPr>
              <w:pStyle w:val="tabla"/>
              <w:rPr>
                <w:b/>
              </w:rPr>
            </w:pPr>
            <w:proofErr w:type="spellStart"/>
            <w:r w:rsidRPr="006E009D">
              <w:rPr>
                <w:b/>
              </w:rPr>
              <w:t>CodRoca_UltHz</w:t>
            </w:r>
            <w:proofErr w:type="spellEnd"/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5A3874" w:rsidRPr="00376010" w:rsidRDefault="005A3874" w:rsidP="006E009D">
            <w:pPr>
              <w:pStyle w:val="tabla"/>
            </w:pPr>
            <w:r w:rsidRPr="00376010">
              <w:t>Código del tipo de roca del último horizonte del perfil</w:t>
            </w:r>
            <w:r w:rsidR="00E146BB">
              <w:t>. Coincide con el campo “</w:t>
            </w:r>
            <w:proofErr w:type="spellStart"/>
            <w:r w:rsidR="00E146BB">
              <w:t>CodRoca</w:t>
            </w:r>
            <w:proofErr w:type="spellEnd"/>
            <w:r w:rsidR="00E146BB">
              <w:t>” de la tabla 06_Rocas y sirve de unión para conocer</w:t>
            </w:r>
            <w:r w:rsidR="006E009D">
              <w:t xml:space="preserve"> las características del tipo de roca</w:t>
            </w:r>
          </w:p>
        </w:tc>
      </w:tr>
    </w:tbl>
    <w:p w:rsidR="00AE5B98" w:rsidRDefault="00AE5B98" w:rsidP="00AE5B98">
      <w:pPr>
        <w:pStyle w:val="Ttulo2"/>
      </w:pPr>
      <w:r>
        <w:t>Gabinete general</w:t>
      </w:r>
    </w:p>
    <w:p w:rsidR="00AE5B98" w:rsidRDefault="00AE5B98" w:rsidP="00AE5B98">
      <w:pPr>
        <w:pStyle w:val="basico"/>
      </w:pPr>
      <w:r>
        <w:rPr>
          <w:lang w:val="es-ES_tradnl"/>
        </w:rPr>
        <w:t>En este apartado se recoge la información derivada de los análisis de laboratorio relativa a las unidades cartográficas y a los grupos litoedáficos. La descripción de las tablas que se incluyen</w:t>
      </w:r>
      <w:r>
        <w:t xml:space="preserve"> se detalla a continuación.</w:t>
      </w:r>
    </w:p>
    <w:p w:rsidR="005A3874" w:rsidRDefault="00DF1CBF" w:rsidP="009300AC">
      <w:pPr>
        <w:pStyle w:val="Ttulo3"/>
      </w:pPr>
      <w:r>
        <w:t>T</w:t>
      </w:r>
      <w:r w:rsidR="00B47FD4">
        <w:t>13_Datos_UdCartog</w:t>
      </w:r>
    </w:p>
    <w:p w:rsidR="005A3874" w:rsidRDefault="005A3874" w:rsidP="00B47FD4">
      <w:pPr>
        <w:pStyle w:val="basico"/>
        <w:keepNext/>
        <w:tabs>
          <w:tab w:val="left" w:pos="7170"/>
        </w:tabs>
      </w:pPr>
      <w:r>
        <w:t xml:space="preserve">Datos de profundidad y CRA que informan </w:t>
      </w:r>
      <w:r>
        <w:rPr>
          <w:lang w:val="es-ES_tradnl"/>
        </w:rPr>
        <w:t>las u</w:t>
      </w:r>
      <w:r w:rsidR="00240E33">
        <w:rPr>
          <w:lang w:val="es-ES_tradnl"/>
        </w:rPr>
        <w:t xml:space="preserve">nidades cartográficas de suelos, para cada GL que </w:t>
      </w:r>
      <w:r w:rsidR="008B23ED">
        <w:rPr>
          <w:lang w:val="es-ES_tradnl"/>
        </w:rPr>
        <w:t>aparezca</w:t>
      </w:r>
      <w:r w:rsidR="00240E33">
        <w:rPr>
          <w:lang w:val="es-ES_tradnl"/>
        </w:rPr>
        <w:t>.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7136"/>
      </w:tblGrid>
      <w:tr w:rsidR="005A3874" w:rsidRPr="00EF76C4" w:rsidTr="001D7163">
        <w:trPr>
          <w:trHeight w:val="255"/>
          <w:tblHeader/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7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Variable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1D7163" w:rsidRDefault="001D7163" w:rsidP="001D7163">
            <w:pPr>
              <w:pStyle w:val="tabla"/>
              <w:rPr>
                <w:b/>
              </w:rPr>
            </w:pPr>
            <w:proofErr w:type="spellStart"/>
            <w:r w:rsidRPr="001D7163">
              <w:rPr>
                <w:b/>
              </w:rPr>
              <w:t>LtS_CliRel</w:t>
            </w:r>
            <w:proofErr w:type="spellEnd"/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BE31FE" w:rsidRDefault="001D7163" w:rsidP="00A73505">
            <w:pPr>
              <w:pStyle w:val="tabla"/>
              <w:keepNext/>
              <w:rPr>
                <w:lang w:val="es-ES_tradnl"/>
              </w:rPr>
            </w:pPr>
            <w:r>
              <w:t xml:space="preserve">Referencia compuesta por el número de la litofacies simplificada y el código de la combinación del clima y los tipos de relieve (Clima_relieve). Coincide con el campo de igual nombre de la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Uddes</w:t>
            </w:r>
            <w:proofErr w:type="spellEnd"/>
            <w:r>
              <w:t xml:space="preserve"> </w:t>
            </w:r>
            <w:proofErr w:type="spellStart"/>
            <w:r>
              <w:t>Cartog</w:t>
            </w:r>
            <w:proofErr w:type="spellEnd"/>
            <w:r>
              <w:t>, que sirve de conexión para conocer</w:t>
            </w:r>
            <w:r w:rsidR="00A73505">
              <w:t xml:space="preserve"> la información edáfica (profundidad y </w:t>
            </w:r>
            <w:proofErr w:type="spellStart"/>
            <w:r w:rsidR="00A73505">
              <w:t>CRA</w:t>
            </w:r>
            <w:proofErr w:type="spellEnd"/>
            <w:r w:rsidR="00A73505">
              <w:t>) de las unidades cartográficas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LtS</w:t>
            </w:r>
          </w:p>
        </w:tc>
        <w:tc>
          <w:tcPr>
            <w:tcW w:w="7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Litofacies simplificada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Clima_relieve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Código de la combinación del clima y los tipos de relieve. Coincide con el Clima</w:t>
            </w:r>
            <w:r>
              <w:t>_relieve</w:t>
            </w:r>
            <w:r w:rsidRPr="00EF76C4">
              <w:t xml:space="preserve"> de las </w:t>
            </w:r>
            <w:r>
              <w:t>“</w:t>
            </w:r>
            <w:proofErr w:type="spellStart"/>
            <w:r w:rsidRPr="00EF76C4">
              <w:t>UddesCartog</w:t>
            </w:r>
            <w:proofErr w:type="spellEnd"/>
            <w:r w:rsidRPr="00EF76C4">
              <w:t>”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962ECA" w:rsidRDefault="001D7163" w:rsidP="001D7163">
            <w:pPr>
              <w:pStyle w:val="tabla"/>
              <w:rPr>
                <w:b/>
              </w:rPr>
            </w:pPr>
            <w:r w:rsidRPr="00962ECA">
              <w:rPr>
                <w:b/>
              </w:rPr>
              <w:t>GL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163" w:rsidRPr="00EF76C4" w:rsidRDefault="001D7163" w:rsidP="00962ECA">
            <w:pPr>
              <w:pStyle w:val="tabla"/>
            </w:pPr>
            <w:r w:rsidRPr="00EF76C4">
              <w:t>Grupo litoedáfico</w:t>
            </w:r>
            <w:r w:rsidR="00240E33">
              <w:t xml:space="preserve"> existente en la LtS (según la LtS hay desde 1 hasta 6 GL diferentes)</w:t>
            </w:r>
            <w:r w:rsidRPr="00EF76C4">
              <w:t xml:space="preserve">. </w:t>
            </w:r>
            <w:r w:rsidR="00962ECA">
              <w:t>Coincide con el campo “GL” de la tabla 15_GL_descripcion, que sirve de conexión para conocer las características de cada GL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proofErr w:type="spellStart"/>
            <w:r w:rsidRPr="00EF76C4">
              <w:t>GL_ClimRv</w:t>
            </w:r>
            <w:proofErr w:type="spellEnd"/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Combinación del grupo litoedáfico con el Clima_relieve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proofErr w:type="spellStart"/>
            <w:r w:rsidRPr="00EF76C4">
              <w:t>GL_Imp</w:t>
            </w:r>
            <w:proofErr w:type="spellEnd"/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Importancia asignada a cada uno de los grupos litoedáficos de cada litofacies simplificada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Prof_Util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Valores estimados de la variable Prof_Util para los distintos grupos litoedáficos (GL) y los grupos Clima_relieve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proofErr w:type="spellStart"/>
            <w:r w:rsidRPr="00EF76C4">
              <w:t>Var_ProfUtil</w:t>
            </w:r>
            <w:proofErr w:type="spellEnd"/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Amplitud del intervalo de variación estimado para la variable Prof_Util para los distintos grupos litoedáficos (GL) y los grupos Clima_relieve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lastRenderedPageBreak/>
              <w:t>CRADU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Valores estimados de la variable CRADU para los distintos grupos litoedáficos (GL) y los grupos Clima_relieve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proofErr w:type="spellStart"/>
            <w:r w:rsidRPr="00EF76C4">
              <w:t>Var_CRADU</w:t>
            </w:r>
            <w:proofErr w:type="spellEnd"/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Amplitud del intervalo de variación estimado para la variable CRADU para los distintos grupos litoedáficos (GL) y los grupos Clima_relieve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CRAMU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Valores estimados de la variable CRAMU para los distintos grupos litoedáficos (GL) y los grupos Clima_relieve</w:t>
            </w:r>
          </w:p>
        </w:tc>
      </w:tr>
      <w:tr w:rsidR="001D7163" w:rsidRPr="00EF76C4" w:rsidTr="001D7163">
        <w:trPr>
          <w:trHeight w:val="255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proofErr w:type="spellStart"/>
            <w:r w:rsidRPr="00EF76C4">
              <w:t>Var_CRAMU</w:t>
            </w:r>
            <w:proofErr w:type="spellEnd"/>
          </w:p>
        </w:tc>
        <w:tc>
          <w:tcPr>
            <w:tcW w:w="7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63" w:rsidRPr="00EF76C4" w:rsidRDefault="001D7163" w:rsidP="001D7163">
            <w:pPr>
              <w:pStyle w:val="tabla"/>
            </w:pPr>
            <w:r w:rsidRPr="00EF76C4">
              <w:t>Amplitud del intervalo de variación estimado para la variable CRAMU para los distintos grupos litoedáficos (GL) y los grupos Clima_relieve</w:t>
            </w:r>
          </w:p>
        </w:tc>
      </w:tr>
    </w:tbl>
    <w:p w:rsidR="00F9096B" w:rsidRDefault="00DF1CBF" w:rsidP="00F9096B">
      <w:pPr>
        <w:pStyle w:val="Ttulo3"/>
      </w:pPr>
      <w:r>
        <w:t>T</w:t>
      </w:r>
      <w:r w:rsidR="00F9096B" w:rsidRPr="00F9096B">
        <w:t>14_FAO_AptF_GHS</w:t>
      </w:r>
      <w:r w:rsidR="0086661F">
        <w:t>_FactorK</w:t>
      </w:r>
    </w:p>
    <w:p w:rsidR="00F9096B" w:rsidRDefault="00F919FC" w:rsidP="0005046B">
      <w:pPr>
        <w:pStyle w:val="basico"/>
      </w:pPr>
      <w:r>
        <w:t>Tabla con información relativa a los taxones FAO, la aptitud forestal</w:t>
      </w:r>
      <w:r w:rsidR="0086661F">
        <w:t>,</w:t>
      </w:r>
      <w:r>
        <w:t xml:space="preserve"> el grupo hidrológico de suelos </w:t>
      </w:r>
      <w:r w:rsidR="0086661F">
        <w:t xml:space="preserve">y el valor del factor K de la </w:t>
      </w:r>
      <w:proofErr w:type="spellStart"/>
      <w:r w:rsidR="0086661F">
        <w:t>USLE</w:t>
      </w:r>
      <w:proofErr w:type="spellEnd"/>
      <w:r w:rsidR="0086661F">
        <w:t xml:space="preserve"> </w:t>
      </w:r>
      <w:r>
        <w:t>asociada a cada litofacies simplificada y sus grupos litoedáficos.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7"/>
        <w:gridCol w:w="6483"/>
      </w:tblGrid>
      <w:tr w:rsidR="00F919FC" w:rsidRPr="00DE0D1E" w:rsidTr="00014E87">
        <w:trPr>
          <w:trHeight w:val="255"/>
          <w:tblHeader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B14EAF" w:rsidRDefault="00F919FC" w:rsidP="00014E87">
            <w:pPr>
              <w:pStyle w:val="tabla"/>
              <w:keepNext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B14EAF" w:rsidRDefault="00F919FC" w:rsidP="00014E87">
            <w:pPr>
              <w:pStyle w:val="tabla"/>
              <w:keepNext/>
              <w:jc w:val="center"/>
            </w:pPr>
            <w:r>
              <w:rPr>
                <w:b/>
                <w:bCs/>
              </w:rPr>
              <w:t>Variable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F9096B" w:rsidRDefault="00F919FC" w:rsidP="00014E87">
            <w:pPr>
              <w:pStyle w:val="tabla"/>
              <w:rPr>
                <w:b/>
              </w:rPr>
            </w:pPr>
            <w:r w:rsidRPr="00F919FC">
              <w:rPr>
                <w:b/>
              </w:rPr>
              <w:t>LtS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>Litofacies simplificada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GL_ppal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>
              <w:t>G</w:t>
            </w:r>
            <w:r w:rsidRPr="00F919FC">
              <w:t>rupo litoedáfico principal de la LtS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FAO_ppal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Tipos de suelos que caracterizan el </w:t>
            </w:r>
            <w:proofErr w:type="spellStart"/>
            <w:r w:rsidRPr="00F919FC">
              <w:t>GL_ppal</w:t>
            </w:r>
            <w:proofErr w:type="spellEnd"/>
            <w:r w:rsidRPr="00F919FC">
              <w:t xml:space="preserve"> , según la clasificación FAO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APT_FOR</w:t>
            </w:r>
            <w:r w:rsidR="006953E3">
              <w:t>_ppal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Aptitud forestal del </w:t>
            </w:r>
            <w:proofErr w:type="spellStart"/>
            <w:r w:rsidRPr="00F919FC">
              <w:t>GL_ppal</w:t>
            </w:r>
            <w:proofErr w:type="spellEnd"/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GHS_ppal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Grupo hidrológico de suelo del </w:t>
            </w:r>
            <w:proofErr w:type="spellStart"/>
            <w:r w:rsidRPr="00F919FC">
              <w:t>GL_ppal</w:t>
            </w:r>
            <w:proofErr w:type="spellEnd"/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206D7E" w:rsidRDefault="00165F00" w:rsidP="0086661F">
            <w:pPr>
              <w:pStyle w:val="Tabla0"/>
            </w:pPr>
            <w:proofErr w:type="spellStart"/>
            <w:r>
              <w:t>Media</w:t>
            </w:r>
            <w:r w:rsidR="0086661F" w:rsidRPr="009E0E56">
              <w:t>FK</w:t>
            </w:r>
            <w:r w:rsidRPr="00F919FC">
              <w:t>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t xml:space="preserve">Valor medio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="00165F00" w:rsidRPr="00F919FC">
              <w:t>_ppal</w:t>
            </w:r>
            <w:proofErr w:type="spellEnd"/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206D7E" w:rsidRDefault="0086661F" w:rsidP="00165F00">
            <w:pPr>
              <w:pStyle w:val="Tabla0"/>
            </w:pPr>
            <w:proofErr w:type="spellStart"/>
            <w:r w:rsidRPr="009E0E56">
              <w:t>MinFK</w:t>
            </w:r>
            <w:r w:rsidR="00165F00" w:rsidRPr="00F919FC">
              <w:t>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t xml:space="preserve">Valor mínimo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="00165F00" w:rsidRPr="00F919FC">
              <w:t>_ppal</w:t>
            </w:r>
            <w:proofErr w:type="spellEnd"/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206D7E" w:rsidRDefault="0086661F" w:rsidP="00165F00">
            <w:pPr>
              <w:pStyle w:val="Tabla0"/>
            </w:pPr>
            <w:proofErr w:type="spellStart"/>
            <w:r w:rsidRPr="009E0E56">
              <w:t>MaxFK</w:t>
            </w:r>
            <w:r w:rsidR="00165F00" w:rsidRPr="00F919FC">
              <w:t>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t xml:space="preserve">Valor máximo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="00165F00" w:rsidRPr="00F919FC">
              <w:t>_ppal</w:t>
            </w:r>
            <w:proofErr w:type="spellEnd"/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206D7E" w:rsidRDefault="0086661F" w:rsidP="00165F00">
            <w:pPr>
              <w:pStyle w:val="Tabla0"/>
            </w:pPr>
            <w:proofErr w:type="spellStart"/>
            <w:r w:rsidRPr="009E0E56">
              <w:t>SDFK</w:t>
            </w:r>
            <w:r w:rsidR="00165F00" w:rsidRPr="00F919FC">
              <w:t>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t xml:space="preserve">Desviación estándar del Factor K en el </w:t>
            </w:r>
            <w:proofErr w:type="spellStart"/>
            <w:r>
              <w:t>GL</w:t>
            </w:r>
            <w:r w:rsidR="00165F00" w:rsidRPr="00F919FC">
              <w:t>_ppal</w:t>
            </w:r>
            <w:proofErr w:type="spellEnd"/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206D7E" w:rsidRDefault="0086661F" w:rsidP="00165F00">
            <w:pPr>
              <w:pStyle w:val="Tabla0"/>
            </w:pPr>
            <w:proofErr w:type="spellStart"/>
            <w:r w:rsidRPr="009E0E56">
              <w:t>nFK</w:t>
            </w:r>
            <w:r w:rsidR="00165F00" w:rsidRPr="00F919FC">
              <w:t>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t xml:space="preserve">Número de muestreos utilizados para calcular los valores del Factor K de la </w:t>
            </w:r>
            <w:proofErr w:type="spellStart"/>
            <w:r>
              <w:t>USLE</w:t>
            </w:r>
            <w:proofErr w:type="spellEnd"/>
            <w:r w:rsidR="00165F00">
              <w:t xml:space="preserve"> en el </w:t>
            </w:r>
            <w:proofErr w:type="spellStart"/>
            <w:r w:rsidR="00165F00">
              <w:t>GL</w:t>
            </w:r>
            <w:r w:rsidR="00165F00" w:rsidRPr="00F919FC">
              <w:t>_ppal</w:t>
            </w:r>
            <w:proofErr w:type="spellEnd"/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DF5D60" w:rsidRDefault="00165F00" w:rsidP="0086661F">
            <w:pPr>
              <w:pStyle w:val="Tabla0"/>
              <w:rPr>
                <w:highlight w:val="yellow"/>
              </w:rPr>
            </w:pPr>
            <w:proofErr w:type="spellStart"/>
            <w:r w:rsidRPr="00DF5D60">
              <w:rPr>
                <w:highlight w:val="yellow"/>
              </w:rPr>
              <w:t>SD</w:t>
            </w:r>
            <w:r w:rsidR="0086661F" w:rsidRPr="00DF5D60">
              <w:rPr>
                <w:highlight w:val="yellow"/>
              </w:rPr>
              <w:t>mean</w:t>
            </w:r>
            <w:r w:rsidRPr="00DF5D60">
              <w:rPr>
                <w:highlight w:val="yellow"/>
              </w:rPr>
              <w:t>FK_ppal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DF5D60" w:rsidRDefault="0086661F" w:rsidP="00165F00">
            <w:pPr>
              <w:pStyle w:val="Tabla0"/>
              <w:rPr>
                <w:highlight w:val="yellow"/>
              </w:rPr>
            </w:pPr>
            <w:r w:rsidRPr="00DF5D60">
              <w:rPr>
                <w:highlight w:val="yellow"/>
              </w:rPr>
              <w:t>Media</w:t>
            </w:r>
            <w:r w:rsidR="00165F00" w:rsidRPr="00DF5D60">
              <w:rPr>
                <w:highlight w:val="yellow"/>
              </w:rPr>
              <w:t xml:space="preserve"> de las desviaciones típicas del</w:t>
            </w:r>
            <w:r w:rsidRPr="00DF5D60">
              <w:rPr>
                <w:highlight w:val="yellow"/>
              </w:rPr>
              <w:t xml:space="preserve"> </w:t>
            </w:r>
            <w:proofErr w:type="spellStart"/>
            <w:r w:rsidRPr="00DF5D60">
              <w:rPr>
                <w:highlight w:val="yellow"/>
              </w:rPr>
              <w:t>GL</w:t>
            </w:r>
            <w:r w:rsidR="00165F00" w:rsidRPr="00DF5D60">
              <w:rPr>
                <w:highlight w:val="yellow"/>
              </w:rPr>
              <w:t>_ppal</w:t>
            </w:r>
            <w:proofErr w:type="spellEnd"/>
            <w:r w:rsidRPr="00DF5D60">
              <w:rPr>
                <w:highlight w:val="yellow"/>
              </w:rPr>
              <w:t xml:space="preserve"> para el factor K</w:t>
            </w:r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A02FF8" w:rsidRDefault="00165F00" w:rsidP="0086661F">
            <w:pPr>
              <w:pStyle w:val="Tabla0"/>
            </w:pPr>
            <w:r w:rsidRPr="00165F00">
              <w:t>Min80FK_ppal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rPr>
                <w:rFonts w:eastAsia="Calibri" w:cs="Calibri"/>
                <w:color w:val="000000"/>
              </w:rPr>
              <w:t xml:space="preserve">Valor </w:t>
            </w:r>
            <w:r>
              <w:t>mínimo esperable de la media del</w:t>
            </w:r>
            <w:r>
              <w:rPr>
                <w:rFonts w:eastAsia="Calibri" w:cs="Calibri"/>
                <w:color w:val="000000"/>
              </w:rPr>
              <w:t xml:space="preserve"> Factor K de la </w:t>
            </w:r>
            <w:proofErr w:type="spellStart"/>
            <w:r>
              <w:rPr>
                <w:rFonts w:eastAsia="Calibri" w:cs="Calibri"/>
                <w:color w:val="000000"/>
              </w:rPr>
              <w:t>USLE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</w:t>
            </w:r>
            <w:r>
              <w:t xml:space="preserve">para el </w:t>
            </w:r>
            <w:proofErr w:type="spellStart"/>
            <w:r>
              <w:t>GL</w:t>
            </w:r>
            <w:r w:rsidR="00165F00" w:rsidRPr="00F919FC">
              <w:t>_ppal</w:t>
            </w:r>
            <w:proofErr w:type="spellEnd"/>
            <w:r>
              <w:t xml:space="preserve">, con una probabilidad </w:t>
            </w:r>
            <w:proofErr w:type="spellStart"/>
            <w:r>
              <w:t>fiducial</w:t>
            </w:r>
            <w:proofErr w:type="spellEnd"/>
            <w:r>
              <w:t xml:space="preserve"> del 80%</w:t>
            </w:r>
          </w:p>
        </w:tc>
      </w:tr>
      <w:tr w:rsidR="0086661F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61F" w:rsidRPr="00A02FF8" w:rsidRDefault="00165F00" w:rsidP="0086661F">
            <w:pPr>
              <w:pStyle w:val="Tabla0"/>
            </w:pPr>
            <w:r w:rsidRPr="00165F00">
              <w:t>Max80FK_ppal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61F" w:rsidRPr="00206D7E" w:rsidRDefault="0086661F" w:rsidP="0086661F">
            <w:pPr>
              <w:pStyle w:val="Tabla0"/>
            </w:pPr>
            <w:r>
              <w:t xml:space="preserve">Valor máximo esperable de la media del Factor K de la </w:t>
            </w:r>
            <w:proofErr w:type="spellStart"/>
            <w:r>
              <w:t>USLE</w:t>
            </w:r>
            <w:proofErr w:type="spellEnd"/>
            <w:r>
              <w:t xml:space="preserve"> para el </w:t>
            </w:r>
            <w:proofErr w:type="spellStart"/>
            <w:r>
              <w:t>GL</w:t>
            </w:r>
            <w:r w:rsidR="00165F00" w:rsidRPr="00F919FC">
              <w:t>_ppal</w:t>
            </w:r>
            <w:proofErr w:type="spellEnd"/>
            <w:r>
              <w:t xml:space="preserve">, con una probabilidad </w:t>
            </w:r>
            <w:proofErr w:type="spellStart"/>
            <w:r>
              <w:t>fiducial</w:t>
            </w:r>
            <w:proofErr w:type="spellEnd"/>
            <w:r>
              <w:t xml:space="preserve"> del 80%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GL_sec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>Grupo litoedáfico secundario de la LtS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FAO_sec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Tipos de suelos que caracterizan el </w:t>
            </w:r>
            <w:proofErr w:type="spellStart"/>
            <w:r w:rsidRPr="00F919FC">
              <w:t>GL_sec</w:t>
            </w:r>
            <w:proofErr w:type="spellEnd"/>
            <w:r w:rsidRPr="00F919FC">
              <w:t xml:space="preserve"> , según la clasificación FAO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APT_FOR_sec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Aptitud forestal del </w:t>
            </w:r>
            <w:proofErr w:type="spellStart"/>
            <w:r w:rsidRPr="00F919FC">
              <w:t>GL_sec</w:t>
            </w:r>
            <w:proofErr w:type="spellEnd"/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GHS_sec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Grupo hidrológico de suelo del </w:t>
            </w:r>
            <w:proofErr w:type="spellStart"/>
            <w:r w:rsidRPr="00F919FC">
              <w:t>GL_sec</w:t>
            </w:r>
            <w:proofErr w:type="spellEnd"/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DF5D60">
            <w:pPr>
              <w:pStyle w:val="Tabla0"/>
            </w:pPr>
            <w:proofErr w:type="spellStart"/>
            <w:r>
              <w:t>Media</w:t>
            </w:r>
            <w:r w:rsidRPr="009E0E56">
              <w:t>FK</w:t>
            </w:r>
            <w:r w:rsidRPr="00F919FC">
              <w:t>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t xml:space="preserve">Valor medio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DF5D60">
            <w:pPr>
              <w:pStyle w:val="Tabla0"/>
            </w:pPr>
            <w:proofErr w:type="spellStart"/>
            <w:r w:rsidRPr="009E0E56">
              <w:t>MinFK</w:t>
            </w:r>
            <w:r w:rsidRPr="00F919FC">
              <w:t>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t xml:space="preserve">Valor mínimo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DF5D60">
            <w:pPr>
              <w:pStyle w:val="Tabla0"/>
            </w:pPr>
            <w:proofErr w:type="spellStart"/>
            <w:r w:rsidRPr="009E0E56">
              <w:t>MaxFK</w:t>
            </w:r>
            <w:r w:rsidRPr="00F919FC">
              <w:t>_sec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t xml:space="preserve">Valor máximo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DF5D60">
            <w:pPr>
              <w:pStyle w:val="Tabla0"/>
            </w:pPr>
            <w:proofErr w:type="spellStart"/>
            <w:r w:rsidRPr="009E0E56">
              <w:t>SDFK</w:t>
            </w:r>
            <w:r w:rsidRPr="00F919FC">
              <w:t>_</w:t>
            </w:r>
            <w:r>
              <w:t>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t xml:space="preserve">Desviación estándar del Factor K en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DF5D60">
            <w:pPr>
              <w:pStyle w:val="Tabla0"/>
            </w:pPr>
            <w:proofErr w:type="spellStart"/>
            <w:r w:rsidRPr="009E0E56">
              <w:t>nFK</w:t>
            </w:r>
            <w:r w:rsidRPr="00F919FC">
              <w:t>_</w:t>
            </w:r>
            <w:r>
              <w:t>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t xml:space="preserve">Número de muestreos utilizados para calcular los valores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DF5D60" w:rsidRDefault="00DF5D60" w:rsidP="00DF5D60">
            <w:pPr>
              <w:pStyle w:val="Tabla0"/>
              <w:rPr>
                <w:highlight w:val="yellow"/>
              </w:rPr>
            </w:pPr>
            <w:proofErr w:type="spellStart"/>
            <w:r w:rsidRPr="00DF5D60">
              <w:rPr>
                <w:highlight w:val="yellow"/>
              </w:rPr>
              <w:t>SDmeanFK_</w:t>
            </w:r>
            <w:r>
              <w:rPr>
                <w:highlight w:val="yellow"/>
              </w:rPr>
              <w:t>sec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DF5D60" w:rsidRDefault="00DF5D60" w:rsidP="00DF5D60">
            <w:pPr>
              <w:pStyle w:val="Tabla0"/>
              <w:rPr>
                <w:highlight w:val="yellow"/>
              </w:rPr>
            </w:pPr>
            <w:r w:rsidRPr="00DF5D60">
              <w:rPr>
                <w:highlight w:val="yellow"/>
              </w:rPr>
              <w:t xml:space="preserve">Media de las desviaciones típicas del </w:t>
            </w:r>
            <w:proofErr w:type="spellStart"/>
            <w:r w:rsidRPr="00DF5D60">
              <w:rPr>
                <w:highlight w:val="yellow"/>
              </w:rPr>
              <w:t>GL_ppal</w:t>
            </w:r>
            <w:proofErr w:type="spellEnd"/>
            <w:r w:rsidRPr="00DF5D60">
              <w:rPr>
                <w:highlight w:val="yellow"/>
              </w:rPr>
              <w:t xml:space="preserve"> para el factor K</w:t>
            </w:r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A02FF8" w:rsidRDefault="00DF5D60" w:rsidP="00DF5D60">
            <w:pPr>
              <w:pStyle w:val="Tabla0"/>
            </w:pPr>
            <w:r w:rsidRPr="00165F00">
              <w:t>Min80FK_</w:t>
            </w:r>
            <w:r>
              <w:t>sec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rPr>
                <w:rFonts w:eastAsia="Calibri" w:cs="Calibri"/>
                <w:color w:val="000000"/>
              </w:rPr>
              <w:t xml:space="preserve">Valor </w:t>
            </w:r>
            <w:r>
              <w:t>mínimo esperable de la media del</w:t>
            </w:r>
            <w:r>
              <w:rPr>
                <w:rFonts w:eastAsia="Calibri" w:cs="Calibri"/>
                <w:color w:val="000000"/>
              </w:rPr>
              <w:t xml:space="preserve"> Factor K de la </w:t>
            </w:r>
            <w:proofErr w:type="spellStart"/>
            <w:r>
              <w:rPr>
                <w:rFonts w:eastAsia="Calibri" w:cs="Calibri"/>
                <w:color w:val="000000"/>
              </w:rPr>
              <w:t>USLE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</w:t>
            </w:r>
            <w:r>
              <w:t xml:space="preserve">para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  <w:r>
              <w:t xml:space="preserve">, con una probabilidad </w:t>
            </w:r>
            <w:proofErr w:type="spellStart"/>
            <w:r>
              <w:t>fiducial</w:t>
            </w:r>
            <w:proofErr w:type="spellEnd"/>
            <w:r>
              <w:t xml:space="preserve"> del 80%</w:t>
            </w:r>
          </w:p>
        </w:tc>
      </w:tr>
      <w:tr w:rsidR="00DF5D60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A02FF8" w:rsidRDefault="00DF5D60" w:rsidP="00DF5D60">
            <w:pPr>
              <w:pStyle w:val="Tabla0"/>
            </w:pPr>
            <w:r w:rsidRPr="00165F00">
              <w:t>Max80FK_</w:t>
            </w:r>
            <w:r>
              <w:t>sec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D60" w:rsidRPr="00206D7E" w:rsidRDefault="00DF5D60" w:rsidP="00FD7BC5">
            <w:pPr>
              <w:pStyle w:val="Tabla0"/>
            </w:pPr>
            <w:r>
              <w:t xml:space="preserve">Valor máximo esperable de la media del Factor K de la </w:t>
            </w:r>
            <w:proofErr w:type="spellStart"/>
            <w:r>
              <w:t>USLE</w:t>
            </w:r>
            <w:proofErr w:type="spellEnd"/>
            <w:r>
              <w:t xml:space="preserve"> para el </w:t>
            </w:r>
            <w:proofErr w:type="spellStart"/>
            <w:r>
              <w:t>GL</w:t>
            </w:r>
            <w:r w:rsidRPr="00F919FC">
              <w:t>_</w:t>
            </w:r>
            <w:r w:rsidR="00FD7BC5">
              <w:t>sec</w:t>
            </w:r>
            <w:proofErr w:type="spellEnd"/>
            <w:r>
              <w:t xml:space="preserve">, con una probabilidad </w:t>
            </w:r>
            <w:proofErr w:type="spellStart"/>
            <w:r>
              <w:t>fiducial</w:t>
            </w:r>
            <w:proofErr w:type="spellEnd"/>
            <w:r>
              <w:t xml:space="preserve"> del 80%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GL_ter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>Grupo litoedáfico menos frecuente de la LtS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FAO_ter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Tipos de suelos que caracterizan el </w:t>
            </w:r>
            <w:proofErr w:type="spellStart"/>
            <w:r w:rsidRPr="00F919FC">
              <w:t>GL_ter</w:t>
            </w:r>
            <w:proofErr w:type="spellEnd"/>
            <w:r w:rsidRPr="00F919FC">
              <w:t xml:space="preserve"> , según la clasificación FAO</w:t>
            </w:r>
          </w:p>
        </w:tc>
      </w:tr>
      <w:tr w:rsidR="00F919FC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proofErr w:type="spellStart"/>
            <w:r w:rsidRPr="00F919FC">
              <w:t>APT_FOR_ter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Aptitud forestal del </w:t>
            </w:r>
            <w:proofErr w:type="spellStart"/>
            <w:r w:rsidRPr="00F919FC">
              <w:t>GL_ter</w:t>
            </w:r>
            <w:proofErr w:type="spellEnd"/>
          </w:p>
        </w:tc>
      </w:tr>
      <w:tr w:rsidR="00F919FC" w:rsidRPr="00DE0D1E" w:rsidTr="001058A4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1058A4" w:rsidP="00014E87">
            <w:pPr>
              <w:pStyle w:val="tabla"/>
            </w:pPr>
            <w:proofErr w:type="spellStart"/>
            <w:r>
              <w:t>GHS_ter</w:t>
            </w:r>
            <w:r w:rsidR="00D563D4">
              <w:t>c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9FC" w:rsidRPr="00DE0D1E" w:rsidRDefault="00F919FC" w:rsidP="00014E87">
            <w:pPr>
              <w:pStyle w:val="tabla"/>
            </w:pPr>
            <w:r w:rsidRPr="00F919FC">
              <w:t xml:space="preserve">Grupo hidrológico de suelo del </w:t>
            </w:r>
            <w:proofErr w:type="spellStart"/>
            <w:r w:rsidRPr="00F919FC">
              <w:t>GL_ter</w:t>
            </w:r>
            <w:proofErr w:type="spellEnd"/>
          </w:p>
        </w:tc>
      </w:tr>
      <w:tr w:rsidR="001058A4" w:rsidRPr="00DE0D1E" w:rsidTr="001058A4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1058A4">
            <w:pPr>
              <w:pStyle w:val="Tabla0"/>
            </w:pPr>
            <w:proofErr w:type="spellStart"/>
            <w:r>
              <w:lastRenderedPageBreak/>
              <w:t>Media</w:t>
            </w:r>
            <w:r w:rsidRPr="009E0E56">
              <w:t>FK</w:t>
            </w:r>
            <w:r w:rsidRPr="00F919FC">
              <w:t>_</w:t>
            </w:r>
            <w:r>
              <w:t>ter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t xml:space="preserve">Valor medio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1058A4">
            <w:pPr>
              <w:pStyle w:val="Tabla0"/>
            </w:pPr>
            <w:proofErr w:type="spellStart"/>
            <w:r w:rsidRPr="009E0E56">
              <w:t>MinFK</w:t>
            </w:r>
            <w:r w:rsidRPr="00F919FC">
              <w:t>_</w:t>
            </w:r>
            <w:r>
              <w:t>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t xml:space="preserve">Valor mínimo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1058A4">
            <w:pPr>
              <w:pStyle w:val="Tabla0"/>
            </w:pPr>
            <w:proofErr w:type="spellStart"/>
            <w:r w:rsidRPr="009E0E56">
              <w:t>MaxFK</w:t>
            </w:r>
            <w:r w:rsidRPr="00F919FC">
              <w:t>_</w:t>
            </w:r>
            <w:r>
              <w:t>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t xml:space="preserve">Valor máximo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1058A4">
            <w:pPr>
              <w:pStyle w:val="Tabla0"/>
            </w:pPr>
            <w:proofErr w:type="spellStart"/>
            <w:r w:rsidRPr="009E0E56">
              <w:t>SDFK</w:t>
            </w:r>
            <w:r w:rsidRPr="00F919FC">
              <w:t>_</w:t>
            </w:r>
            <w:r>
              <w:t>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t xml:space="preserve">Desviación estándar del Factor K en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1058A4">
            <w:pPr>
              <w:pStyle w:val="Tabla0"/>
            </w:pPr>
            <w:proofErr w:type="spellStart"/>
            <w:r w:rsidRPr="009E0E56">
              <w:t>nFK</w:t>
            </w:r>
            <w:r w:rsidRPr="00F919FC">
              <w:t>_</w:t>
            </w:r>
            <w:r>
              <w:t>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t xml:space="preserve">Número de muestreos utilizados para calcular los valores del Factor K de la </w:t>
            </w:r>
            <w:proofErr w:type="spellStart"/>
            <w:r>
              <w:t>USLE</w:t>
            </w:r>
            <w:proofErr w:type="spellEnd"/>
            <w:r>
              <w:t xml:space="preserve"> en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DF5D60" w:rsidRDefault="001058A4" w:rsidP="001058A4">
            <w:pPr>
              <w:pStyle w:val="Tabla0"/>
              <w:rPr>
                <w:highlight w:val="yellow"/>
              </w:rPr>
            </w:pPr>
            <w:proofErr w:type="spellStart"/>
            <w:r w:rsidRPr="00DF5D60">
              <w:rPr>
                <w:highlight w:val="yellow"/>
              </w:rPr>
              <w:t>SDmeanFK_</w:t>
            </w:r>
            <w:r>
              <w:t>ter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DF5D60" w:rsidRDefault="001058A4" w:rsidP="001058A4">
            <w:pPr>
              <w:pStyle w:val="Tabla0"/>
              <w:rPr>
                <w:highlight w:val="yellow"/>
              </w:rPr>
            </w:pPr>
            <w:r w:rsidRPr="00DF5D60">
              <w:rPr>
                <w:highlight w:val="yellow"/>
              </w:rPr>
              <w:t xml:space="preserve">Media de las desviaciones típicas del </w:t>
            </w:r>
            <w:proofErr w:type="spellStart"/>
            <w:r w:rsidRPr="00DF5D60">
              <w:rPr>
                <w:highlight w:val="yellow"/>
              </w:rPr>
              <w:t>GL_ppal</w:t>
            </w:r>
            <w:proofErr w:type="spellEnd"/>
            <w:r w:rsidRPr="00DF5D60">
              <w:rPr>
                <w:highlight w:val="yellow"/>
              </w:rPr>
              <w:t xml:space="preserve"> para el factor K</w:t>
            </w:r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A02FF8" w:rsidRDefault="001058A4" w:rsidP="001058A4">
            <w:pPr>
              <w:pStyle w:val="Tabla0"/>
            </w:pPr>
            <w:r w:rsidRPr="00165F00">
              <w:t>Min80FK_</w:t>
            </w:r>
            <w:r>
              <w:t>ter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rPr>
                <w:rFonts w:eastAsia="Calibri" w:cs="Calibri"/>
                <w:color w:val="000000"/>
              </w:rPr>
              <w:t xml:space="preserve">Valor </w:t>
            </w:r>
            <w:r>
              <w:t>mínimo esperable de la media del</w:t>
            </w:r>
            <w:r>
              <w:rPr>
                <w:rFonts w:eastAsia="Calibri" w:cs="Calibri"/>
                <w:color w:val="000000"/>
              </w:rPr>
              <w:t xml:space="preserve"> Factor K de la </w:t>
            </w:r>
            <w:proofErr w:type="spellStart"/>
            <w:r>
              <w:rPr>
                <w:rFonts w:eastAsia="Calibri" w:cs="Calibri"/>
                <w:color w:val="000000"/>
              </w:rPr>
              <w:t>USLE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</w:t>
            </w:r>
            <w:r>
              <w:t xml:space="preserve">para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  <w:r>
              <w:t xml:space="preserve">, con una probabilidad </w:t>
            </w:r>
            <w:proofErr w:type="spellStart"/>
            <w:r>
              <w:t>fiducial</w:t>
            </w:r>
            <w:proofErr w:type="spellEnd"/>
            <w:r>
              <w:t xml:space="preserve"> del 80%</w:t>
            </w:r>
          </w:p>
        </w:tc>
      </w:tr>
      <w:tr w:rsidR="001058A4" w:rsidRPr="00DE0D1E" w:rsidTr="00014E87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A02FF8" w:rsidRDefault="001058A4" w:rsidP="001058A4">
            <w:pPr>
              <w:pStyle w:val="Tabla0"/>
            </w:pPr>
            <w:r w:rsidRPr="00165F00">
              <w:t>Max80FK_</w:t>
            </w:r>
            <w:r>
              <w:t>ter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A4" w:rsidRPr="00206D7E" w:rsidRDefault="001058A4" w:rsidP="00D563D4">
            <w:pPr>
              <w:pStyle w:val="Tabla0"/>
            </w:pPr>
            <w:r>
              <w:t xml:space="preserve">Valor máximo esperable de la media del Factor K de la </w:t>
            </w:r>
            <w:proofErr w:type="spellStart"/>
            <w:r>
              <w:t>USLE</w:t>
            </w:r>
            <w:proofErr w:type="spellEnd"/>
            <w:r>
              <w:t xml:space="preserve"> para el </w:t>
            </w:r>
            <w:proofErr w:type="spellStart"/>
            <w:r>
              <w:t>GL</w:t>
            </w:r>
            <w:r w:rsidRPr="00F919FC">
              <w:t>_</w:t>
            </w:r>
            <w:r w:rsidR="00D563D4">
              <w:t>ter</w:t>
            </w:r>
            <w:proofErr w:type="spellEnd"/>
            <w:r>
              <w:t xml:space="preserve">, con una probabilidad </w:t>
            </w:r>
            <w:proofErr w:type="spellStart"/>
            <w:r>
              <w:t>fiducial</w:t>
            </w:r>
            <w:proofErr w:type="spellEnd"/>
            <w:r>
              <w:t xml:space="preserve"> del 80%</w:t>
            </w:r>
          </w:p>
        </w:tc>
      </w:tr>
    </w:tbl>
    <w:p w:rsidR="005A3874" w:rsidRDefault="00DF1CBF" w:rsidP="009300AC">
      <w:pPr>
        <w:pStyle w:val="Ttulo3"/>
      </w:pPr>
      <w:r>
        <w:t>T</w:t>
      </w:r>
      <w:r w:rsidR="00F9096B">
        <w:t>15_GL_descripcion</w:t>
      </w:r>
    </w:p>
    <w:p w:rsidR="005A3874" w:rsidRDefault="005A3874" w:rsidP="005A3874">
      <w:pPr>
        <w:pStyle w:val="basico"/>
      </w:pPr>
      <w:r w:rsidRPr="00956DF4">
        <w:t xml:space="preserve">Información que permite </w:t>
      </w:r>
      <w:r>
        <w:t>caracterizar</w:t>
      </w:r>
      <w:r w:rsidRPr="00956DF4">
        <w:t xml:space="preserve"> los distintos grupos litoedáficos definidos en cada litofacies simplificada</w:t>
      </w:r>
      <w:r>
        <w:t>.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7"/>
        <w:gridCol w:w="6483"/>
      </w:tblGrid>
      <w:tr w:rsidR="005A3874" w:rsidRPr="00DE0D1E" w:rsidTr="00805C5B">
        <w:trPr>
          <w:trHeight w:val="255"/>
          <w:tblHeader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Variable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F9096B" w:rsidRDefault="005A3874" w:rsidP="00E572EA">
            <w:pPr>
              <w:pStyle w:val="tabla"/>
              <w:rPr>
                <w:b/>
              </w:rPr>
            </w:pPr>
            <w:r w:rsidRPr="00F9096B">
              <w:rPr>
                <w:b/>
              </w:rPr>
              <w:t>GL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Grupo litoedáfico. Código numérico que define subgrupos dentro de las litofacies simplificadas, con información de los suelos</w:t>
            </w:r>
          </w:p>
        </w:tc>
      </w:tr>
      <w:tr w:rsidR="00F9096B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96B" w:rsidRPr="00DE0D1E" w:rsidRDefault="00F9096B" w:rsidP="00F9096B">
            <w:pPr>
              <w:pStyle w:val="tabla"/>
            </w:pPr>
            <w:proofErr w:type="spellStart"/>
            <w:r w:rsidRPr="00DE0D1E">
              <w:t>Tipo_grupo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96B" w:rsidRPr="00DE0D1E" w:rsidRDefault="00F9096B" w:rsidP="00F9096B">
            <w:pPr>
              <w:pStyle w:val="tabla"/>
            </w:pPr>
            <w:r w:rsidRPr="00DE0D1E">
              <w:t>Tipo de grupo litoedáfico</w:t>
            </w:r>
          </w:p>
        </w:tc>
      </w:tr>
      <w:tr w:rsidR="00F9096B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96B" w:rsidRPr="00DE0D1E" w:rsidRDefault="00F9096B" w:rsidP="00F9096B">
            <w:pPr>
              <w:pStyle w:val="tabla"/>
            </w:pPr>
            <w:proofErr w:type="spellStart"/>
            <w:r w:rsidRPr="00DE0D1E">
              <w:t>GL_Imp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96B" w:rsidRPr="00DE0D1E" w:rsidRDefault="00F9096B" w:rsidP="00F9096B">
            <w:pPr>
              <w:pStyle w:val="tabla"/>
            </w:pPr>
            <w:r w:rsidRPr="00DE0D1E">
              <w:t>Ordinal que indica la importancia del grupo litoedáfico</w:t>
            </w:r>
          </w:p>
        </w:tc>
      </w:tr>
      <w:tr w:rsidR="00F9096B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96B" w:rsidRPr="00DE0D1E" w:rsidRDefault="00F9096B" w:rsidP="00F9096B">
            <w:pPr>
              <w:pStyle w:val="tabla"/>
            </w:pPr>
            <w:proofErr w:type="spellStart"/>
            <w:r w:rsidRPr="00DE0D1E">
              <w:t>N_muestreos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96B" w:rsidRPr="00DE0D1E" w:rsidRDefault="00F9096B" w:rsidP="00F9096B">
            <w:pPr>
              <w:pStyle w:val="tabla"/>
            </w:pPr>
            <w:r w:rsidRPr="00DE0D1E">
              <w:t>Número de muestreos realizados en el grupo litoedáfico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Itext_ln_min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Índice textural logarítmico,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Itext_ln_max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Índice textural logarítmico,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Itext_ln_perc15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Índice textural logarítmico,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Itext_ln_per85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Índice textural logarítmico,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TF_min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Media de tierra fina ponderada por espesor de horizontes,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TF_max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Media de tierra fina ponderada por espesor de horizontes,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TF_perc15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Media de tierra fina ponderada por espesor de horizontes,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TF_perc85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Media de tierra fina ponderada por espesor de horizontes,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Dg_min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Diámetro medio cuadrático de los tamaños de partículas en tierra fina en todo el perfil,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Dg_max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Diámetro medio cuadrático de los tamaños de partículas en tierra fina en todo el perfil,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Dg_perc15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Diámetro medio cuadrático de los tamaños de partículas en tierra fina en todo el perfil,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Dg_per85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Diámetro medio cuadrático de los tamaños de partículas en tierra fina en todo el perfil,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SIGMA_min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Desviación típica geométrica de la distribución de tamaños de partículas en tierra fina en todo el perfil,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SIGMA_max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Desviación típica geométrica de la distribución de tamaños de partículas en tierra fina en todo el perfil,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SIGMA_perc15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Desviación típica geométrica de la distribución de tamaños de partículas en tierra fina en todo el perfil,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SIGMA_per85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Desviación típica geométrica de la distribución de tamaños de partículas en tierra fina en todo el perfil,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pHagua_min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agua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pHagua_max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agua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pHagua_perc15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agua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pHagua_per85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KCl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pHKCl_min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KCl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pHKCl_max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KCl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lastRenderedPageBreak/>
              <w:t>pHKCl_perc15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KCl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pHKCl_per85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pH al KCl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Ca_min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Ca_max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Ca_perc15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Ca_per85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Ca_cual_min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Ca_cual_max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Ca_cual_perc15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Ca_cual_perc85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Ca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Mg_min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Mg_max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Mg_perc15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Mg_per85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Mg_cual_min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Mg_cual_max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Mg_cual_perc15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Mg_cual_perc85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Mg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Na_min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Na_max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Na_perc15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Na_per85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Na_cual_min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Na_cual_max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Na_cual_perc15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Na_cual_perc85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Na cambiable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Textura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Evaluación cualitativa de la textura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Vmedia_min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Vmedia_max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Vmedia_perc15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Vmedia_per85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Media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Vmedia_cual_min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Vmedia_cual_max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Vmedia_cual_perc15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Vmedia_cual_per85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 xml:space="preserve">Evaluación cualitativa de la media de saturación en bases ponderada </w:t>
            </w:r>
            <w:proofErr w:type="spellStart"/>
            <w:r w:rsidRPr="00DE0D1E">
              <w:t>Rusell</w:t>
            </w:r>
            <w:proofErr w:type="spellEnd"/>
            <w:r w:rsidRPr="00DE0D1E">
              <w:t>-Moore,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Profundidad_min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Profundidad útil,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Profundidad_max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Profundidad útil,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lastRenderedPageBreak/>
              <w:t>Profundidad_perc15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Profundidad útil,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Profundidad_perc85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Profundidad útil, percentil 85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Prof_cual_min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Evaluación cualitativa de la profundidad útil, límite inferior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proofErr w:type="spellStart"/>
            <w:r w:rsidRPr="00DE0D1E">
              <w:t>Prof_cual_max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Evaluación cualitativa de la profundidad útil, límite superior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Prof_cual_perc15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Evaluación cualitativa de la profundidad útil, percentil 15</w:t>
            </w:r>
          </w:p>
        </w:tc>
      </w:tr>
      <w:tr w:rsidR="005A3874" w:rsidRPr="00DE0D1E" w:rsidTr="00805C5B">
        <w:trPr>
          <w:trHeight w:val="25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Prof_cual_perc85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DE0D1E" w:rsidRDefault="005A3874" w:rsidP="00E572EA">
            <w:pPr>
              <w:pStyle w:val="tabla"/>
            </w:pPr>
            <w:r w:rsidRPr="00DE0D1E">
              <w:t>Evaluación cualitativa de la profundidad útil, percentil 85</w:t>
            </w:r>
          </w:p>
        </w:tc>
      </w:tr>
    </w:tbl>
    <w:p w:rsidR="005A3874" w:rsidRDefault="00DF1CBF" w:rsidP="009300AC">
      <w:pPr>
        <w:pStyle w:val="Ttulo3"/>
      </w:pPr>
      <w:r>
        <w:t>T</w:t>
      </w:r>
      <w:r w:rsidR="00962ECA">
        <w:t>16_GL_rocas</w:t>
      </w:r>
    </w:p>
    <w:p w:rsidR="005A3874" w:rsidRDefault="005A3874" w:rsidP="005A3874">
      <w:pPr>
        <w:pStyle w:val="basico"/>
      </w:pPr>
      <w:r>
        <w:t>Tabla con los tipos de r</w:t>
      </w:r>
      <w:r w:rsidRPr="00B03988">
        <w:t>oca</w:t>
      </w:r>
      <w:r>
        <w:t xml:space="preserve">s que aparecen en cada </w:t>
      </w:r>
      <w:r w:rsidRPr="00B03988">
        <w:t>grupo litoedáfico</w:t>
      </w:r>
      <w:r>
        <w:t>.</w:t>
      </w:r>
    </w:p>
    <w:tbl>
      <w:tblPr>
        <w:tblW w:w="835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"/>
        <w:gridCol w:w="6904"/>
      </w:tblGrid>
      <w:tr w:rsidR="005A3874" w:rsidRPr="004C75D3" w:rsidTr="00962ECA">
        <w:trPr>
          <w:trHeight w:val="255"/>
          <w:tblHeader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B14EAF" w:rsidRDefault="005A3874" w:rsidP="00E572EA">
            <w:pPr>
              <w:pStyle w:val="tabla"/>
              <w:keepNext/>
              <w:jc w:val="center"/>
            </w:pPr>
            <w:r>
              <w:rPr>
                <w:b/>
                <w:bCs/>
              </w:rPr>
              <w:t>Variable</w:t>
            </w:r>
          </w:p>
        </w:tc>
      </w:tr>
      <w:tr w:rsidR="00962ECA" w:rsidRPr="004C75D3" w:rsidTr="00014E87">
        <w:trPr>
          <w:trHeight w:val="255"/>
          <w:jc w:val="center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2ECA" w:rsidRPr="00962ECA" w:rsidRDefault="00962ECA" w:rsidP="00014E87">
            <w:pPr>
              <w:pStyle w:val="tabla"/>
              <w:rPr>
                <w:b/>
              </w:rPr>
            </w:pPr>
            <w:r w:rsidRPr="00962ECA">
              <w:rPr>
                <w:b/>
              </w:rPr>
              <w:t>GL</w:t>
            </w:r>
          </w:p>
        </w:tc>
        <w:tc>
          <w:tcPr>
            <w:tcW w:w="6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CA" w:rsidRPr="004C75D3" w:rsidRDefault="00962ECA" w:rsidP="00014E87">
            <w:pPr>
              <w:pStyle w:val="tabla"/>
            </w:pPr>
            <w:r w:rsidRPr="004C75D3">
              <w:t>Grupo litoedáfico</w:t>
            </w:r>
            <w:r w:rsidR="00805C5B">
              <w:t>. Coincide con el campo “GL” de la tabla 15_GL_descripcion, que sirve de conexión para conocer las características de cada GL</w:t>
            </w:r>
          </w:p>
        </w:tc>
      </w:tr>
      <w:tr w:rsidR="005A3874" w:rsidRPr="004C75D3" w:rsidTr="00962ECA">
        <w:trPr>
          <w:trHeight w:val="255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r w:rsidRPr="004C75D3">
              <w:t>LtS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r w:rsidRPr="004C75D3">
              <w:t>Litofacies simplificada</w:t>
            </w:r>
          </w:p>
        </w:tc>
      </w:tr>
      <w:tr w:rsidR="005A3874" w:rsidRPr="004C75D3" w:rsidTr="00962ECA">
        <w:trPr>
          <w:trHeight w:val="255"/>
          <w:jc w:val="center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3874" w:rsidRPr="00805C5B" w:rsidRDefault="005A3874" w:rsidP="00E572EA">
            <w:pPr>
              <w:pStyle w:val="tabla"/>
              <w:rPr>
                <w:b/>
              </w:rPr>
            </w:pPr>
            <w:proofErr w:type="spellStart"/>
            <w:r w:rsidRPr="00805C5B">
              <w:rPr>
                <w:b/>
              </w:rPr>
              <w:t>Cod_roca</w:t>
            </w:r>
            <w:proofErr w:type="spellEnd"/>
          </w:p>
        </w:tc>
        <w:tc>
          <w:tcPr>
            <w:tcW w:w="6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  <w:rPr>
                <w:lang w:val="pt-BR"/>
              </w:rPr>
            </w:pPr>
            <w:r w:rsidRPr="004C75D3">
              <w:rPr>
                <w:lang w:val="pt-BR"/>
              </w:rPr>
              <w:t xml:space="preserve">Código </w:t>
            </w:r>
            <w:proofErr w:type="spellStart"/>
            <w:r w:rsidRPr="004C75D3">
              <w:rPr>
                <w:lang w:val="pt-BR"/>
              </w:rPr>
              <w:t>asignado</w:t>
            </w:r>
            <w:proofErr w:type="spellEnd"/>
            <w:r w:rsidRPr="004C75D3">
              <w:rPr>
                <w:lang w:val="pt-BR"/>
              </w:rPr>
              <w:t xml:space="preserve"> a cada tipo de roca</w:t>
            </w:r>
            <w:r w:rsidR="00962ECA">
              <w:rPr>
                <w:lang w:val="pt-BR"/>
              </w:rPr>
              <w:t xml:space="preserve">. </w:t>
            </w:r>
            <w:r w:rsidR="00962ECA">
              <w:t>Coincide con el campo “</w:t>
            </w:r>
            <w:proofErr w:type="spellStart"/>
            <w:r w:rsidR="00962ECA">
              <w:t>CodRoca</w:t>
            </w:r>
            <w:proofErr w:type="spellEnd"/>
            <w:r w:rsidR="00962ECA">
              <w:t>” de la tabla 06_Rocas y sirve de unión para conocer las características del tipo de roca</w:t>
            </w:r>
          </w:p>
        </w:tc>
      </w:tr>
      <w:tr w:rsidR="005A3874" w:rsidRPr="004C75D3" w:rsidTr="00962ECA">
        <w:trPr>
          <w:trHeight w:val="255"/>
          <w:jc w:val="center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proofErr w:type="spellStart"/>
            <w:r w:rsidRPr="004C75D3">
              <w:t>N_muestreos</w:t>
            </w:r>
            <w:proofErr w:type="spellEnd"/>
          </w:p>
        </w:tc>
        <w:tc>
          <w:tcPr>
            <w:tcW w:w="6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r w:rsidRPr="004C75D3">
              <w:t>Número de muestreos que presentan ese tipo de roca</w:t>
            </w:r>
          </w:p>
        </w:tc>
      </w:tr>
      <w:tr w:rsidR="005A3874" w:rsidRPr="004C75D3" w:rsidTr="00962ECA">
        <w:trPr>
          <w:trHeight w:val="255"/>
          <w:jc w:val="center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proofErr w:type="spellStart"/>
            <w:r w:rsidRPr="004C75D3">
              <w:t>Roca_tipica</w:t>
            </w:r>
            <w:proofErr w:type="spellEnd"/>
          </w:p>
        </w:tc>
        <w:tc>
          <w:tcPr>
            <w:tcW w:w="6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r w:rsidRPr="004C75D3">
              <w:t>1 cuando la roca es típica del GL; 0 cuando no es típica o es muy poco frecuente</w:t>
            </w:r>
          </w:p>
        </w:tc>
      </w:tr>
      <w:tr w:rsidR="005A3874" w:rsidRPr="004C75D3" w:rsidTr="00962ECA">
        <w:trPr>
          <w:trHeight w:val="255"/>
          <w:jc w:val="center"/>
        </w:trPr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3874" w:rsidRPr="004C75D3" w:rsidRDefault="005A3874" w:rsidP="00E572EA">
            <w:pPr>
              <w:pStyle w:val="tabla"/>
            </w:pPr>
            <w:r w:rsidRPr="004C75D3">
              <w:t>Observaciones</w:t>
            </w:r>
          </w:p>
        </w:tc>
        <w:tc>
          <w:tcPr>
            <w:tcW w:w="6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874" w:rsidRPr="004C75D3" w:rsidRDefault="00962ECA" w:rsidP="00E572EA">
            <w:pPr>
              <w:pStyle w:val="tabla"/>
            </w:pPr>
            <w:r>
              <w:t>Observaciones sobre la roca asignada al GL</w:t>
            </w:r>
          </w:p>
        </w:tc>
      </w:tr>
    </w:tbl>
    <w:p w:rsidR="005A3874" w:rsidRDefault="005A3874" w:rsidP="005A3874"/>
    <w:p w:rsidR="005A3874" w:rsidRDefault="005A3874" w:rsidP="00A56B06">
      <w:pPr>
        <w:pStyle w:val="Ttulo1"/>
      </w:pPr>
      <w:bookmarkStart w:id="18" w:name="_Toc178613760"/>
      <w:bookmarkStart w:id="19" w:name="_Toc178613947"/>
      <w:bookmarkStart w:id="20" w:name="_Toc331150551"/>
      <w:r>
        <w:t>Relaciones entre objetos del modelo (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class</w:t>
      </w:r>
      <w:bookmarkEnd w:id="18"/>
      <w:bookmarkEnd w:id="19"/>
      <w:proofErr w:type="spellEnd"/>
      <w:r>
        <w:t>)</w:t>
      </w:r>
      <w:bookmarkEnd w:id="20"/>
    </w:p>
    <w:p w:rsidR="005A3874" w:rsidRDefault="005A3874" w:rsidP="005A3874">
      <w:pPr>
        <w:pStyle w:val="basico"/>
      </w:pPr>
      <w:r>
        <w:t>Las “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class</w:t>
      </w:r>
      <w:proofErr w:type="spellEnd"/>
      <w:r>
        <w:t>” son los sistemas de almacenamiento y gestión de los vínculos o relaciones entre los objetos del modelo, tengan o no geometría.</w:t>
      </w:r>
    </w:p>
    <w:p w:rsidR="008B23ED" w:rsidRDefault="008B23ED" w:rsidP="005A3874">
      <w:pPr>
        <w:pStyle w:val="basico"/>
      </w:pPr>
      <w:r>
        <w:t xml:space="preserve">Se han generado dentro de la geodatabase, en su directorio raíz, todas las relaciones que se muestran en la </w:t>
      </w:r>
      <w:r>
        <w:fldChar w:fldCharType="begin"/>
      </w:r>
      <w:r>
        <w:instrText xml:space="preserve"> REF _Ref171178546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 Se describen brevemente estas relaciones establecidas</w:t>
      </w:r>
      <w:r w:rsidR="00A235E7">
        <w:t>.</w:t>
      </w:r>
    </w:p>
    <w:p w:rsidR="005A3874" w:rsidRDefault="005A3874" w:rsidP="007871BA">
      <w:pPr>
        <w:pStyle w:val="titulillo"/>
      </w:pPr>
      <w:bookmarkStart w:id="21" w:name="_Toc331150552"/>
      <w:r>
        <w:t>Relaciones con los puntos de muestreo: “</w:t>
      </w:r>
      <w:proofErr w:type="spellStart"/>
      <w:r>
        <w:t>PtosMuestreo</w:t>
      </w:r>
      <w:proofErr w:type="spellEnd"/>
      <w:r>
        <w:t>”</w:t>
      </w:r>
      <w:bookmarkEnd w:id="21"/>
    </w:p>
    <w:p w:rsidR="007871BA" w:rsidRDefault="005A3874" w:rsidP="005A3874">
      <w:pPr>
        <w:pStyle w:val="basico"/>
      </w:pPr>
      <w:r>
        <w:t>Se han creado un total de 7 relaciones entre el fichero geográfico “</w:t>
      </w:r>
      <w:proofErr w:type="spellStart"/>
      <w:r>
        <w:t>PtosMuestreo</w:t>
      </w:r>
      <w:proofErr w:type="spellEnd"/>
      <w:r>
        <w:t xml:space="preserve">” y varias tablas de la geodatabase. </w:t>
      </w:r>
      <w:r w:rsidR="007871BA">
        <w:t xml:space="preserve">Se han denominado todas de la forma </w:t>
      </w:r>
      <w:proofErr w:type="spellStart"/>
      <w:r w:rsidR="007871BA">
        <w:t>PtosM_XX</w:t>
      </w:r>
      <w:proofErr w:type="spellEnd"/>
      <w:r w:rsidR="007871BA">
        <w:t>, siendo XX el número de la tabla con que se relaciona.</w:t>
      </w:r>
    </w:p>
    <w:p w:rsidR="005A3874" w:rsidRDefault="005A3874" w:rsidP="005A3874">
      <w:pPr>
        <w:pStyle w:val="basico"/>
      </w:pPr>
      <w:r>
        <w:t xml:space="preserve">Todas ellas se relacionan a través del código que </w:t>
      </w:r>
      <w:r w:rsidR="007871BA">
        <w:t xml:space="preserve">identifica el punto de muestreo, el </w:t>
      </w:r>
      <w:r>
        <w:t>campo “</w:t>
      </w:r>
      <w:proofErr w:type="spellStart"/>
      <w:r w:rsidR="007871BA">
        <w:t>Cod</w:t>
      </w:r>
      <w:r>
        <w:t>_observac</w:t>
      </w:r>
      <w:proofErr w:type="spellEnd"/>
      <w:r>
        <w:t>”.</w:t>
      </w:r>
    </w:p>
    <w:p w:rsidR="005A3874" w:rsidRDefault="005A3874" w:rsidP="00A235E7">
      <w:pPr>
        <w:pStyle w:val="titulillo"/>
      </w:pPr>
      <w:bookmarkStart w:id="22" w:name="_Toc331150553"/>
      <w:r>
        <w:t>Relaciones con la cartografía geológica: “</w:t>
      </w:r>
      <w:proofErr w:type="spellStart"/>
      <w:r>
        <w:t>Geologico_Huelva</w:t>
      </w:r>
      <w:proofErr w:type="spellEnd"/>
      <w:r>
        <w:t>”</w:t>
      </w:r>
      <w:bookmarkEnd w:id="22"/>
    </w:p>
    <w:p w:rsidR="00A235E7" w:rsidRDefault="00A235E7" w:rsidP="00A235E7">
      <w:pPr>
        <w:pStyle w:val="basico"/>
      </w:pPr>
      <w:r>
        <w:t xml:space="preserve">Vinculado a este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r>
        <w:t xml:space="preserve">se han definido dos </w:t>
      </w:r>
      <w:proofErr w:type="spellStart"/>
      <w:r>
        <w:rPr>
          <w:i/>
        </w:rPr>
        <w:t>relationship</w:t>
      </w:r>
      <w:proofErr w:type="spellEnd"/>
      <w:r>
        <w:rPr>
          <w:i/>
        </w:rPr>
        <w:t xml:space="preserve"> </w:t>
      </w:r>
      <w:proofErr w:type="spellStart"/>
      <w:r w:rsidRPr="00332358">
        <w:t>class</w:t>
      </w:r>
      <w:proofErr w:type="spellEnd"/>
      <w:r>
        <w:t xml:space="preserve">. </w:t>
      </w:r>
    </w:p>
    <w:p w:rsidR="009B363A" w:rsidRDefault="00A235E7" w:rsidP="00165F00">
      <w:pPr>
        <w:pStyle w:val="vietajuan"/>
      </w:pPr>
      <w:r>
        <w:t>La primera de ellas con la tabla “T01_Recorrido”</w:t>
      </w:r>
      <w:r w:rsidR="00735431">
        <w:t xml:space="preserve"> (</w:t>
      </w:r>
      <w:r w:rsidR="00735431" w:rsidRPr="009B363A">
        <w:rPr>
          <w:i/>
        </w:rPr>
        <w:t>Geolog_01</w:t>
      </w:r>
      <w:r w:rsidR="00735431">
        <w:t>)</w:t>
      </w:r>
      <w:r>
        <w:t>.</w:t>
      </w:r>
      <w:r w:rsidRPr="00A235E7">
        <w:t xml:space="preserve"> </w:t>
      </w:r>
      <w:r>
        <w:t xml:space="preserve">Es una relación uno a muchos a través del código </w:t>
      </w:r>
      <w:r w:rsidRPr="00C16360">
        <w:t>que identifica cada litofacies</w:t>
      </w:r>
      <w:r>
        <w:t xml:space="preserve"> (campo “</w:t>
      </w:r>
      <w:proofErr w:type="spellStart"/>
      <w:r>
        <w:t>Cod_litof</w:t>
      </w:r>
      <w:proofErr w:type="spellEnd"/>
      <w:r>
        <w:t>”), que permite conocer la información de la litofacies sobre la que se ha levantado el perfil.</w:t>
      </w:r>
      <w:r w:rsidR="009B363A">
        <w:t xml:space="preserve"> Esta relación también permite consultar, cuando buscamos la información de algún polígono del </w:t>
      </w:r>
      <w:proofErr w:type="spellStart"/>
      <w:r w:rsidR="009B363A" w:rsidRPr="009B363A">
        <w:rPr>
          <w:i/>
        </w:rPr>
        <w:t>Feature</w:t>
      </w:r>
      <w:proofErr w:type="spellEnd"/>
      <w:r w:rsidR="009B363A" w:rsidRPr="009B363A">
        <w:rPr>
          <w:i/>
        </w:rPr>
        <w:t xml:space="preserve"> </w:t>
      </w:r>
      <w:proofErr w:type="spellStart"/>
      <w:r w:rsidR="009B363A" w:rsidRPr="009B363A">
        <w:rPr>
          <w:i/>
        </w:rPr>
        <w:t>Class</w:t>
      </w:r>
      <w:proofErr w:type="spellEnd"/>
      <w:r w:rsidR="009B363A">
        <w:t xml:space="preserve"> “</w:t>
      </w:r>
      <w:proofErr w:type="spellStart"/>
      <w:r w:rsidR="009B363A">
        <w:t>Geologico_Huelva</w:t>
      </w:r>
      <w:proofErr w:type="spellEnd"/>
      <w:r w:rsidR="009B363A">
        <w:t>”, cuáles son los muestreos levantados en esa litofacies.</w:t>
      </w:r>
    </w:p>
    <w:p w:rsidR="00A235E7" w:rsidRDefault="00A235E7" w:rsidP="00735431">
      <w:pPr>
        <w:pStyle w:val="vietajuan"/>
      </w:pPr>
      <w:r>
        <w:t>La segunda relación es con la tabla T14_FAO_AptF_GHS</w:t>
      </w:r>
      <w:r w:rsidR="00007680">
        <w:t>_FactorK</w:t>
      </w:r>
      <w:r w:rsidR="00735431">
        <w:t xml:space="preserve"> (</w:t>
      </w:r>
      <w:r w:rsidR="00735431">
        <w:rPr>
          <w:i/>
        </w:rPr>
        <w:t>Geolog_14</w:t>
      </w:r>
      <w:r w:rsidR="00735431">
        <w:t>)</w:t>
      </w:r>
      <w:r w:rsidR="000763C6">
        <w:t>, relación de uno a muchos a través del campo LtS, que proporciona información sobre los taxones más frecuentes en cada tesela del map</w:t>
      </w:r>
      <w:r w:rsidR="00007680">
        <w:t>a, así como su aptitud forestal,</w:t>
      </w:r>
      <w:r w:rsidR="000763C6">
        <w:t xml:space="preserve"> el grupo hidrológico de suelos</w:t>
      </w:r>
      <w:r w:rsidR="00007680">
        <w:t xml:space="preserve"> y valores del factor K de la </w:t>
      </w:r>
      <w:proofErr w:type="spellStart"/>
      <w:r w:rsidR="00007680">
        <w:t>USLE</w:t>
      </w:r>
      <w:proofErr w:type="spellEnd"/>
      <w:r w:rsidR="000763C6">
        <w:t>. Esta información se proporciona para los tres GL más frecuentes que aparecen en cada LtS, en caso de que existan.</w:t>
      </w:r>
    </w:p>
    <w:p w:rsidR="005A3874" w:rsidRDefault="005A3874" w:rsidP="000763C6">
      <w:pPr>
        <w:pStyle w:val="titulillo"/>
      </w:pPr>
      <w:bookmarkStart w:id="23" w:name="_Toc331150554"/>
      <w:r>
        <w:lastRenderedPageBreak/>
        <w:t>Relaciones con las unidades de suelo: “</w:t>
      </w:r>
      <w:proofErr w:type="spellStart"/>
      <w:r>
        <w:t>UddesCartog</w:t>
      </w:r>
      <w:proofErr w:type="spellEnd"/>
      <w:r>
        <w:t>”</w:t>
      </w:r>
      <w:bookmarkEnd w:id="23"/>
    </w:p>
    <w:p w:rsidR="005A3874" w:rsidRDefault="005A3874" w:rsidP="005A3874">
      <w:pPr>
        <w:pStyle w:val="basico"/>
      </w:pPr>
      <w:r>
        <w:rPr>
          <w:lang w:val="es-ES_tradnl"/>
        </w:rPr>
        <w:t xml:space="preserve">Relacionado con este </w:t>
      </w:r>
      <w:proofErr w:type="spellStart"/>
      <w:r>
        <w:rPr>
          <w:i/>
          <w:lang w:val="es-ES_tradnl"/>
        </w:rPr>
        <w:t>feature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class</w:t>
      </w:r>
      <w:proofErr w:type="spellEnd"/>
      <w:r>
        <w:rPr>
          <w:lang w:val="es-ES_tradnl"/>
        </w:rPr>
        <w:t xml:space="preserve"> se han construido </w:t>
      </w:r>
      <w:r w:rsidR="00E92073">
        <w:rPr>
          <w:lang w:val="es-ES_tradnl"/>
        </w:rPr>
        <w:t>dos</w:t>
      </w:r>
      <w:r>
        <w:rPr>
          <w:lang w:val="es-ES_tradnl"/>
        </w:rPr>
        <w:t xml:space="preserve"> </w:t>
      </w:r>
      <w:proofErr w:type="spellStart"/>
      <w:r>
        <w:rPr>
          <w:i/>
          <w:lang w:val="es-ES_tradnl"/>
        </w:rPr>
        <w:t>relationship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class</w:t>
      </w:r>
      <w:proofErr w:type="spellEnd"/>
      <w:r>
        <w:rPr>
          <w:lang w:val="es-ES_tradnl"/>
        </w:rPr>
        <w:t xml:space="preserve">, con el propósito de acceder a las </w:t>
      </w:r>
      <w:r>
        <w:t>características edafológicas</w:t>
      </w:r>
      <w:r>
        <w:rPr>
          <w:lang w:val="es-ES_tradnl"/>
        </w:rPr>
        <w:t xml:space="preserve"> de cada</w:t>
      </w:r>
      <w:r>
        <w:t xml:space="preserve"> una de las unidades cartográficas de suelo.</w:t>
      </w:r>
    </w:p>
    <w:p w:rsidR="005A3874" w:rsidRPr="005B7386" w:rsidRDefault="005A3874" w:rsidP="005A3874">
      <w:pPr>
        <w:pStyle w:val="basico"/>
        <w:rPr>
          <w:lang w:val="es-ES_tradnl"/>
        </w:rPr>
      </w:pPr>
      <w:r>
        <w:t>Las relaciones establecidas son las siguientes:</w:t>
      </w:r>
    </w:p>
    <w:p w:rsidR="005A3874" w:rsidRDefault="005A3874" w:rsidP="00E92073">
      <w:pPr>
        <w:pStyle w:val="vietajuan"/>
      </w:pPr>
      <w:r>
        <w:t>Relación entre el fichero geográfico “</w:t>
      </w:r>
      <w:proofErr w:type="spellStart"/>
      <w:r>
        <w:t>UddesCartog</w:t>
      </w:r>
      <w:proofErr w:type="spellEnd"/>
      <w:r>
        <w:t>” y la tabla “</w:t>
      </w:r>
      <w:r w:rsidR="00E92073">
        <w:t>T13_</w:t>
      </w:r>
      <w:r>
        <w:t>Datos_UdCartog”</w:t>
      </w:r>
      <w:r w:rsidR="00735431">
        <w:t xml:space="preserve"> (</w:t>
      </w:r>
      <w:r w:rsidR="00735431">
        <w:rPr>
          <w:i/>
        </w:rPr>
        <w:t>UC_13</w:t>
      </w:r>
      <w:r w:rsidR="00735431">
        <w:t>)</w:t>
      </w:r>
      <w:r>
        <w:t xml:space="preserve">. Se trata de una relación uno a </w:t>
      </w:r>
      <w:r w:rsidR="00E92073">
        <w:t>muchos</w:t>
      </w:r>
      <w:r>
        <w:t xml:space="preserve"> que se realiza a través del campo “</w:t>
      </w:r>
      <w:proofErr w:type="spellStart"/>
      <w:r>
        <w:t>LtS_CliRel</w:t>
      </w:r>
      <w:proofErr w:type="spellEnd"/>
      <w:r>
        <w:t>”.</w:t>
      </w:r>
      <w:r w:rsidR="00E92073">
        <w:t xml:space="preserve"> Esta relación permite conocer, para cada recinto, los datos de profundidad y </w:t>
      </w:r>
      <w:proofErr w:type="spellStart"/>
      <w:r w:rsidR="00E92073">
        <w:t>CRA</w:t>
      </w:r>
      <w:proofErr w:type="spellEnd"/>
      <w:r w:rsidR="00E92073">
        <w:t xml:space="preserve"> que caracterizan cada uno de los GL existentes en </w:t>
      </w:r>
      <w:r w:rsidR="00E92073">
        <w:rPr>
          <w:lang w:val="es-ES_tradnl"/>
        </w:rPr>
        <w:t>la unidad cartográfica de suelos.</w:t>
      </w:r>
    </w:p>
    <w:p w:rsidR="00E92073" w:rsidRDefault="00E92073" w:rsidP="00E92073">
      <w:pPr>
        <w:pStyle w:val="vietajuan"/>
      </w:pPr>
      <w:r>
        <w:t>Relación entre el fichero geográfico “</w:t>
      </w:r>
      <w:proofErr w:type="spellStart"/>
      <w:r>
        <w:t>UddesCartog</w:t>
      </w:r>
      <w:proofErr w:type="spellEnd"/>
      <w:r>
        <w:t>” y la tabla “T14_FAO_AptF_GHS</w:t>
      </w:r>
      <w:r w:rsidR="00007680">
        <w:t>_FactorK</w:t>
      </w:r>
      <w:r>
        <w:t>”</w:t>
      </w:r>
      <w:r w:rsidR="00735431">
        <w:t xml:space="preserve"> (</w:t>
      </w:r>
      <w:r w:rsidR="00735431">
        <w:rPr>
          <w:i/>
        </w:rPr>
        <w:t>UC_14</w:t>
      </w:r>
      <w:r w:rsidR="00735431">
        <w:t>)</w:t>
      </w:r>
      <w:r>
        <w:t xml:space="preserve">. Se trata de una relación uno a muchos que se realiza a través del campo “LtS”. Esta relación permite conocer, para </w:t>
      </w:r>
      <w:r w:rsidR="00735431">
        <w:t>los tres</w:t>
      </w:r>
      <w:r>
        <w:t xml:space="preserve"> </w:t>
      </w:r>
      <w:r w:rsidR="00735431">
        <w:t>GL más frecuentes que aparecen en cada LtS</w:t>
      </w:r>
      <w:r>
        <w:t xml:space="preserve">, </w:t>
      </w:r>
      <w:r w:rsidR="00735431">
        <w:t>los taxones más frecuente</w:t>
      </w:r>
      <w:r w:rsidR="00007680">
        <w:t>s, así como su aptitud forestal,</w:t>
      </w:r>
      <w:r w:rsidR="00735431">
        <w:t xml:space="preserve"> el grupo hidrológico de suelos</w:t>
      </w:r>
      <w:r w:rsidR="00007680">
        <w:t xml:space="preserve"> y los valores del factor K de la </w:t>
      </w:r>
      <w:proofErr w:type="spellStart"/>
      <w:r w:rsidR="00007680">
        <w:t>USLE</w:t>
      </w:r>
      <w:proofErr w:type="spellEnd"/>
      <w:r>
        <w:rPr>
          <w:lang w:val="es-ES_tradnl"/>
        </w:rPr>
        <w:t>.</w:t>
      </w:r>
    </w:p>
    <w:p w:rsidR="00735431" w:rsidRDefault="00735431" w:rsidP="00735431">
      <w:pPr>
        <w:pStyle w:val="titulillo"/>
      </w:pPr>
      <w:r>
        <w:t>Relaciones entre tablas</w:t>
      </w:r>
    </w:p>
    <w:p w:rsidR="005A3874" w:rsidRDefault="008F3557" w:rsidP="00735431">
      <w:pPr>
        <w:pStyle w:val="vietajuan"/>
      </w:pPr>
      <w:r>
        <w:t>R</w:t>
      </w:r>
      <w:r w:rsidR="005A3874" w:rsidRPr="00706BF8">
        <w:t>elación entre la tabla “</w:t>
      </w:r>
      <w:r>
        <w:t>T13_</w:t>
      </w:r>
      <w:r w:rsidR="005A3874" w:rsidRPr="00706BF8">
        <w:t>Datos_UdCartog” y la tabla</w:t>
      </w:r>
      <w:r w:rsidR="005A3874">
        <w:t xml:space="preserve"> “</w:t>
      </w:r>
      <w:r>
        <w:t>T15_</w:t>
      </w:r>
      <w:r w:rsidR="005A3874">
        <w:t>GL_descripcion”</w:t>
      </w:r>
      <w:r w:rsidR="005045D4">
        <w:t xml:space="preserve"> (</w:t>
      </w:r>
      <w:r w:rsidR="005045D4">
        <w:rPr>
          <w:i/>
        </w:rPr>
        <w:t>T15GL_13</w:t>
      </w:r>
      <w:r w:rsidR="005045D4">
        <w:t>)</w:t>
      </w:r>
      <w:r w:rsidR="005A3874">
        <w:t>. Es una relación uno a muchos en la que el campo que se utiliza es el grupo litoedáfico (GL).</w:t>
      </w:r>
      <w:r w:rsidRPr="008F3557">
        <w:t xml:space="preserve"> </w:t>
      </w:r>
      <w:r>
        <w:t>E</w:t>
      </w:r>
      <w:r w:rsidRPr="002217F8">
        <w:t>sta rela</w:t>
      </w:r>
      <w:r>
        <w:t>ción permite consultar las variables que caracterizan a los grupos litoedáfico</w:t>
      </w:r>
      <w:r w:rsidR="009B363A">
        <w:t>s.</w:t>
      </w:r>
    </w:p>
    <w:p w:rsidR="005A3874" w:rsidRDefault="008F3557" w:rsidP="008F3557">
      <w:pPr>
        <w:pStyle w:val="vietajuan"/>
      </w:pPr>
      <w:r>
        <w:t>Relación entre la tabla “T15_GL_descripcion” y la tabla “T16_GL_rocas”</w:t>
      </w:r>
      <w:r w:rsidR="005045D4">
        <w:t xml:space="preserve"> (</w:t>
      </w:r>
      <w:r w:rsidR="005045D4">
        <w:rPr>
          <w:i/>
        </w:rPr>
        <w:t>T15GL_16</w:t>
      </w:r>
      <w:r w:rsidR="005045D4">
        <w:t>)</w:t>
      </w:r>
      <w:r>
        <w:t xml:space="preserve">. </w:t>
      </w:r>
      <w:r w:rsidR="005045D4">
        <w:t>Es</w:t>
      </w:r>
      <w:r>
        <w:t xml:space="preserve"> una relación uno a muchos</w:t>
      </w:r>
      <w:r w:rsidR="009B363A">
        <w:t>,</w:t>
      </w:r>
      <w:r>
        <w:t xml:space="preserve"> </w:t>
      </w:r>
      <w:r w:rsidR="005045D4">
        <w:t>a través del</w:t>
      </w:r>
      <w:r>
        <w:t xml:space="preserve"> campo GL</w:t>
      </w:r>
      <w:r w:rsidR="009B363A">
        <w:t>,</w:t>
      </w:r>
      <w:r w:rsidR="005045D4">
        <w:t xml:space="preserve"> que permite </w:t>
      </w:r>
      <w:r w:rsidR="005A3874">
        <w:t xml:space="preserve">conocer las rocas tipo que han sido identificadas en el grupo litoedáfico seleccionado. </w:t>
      </w:r>
    </w:p>
    <w:p w:rsidR="005045D4" w:rsidRDefault="005045D4" w:rsidP="00D126F8">
      <w:pPr>
        <w:pStyle w:val="vietajuan"/>
      </w:pPr>
      <w:r>
        <w:t>Se han creado 5 relaciones entre la tabla “T06_Rocas” y otras tablas de la geodatabase. Se han denominado todas de la forma T06Roc_XX, siendo XX el número de la tabla con que se relaciona.</w:t>
      </w:r>
      <w:r w:rsidR="00D126F8">
        <w:t xml:space="preserve"> </w:t>
      </w:r>
      <w:r>
        <w:t xml:space="preserve">Todas ellas se relacionan a través del código </w:t>
      </w:r>
      <w:r w:rsidR="00D126F8">
        <w:t xml:space="preserve">que se ha </w:t>
      </w:r>
      <w:r w:rsidR="00D126F8" w:rsidRPr="009D05B0">
        <w:t>asignado a cada tipo de roca</w:t>
      </w:r>
      <w:r>
        <w:t>, el campo “</w:t>
      </w:r>
      <w:proofErr w:type="spellStart"/>
      <w:r>
        <w:t>Cod_</w:t>
      </w:r>
      <w:r w:rsidR="00D126F8">
        <w:t>roca</w:t>
      </w:r>
      <w:proofErr w:type="spellEnd"/>
      <w:r>
        <w:t>”.</w:t>
      </w:r>
      <w:r w:rsidR="00D126F8">
        <w:t xml:space="preserve"> Estas relaciones permiten acceder a las características que describen las rocas tipo.</w:t>
      </w:r>
    </w:p>
    <w:p w:rsidR="009B363A" w:rsidRDefault="009B363A" w:rsidP="009B363A">
      <w:pPr>
        <w:pStyle w:val="vietajuan"/>
      </w:pPr>
      <w:r>
        <w:t>Se han creado 4 relaciones entre la tabla “T03_Horizones” y otras tablas de la geodatabase. Se han denominado de la forma T03Horiz_XX, siendo XX el número de la tabla con que se relaciona.</w:t>
      </w:r>
      <w:r w:rsidR="00181562">
        <w:t xml:space="preserve"> Todas ellas se conectan a través del código que identifica la muestra de cada perfil, el campo “</w:t>
      </w:r>
      <w:proofErr w:type="spellStart"/>
      <w:r w:rsidR="00181562">
        <w:t>Cod_muestra</w:t>
      </w:r>
      <w:proofErr w:type="spellEnd"/>
      <w:r w:rsidR="00181562">
        <w:t>”. Estas relaciones sirven para conectar la información que existe sobre las distintas muestras.</w:t>
      </w:r>
    </w:p>
    <w:sectPr w:rsidR="009B363A" w:rsidSect="007874BD">
      <w:headerReference w:type="default" r:id="rId9"/>
      <w:footerReference w:type="even" r:id="rId10"/>
      <w:footerReference w:type="default" r:id="rId11"/>
      <w:footerReference w:type="first" r:id="rId12"/>
      <w:type w:val="oddPage"/>
      <w:pgSz w:w="11907" w:h="16840" w:code="9"/>
      <w:pgMar w:top="1418" w:right="1418" w:bottom="1418" w:left="1418" w:header="720" w:footer="72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B7A" w:rsidRDefault="00943B7A">
      <w:r>
        <w:separator/>
      </w:r>
    </w:p>
  </w:endnote>
  <w:endnote w:type="continuationSeparator" w:id="0">
    <w:p w:rsidR="00943B7A" w:rsidRDefault="0094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83303"/>
      <w:docPartObj>
        <w:docPartGallery w:val="Page Numbers (Bottom of Page)"/>
        <w:docPartUnique/>
      </w:docPartObj>
    </w:sdtPr>
    <w:sdtContent>
      <w:p w:rsidR="005C49E3" w:rsidRDefault="005C49E3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C78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842552"/>
      <w:docPartObj>
        <w:docPartGallery w:val="Page Numbers (Bottom of Page)"/>
        <w:docPartUnique/>
      </w:docPartObj>
    </w:sdtPr>
    <w:sdtContent>
      <w:p w:rsidR="005C49E3" w:rsidRDefault="005C49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C78">
          <w:rPr>
            <w:noProof/>
          </w:rPr>
          <w:t>17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523498"/>
      <w:docPartObj>
        <w:docPartGallery w:val="Page Numbers (Bottom of Page)"/>
        <w:docPartUnique/>
      </w:docPartObj>
    </w:sdtPr>
    <w:sdtContent>
      <w:p w:rsidR="005C49E3" w:rsidRDefault="005C49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F5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B7A" w:rsidRDefault="00943B7A">
      <w:r>
        <w:separator/>
      </w:r>
    </w:p>
  </w:footnote>
  <w:footnote w:type="continuationSeparator" w:id="0">
    <w:p w:rsidR="00943B7A" w:rsidRDefault="00943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E3" w:rsidRPr="007A7B09" w:rsidRDefault="005C49E3" w:rsidP="007874BD">
    <w:pPr>
      <w:pStyle w:val="basico"/>
      <w:spacing w:after="0"/>
      <w:jc w:val="right"/>
      <w:rPr>
        <w:i/>
        <w:sz w:val="16"/>
      </w:rPr>
    </w:pPr>
    <w:r>
      <w:rPr>
        <w:i/>
        <w:sz w:val="16"/>
      </w:rPr>
      <w:t>SUELOS FORESTALES DE LA PROVINCIA DE HUELVA</w:t>
    </w:r>
    <w:r w:rsidRPr="007A7B09">
      <w:rPr>
        <w:i/>
        <w:sz w:val="16"/>
      </w:rPr>
      <w:t xml:space="preserve">: </w:t>
    </w:r>
  </w:p>
  <w:p w:rsidR="005C49E3" w:rsidRDefault="005C49E3" w:rsidP="007874BD">
    <w:pPr>
      <w:jc w:val="right"/>
      <w:rPr>
        <w:i/>
        <w:sz w:val="16"/>
      </w:rPr>
    </w:pPr>
    <w:r w:rsidRPr="007A7B09">
      <w:rPr>
        <w:i/>
        <w:sz w:val="16"/>
      </w:rPr>
      <w:t>propiedades, evolución y distribución territorial</w:t>
    </w:r>
    <w:r>
      <w:rPr>
        <w:i/>
        <w:sz w:val="16"/>
      </w:rPr>
      <w:t xml:space="preserve"> </w:t>
    </w:r>
  </w:p>
  <w:p w:rsidR="005C49E3" w:rsidRDefault="005C49E3" w:rsidP="007874BD">
    <w:pPr>
      <w:jc w:val="right"/>
      <w:rPr>
        <w:i/>
        <w:sz w:val="16"/>
      </w:rPr>
    </w:pPr>
    <w:r>
      <w:rPr>
        <w:i/>
        <w:sz w:val="16"/>
      </w:rPr>
      <w:t>ANEJO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E7AA9DC"/>
    <w:lvl w:ilvl="0">
      <w:start w:val="1"/>
      <w:numFmt w:val="decimal"/>
      <w:pStyle w:val="Ttulo1"/>
      <w:lvlText w:val="%1."/>
      <w:lvlJc w:val="left"/>
      <w:pPr>
        <w:tabs>
          <w:tab w:val="num" w:pos="709"/>
        </w:tabs>
        <w:ind w:left="709" w:hanging="85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851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709" w:hanging="85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938"/>
        </w:tabs>
        <w:ind w:left="709" w:hanging="85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8"/>
        </w:tabs>
        <w:ind w:left="-142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298"/>
        </w:tabs>
        <w:ind w:left="-142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-142"/>
        </w:tabs>
        <w:ind w:left="-142" w:firstLine="0"/>
      </w:pPr>
      <w:rPr>
        <w:rFonts w:hint="default"/>
      </w:rPr>
    </w:lvl>
  </w:abstractNum>
  <w:abstractNum w:abstractNumId="1" w15:restartNumberingAfterBreak="0">
    <w:nsid w:val="0C653387"/>
    <w:multiLevelType w:val="hybridMultilevel"/>
    <w:tmpl w:val="0758F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560"/>
    <w:multiLevelType w:val="singleLevel"/>
    <w:tmpl w:val="8C54D3DA"/>
    <w:lvl w:ilvl="0">
      <w:start w:val="1"/>
      <w:numFmt w:val="bullet"/>
      <w:pStyle w:val="vietaju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CC07650"/>
    <w:multiLevelType w:val="singleLevel"/>
    <w:tmpl w:val="341A32F6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2D1549"/>
    <w:multiLevelType w:val="singleLevel"/>
    <w:tmpl w:val="0C0A0001"/>
    <w:lvl w:ilvl="0">
      <w:start w:val="1"/>
      <w:numFmt w:val="bullet"/>
      <w:pStyle w:val="Anejotitulo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DF2796"/>
    <w:multiLevelType w:val="multilevel"/>
    <w:tmpl w:val="FF82DD6E"/>
    <w:lvl w:ilvl="0">
      <w:start w:val="1"/>
      <w:numFmt w:val="decimal"/>
      <w:pStyle w:val="titulotest"/>
      <w:lvlText w:val="%1.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2625FAC"/>
    <w:multiLevelType w:val="multilevel"/>
    <w:tmpl w:val="F5C88F5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upperLetter"/>
      <w:pStyle w:val="vietatest"/>
      <w:lvlText w:val="%2."/>
      <w:lvlJc w:val="left"/>
      <w:pPr>
        <w:tabs>
          <w:tab w:val="num" w:pos="454"/>
        </w:tabs>
        <w:ind w:left="454" w:hanging="454"/>
      </w:pPr>
      <w:rPr>
        <w:b/>
        <w:i w:val="0"/>
        <w:u w:val="none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933A83"/>
    <w:multiLevelType w:val="singleLevel"/>
    <w:tmpl w:val="FB1290A0"/>
    <w:lvl w:ilvl="0">
      <w:start w:val="1"/>
      <w:numFmt w:val="bullet"/>
      <w:pStyle w:val="vietaev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5A0CDB"/>
    <w:multiLevelType w:val="hybridMultilevel"/>
    <w:tmpl w:val="B6FC8EDA"/>
    <w:lvl w:ilvl="0" w:tplc="BFFC9758">
      <w:start w:val="1"/>
      <w:numFmt w:val="lowerLetter"/>
      <w:pStyle w:val="listaconletras"/>
      <w:lvlText w:val="%1)"/>
      <w:lvlJc w:val="left"/>
      <w:pPr>
        <w:tabs>
          <w:tab w:val="num" w:pos="417"/>
        </w:tabs>
        <w:ind w:left="397" w:hanging="34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E3736C"/>
    <w:multiLevelType w:val="singleLevel"/>
    <w:tmpl w:val="A31A977E"/>
    <w:lvl w:ilvl="0">
      <w:start w:val="1"/>
      <w:numFmt w:val="bullet"/>
      <w:pStyle w:val="sangria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8E777D"/>
    <w:multiLevelType w:val="hybridMultilevel"/>
    <w:tmpl w:val="C0FC3A60"/>
    <w:lvl w:ilvl="0" w:tplc="0C0A0001">
      <w:start w:val="1"/>
      <w:numFmt w:val="bullet"/>
      <w:pStyle w:val="vietajuanpeque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B9642F"/>
    <w:multiLevelType w:val="singleLevel"/>
    <w:tmpl w:val="822E7FEE"/>
    <w:lvl w:ilvl="0">
      <w:numFmt w:val="bullet"/>
      <w:pStyle w:val="sangria2"/>
      <w:lvlText w:val="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</w:abstractNum>
  <w:abstractNum w:abstractNumId="12" w15:restartNumberingAfterBreak="0">
    <w:nsid w:val="65861F27"/>
    <w:multiLevelType w:val="multilevel"/>
    <w:tmpl w:val="B326327E"/>
    <w:lvl w:ilvl="0">
      <w:start w:val="1"/>
      <w:numFmt w:val="lowerRoman"/>
      <w:pStyle w:val="sangra3"/>
      <w:lvlText w:val="%1."/>
      <w:lvlJc w:val="right"/>
      <w:pPr>
        <w:tabs>
          <w:tab w:val="num" w:pos="1433"/>
        </w:tabs>
        <w:ind w:left="1433" w:hanging="180"/>
      </w:pPr>
      <w:rPr>
        <w:rFonts w:hint="default"/>
        <w:caps w:val="0"/>
      </w:rPr>
    </w:lvl>
    <w:lvl w:ilvl="1" w:tentative="1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13" w15:restartNumberingAfterBreak="0">
    <w:nsid w:val="7CDF525B"/>
    <w:multiLevelType w:val="hybridMultilevel"/>
    <w:tmpl w:val="9878ACBE"/>
    <w:lvl w:ilvl="0" w:tplc="CA34BED8">
      <w:start w:val="1"/>
      <w:numFmt w:val="bullet"/>
      <w:pStyle w:val="vietanorma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700CC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DE7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AF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7A13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E6F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63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826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8E3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3"/>
  </w:num>
  <w:num w:numId="15">
    <w:abstractNumId w:val="4"/>
  </w:num>
  <w:num w:numId="16">
    <w:abstractNumId w:val="1"/>
  </w:num>
  <w:num w:numId="17">
    <w:abstractNumId w:val="2"/>
  </w:num>
  <w:num w:numId="1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fr-BE" w:vendorID="64" w:dllVersion="131078" w:nlCheck="1" w:checkStyle="1"/>
  <w:activeWritingStyle w:appName="MSWord" w:lang="pt-BR" w:vendorID="64" w:dllVersion="131078" w:nlCheck="1" w:checkStyle="0"/>
  <w:activeWritingStyle w:appName="MSWord" w:lang="es-CL" w:vendorID="64" w:dllVersion="131078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01"/>
    <w:rsid w:val="00003125"/>
    <w:rsid w:val="00003895"/>
    <w:rsid w:val="00003C30"/>
    <w:rsid w:val="000042CD"/>
    <w:rsid w:val="000046E1"/>
    <w:rsid w:val="00005FCE"/>
    <w:rsid w:val="00006949"/>
    <w:rsid w:val="00007250"/>
    <w:rsid w:val="00007680"/>
    <w:rsid w:val="000102E2"/>
    <w:rsid w:val="000104C0"/>
    <w:rsid w:val="00010B6B"/>
    <w:rsid w:val="0001115C"/>
    <w:rsid w:val="000114BC"/>
    <w:rsid w:val="000119B3"/>
    <w:rsid w:val="00011E73"/>
    <w:rsid w:val="00012AD6"/>
    <w:rsid w:val="00014736"/>
    <w:rsid w:val="00014990"/>
    <w:rsid w:val="00014D26"/>
    <w:rsid w:val="00014E87"/>
    <w:rsid w:val="00015473"/>
    <w:rsid w:val="000156EF"/>
    <w:rsid w:val="00015BA3"/>
    <w:rsid w:val="00015C65"/>
    <w:rsid w:val="00016A49"/>
    <w:rsid w:val="00017083"/>
    <w:rsid w:val="000171D9"/>
    <w:rsid w:val="00020362"/>
    <w:rsid w:val="000210BA"/>
    <w:rsid w:val="00021462"/>
    <w:rsid w:val="000214CA"/>
    <w:rsid w:val="00021DA5"/>
    <w:rsid w:val="0002257F"/>
    <w:rsid w:val="00022BBE"/>
    <w:rsid w:val="00023447"/>
    <w:rsid w:val="00023AF1"/>
    <w:rsid w:val="0002429D"/>
    <w:rsid w:val="00024E23"/>
    <w:rsid w:val="000259D8"/>
    <w:rsid w:val="0002627D"/>
    <w:rsid w:val="000263B4"/>
    <w:rsid w:val="000263B5"/>
    <w:rsid w:val="00026792"/>
    <w:rsid w:val="000269D3"/>
    <w:rsid w:val="0002718B"/>
    <w:rsid w:val="00030C95"/>
    <w:rsid w:val="000311B1"/>
    <w:rsid w:val="000313AF"/>
    <w:rsid w:val="00032A80"/>
    <w:rsid w:val="00036301"/>
    <w:rsid w:val="0003671D"/>
    <w:rsid w:val="00036CA3"/>
    <w:rsid w:val="00036DF2"/>
    <w:rsid w:val="00041850"/>
    <w:rsid w:val="0004222B"/>
    <w:rsid w:val="00042F13"/>
    <w:rsid w:val="00043728"/>
    <w:rsid w:val="00043748"/>
    <w:rsid w:val="00043C19"/>
    <w:rsid w:val="00044A1C"/>
    <w:rsid w:val="00044FD5"/>
    <w:rsid w:val="00046D82"/>
    <w:rsid w:val="0004733C"/>
    <w:rsid w:val="0005046B"/>
    <w:rsid w:val="00051996"/>
    <w:rsid w:val="000528DA"/>
    <w:rsid w:val="00053014"/>
    <w:rsid w:val="000535B9"/>
    <w:rsid w:val="00053FDF"/>
    <w:rsid w:val="00054F96"/>
    <w:rsid w:val="00056862"/>
    <w:rsid w:val="00057577"/>
    <w:rsid w:val="00057758"/>
    <w:rsid w:val="00057E34"/>
    <w:rsid w:val="00057F7D"/>
    <w:rsid w:val="00060497"/>
    <w:rsid w:val="000607F9"/>
    <w:rsid w:val="00060E0F"/>
    <w:rsid w:val="00060F66"/>
    <w:rsid w:val="00061EE9"/>
    <w:rsid w:val="00062D89"/>
    <w:rsid w:val="000632A2"/>
    <w:rsid w:val="00063600"/>
    <w:rsid w:val="0006538B"/>
    <w:rsid w:val="00065D85"/>
    <w:rsid w:val="00066B3A"/>
    <w:rsid w:val="00067848"/>
    <w:rsid w:val="000678DE"/>
    <w:rsid w:val="00070A5D"/>
    <w:rsid w:val="0007117C"/>
    <w:rsid w:val="00072949"/>
    <w:rsid w:val="00072EE3"/>
    <w:rsid w:val="000739A0"/>
    <w:rsid w:val="00074416"/>
    <w:rsid w:val="00074544"/>
    <w:rsid w:val="00074B5E"/>
    <w:rsid w:val="000763C6"/>
    <w:rsid w:val="00076983"/>
    <w:rsid w:val="00077B64"/>
    <w:rsid w:val="00077C3B"/>
    <w:rsid w:val="000808D8"/>
    <w:rsid w:val="00080FA8"/>
    <w:rsid w:val="00081FA1"/>
    <w:rsid w:val="000827A7"/>
    <w:rsid w:val="00082AAF"/>
    <w:rsid w:val="0008459A"/>
    <w:rsid w:val="00084762"/>
    <w:rsid w:val="00085911"/>
    <w:rsid w:val="00085E7B"/>
    <w:rsid w:val="00085F07"/>
    <w:rsid w:val="00086295"/>
    <w:rsid w:val="00086F13"/>
    <w:rsid w:val="000871EE"/>
    <w:rsid w:val="00090B83"/>
    <w:rsid w:val="000917D2"/>
    <w:rsid w:val="00092713"/>
    <w:rsid w:val="0009283B"/>
    <w:rsid w:val="00092EBA"/>
    <w:rsid w:val="00094265"/>
    <w:rsid w:val="00094839"/>
    <w:rsid w:val="00095049"/>
    <w:rsid w:val="00095612"/>
    <w:rsid w:val="00095956"/>
    <w:rsid w:val="00095B04"/>
    <w:rsid w:val="00096363"/>
    <w:rsid w:val="0009738F"/>
    <w:rsid w:val="00097474"/>
    <w:rsid w:val="00097988"/>
    <w:rsid w:val="000A0CA5"/>
    <w:rsid w:val="000A0F7D"/>
    <w:rsid w:val="000A1A73"/>
    <w:rsid w:val="000A24CB"/>
    <w:rsid w:val="000A291E"/>
    <w:rsid w:val="000A2F10"/>
    <w:rsid w:val="000A300B"/>
    <w:rsid w:val="000A3A7F"/>
    <w:rsid w:val="000A3EF5"/>
    <w:rsid w:val="000A4080"/>
    <w:rsid w:val="000A4530"/>
    <w:rsid w:val="000A4549"/>
    <w:rsid w:val="000A637E"/>
    <w:rsid w:val="000A6567"/>
    <w:rsid w:val="000A7DC5"/>
    <w:rsid w:val="000B0851"/>
    <w:rsid w:val="000B0CF8"/>
    <w:rsid w:val="000B1452"/>
    <w:rsid w:val="000B1B2B"/>
    <w:rsid w:val="000B2507"/>
    <w:rsid w:val="000B3166"/>
    <w:rsid w:val="000B57E7"/>
    <w:rsid w:val="000B65F2"/>
    <w:rsid w:val="000B673A"/>
    <w:rsid w:val="000B69E3"/>
    <w:rsid w:val="000B7264"/>
    <w:rsid w:val="000B7794"/>
    <w:rsid w:val="000C0130"/>
    <w:rsid w:val="000C06F3"/>
    <w:rsid w:val="000C0F1B"/>
    <w:rsid w:val="000C185C"/>
    <w:rsid w:val="000C1C78"/>
    <w:rsid w:val="000C1D81"/>
    <w:rsid w:val="000C2876"/>
    <w:rsid w:val="000C3041"/>
    <w:rsid w:val="000C3062"/>
    <w:rsid w:val="000C38B6"/>
    <w:rsid w:val="000C4431"/>
    <w:rsid w:val="000C49B1"/>
    <w:rsid w:val="000C59DA"/>
    <w:rsid w:val="000C5DCF"/>
    <w:rsid w:val="000C6F9E"/>
    <w:rsid w:val="000C743F"/>
    <w:rsid w:val="000C7B10"/>
    <w:rsid w:val="000D086F"/>
    <w:rsid w:val="000D0B8E"/>
    <w:rsid w:val="000D1D81"/>
    <w:rsid w:val="000D2D38"/>
    <w:rsid w:val="000D3560"/>
    <w:rsid w:val="000D3DA1"/>
    <w:rsid w:val="000D4477"/>
    <w:rsid w:val="000D476F"/>
    <w:rsid w:val="000D4DD4"/>
    <w:rsid w:val="000D5266"/>
    <w:rsid w:val="000D55FF"/>
    <w:rsid w:val="000D5A64"/>
    <w:rsid w:val="000D6246"/>
    <w:rsid w:val="000D6DD9"/>
    <w:rsid w:val="000D7026"/>
    <w:rsid w:val="000D7980"/>
    <w:rsid w:val="000E1DF4"/>
    <w:rsid w:val="000E242A"/>
    <w:rsid w:val="000E3205"/>
    <w:rsid w:val="000E38E4"/>
    <w:rsid w:val="000E40B5"/>
    <w:rsid w:val="000E43F6"/>
    <w:rsid w:val="000E507F"/>
    <w:rsid w:val="000E6234"/>
    <w:rsid w:val="000E629A"/>
    <w:rsid w:val="000E7A1C"/>
    <w:rsid w:val="000E7F83"/>
    <w:rsid w:val="000F04B2"/>
    <w:rsid w:val="000F1996"/>
    <w:rsid w:val="000F19E7"/>
    <w:rsid w:val="000F20FC"/>
    <w:rsid w:val="000F4F42"/>
    <w:rsid w:val="000F5C55"/>
    <w:rsid w:val="000F659D"/>
    <w:rsid w:val="000F671B"/>
    <w:rsid w:val="001007B9"/>
    <w:rsid w:val="00101489"/>
    <w:rsid w:val="00101621"/>
    <w:rsid w:val="001017FB"/>
    <w:rsid w:val="001036FA"/>
    <w:rsid w:val="00103D63"/>
    <w:rsid w:val="0010440B"/>
    <w:rsid w:val="001045F8"/>
    <w:rsid w:val="001058A4"/>
    <w:rsid w:val="001059BC"/>
    <w:rsid w:val="00106599"/>
    <w:rsid w:val="00106613"/>
    <w:rsid w:val="00106EEA"/>
    <w:rsid w:val="00110261"/>
    <w:rsid w:val="00111B1F"/>
    <w:rsid w:val="00113585"/>
    <w:rsid w:val="00114AB8"/>
    <w:rsid w:val="001156C9"/>
    <w:rsid w:val="00115B59"/>
    <w:rsid w:val="00116403"/>
    <w:rsid w:val="00116BB1"/>
    <w:rsid w:val="00117289"/>
    <w:rsid w:val="00120908"/>
    <w:rsid w:val="00120ACB"/>
    <w:rsid w:val="00121088"/>
    <w:rsid w:val="001219EA"/>
    <w:rsid w:val="0012280B"/>
    <w:rsid w:val="001229B2"/>
    <w:rsid w:val="00123509"/>
    <w:rsid w:val="00125BB6"/>
    <w:rsid w:val="00125C6C"/>
    <w:rsid w:val="001264AC"/>
    <w:rsid w:val="001266D9"/>
    <w:rsid w:val="00126DC2"/>
    <w:rsid w:val="00126F21"/>
    <w:rsid w:val="00127270"/>
    <w:rsid w:val="00130510"/>
    <w:rsid w:val="0013093C"/>
    <w:rsid w:val="00130C13"/>
    <w:rsid w:val="001310D2"/>
    <w:rsid w:val="00131E67"/>
    <w:rsid w:val="0013364B"/>
    <w:rsid w:val="0013372D"/>
    <w:rsid w:val="00133F1A"/>
    <w:rsid w:val="001340AB"/>
    <w:rsid w:val="00134181"/>
    <w:rsid w:val="001351C3"/>
    <w:rsid w:val="00135B92"/>
    <w:rsid w:val="001370F7"/>
    <w:rsid w:val="0013710D"/>
    <w:rsid w:val="0013796C"/>
    <w:rsid w:val="00137DAC"/>
    <w:rsid w:val="00140D29"/>
    <w:rsid w:val="00141081"/>
    <w:rsid w:val="001411A9"/>
    <w:rsid w:val="0014158B"/>
    <w:rsid w:val="00141839"/>
    <w:rsid w:val="00141851"/>
    <w:rsid w:val="0014204E"/>
    <w:rsid w:val="00143149"/>
    <w:rsid w:val="001435C6"/>
    <w:rsid w:val="00143C77"/>
    <w:rsid w:val="00143F94"/>
    <w:rsid w:val="00145264"/>
    <w:rsid w:val="0014603F"/>
    <w:rsid w:val="00146233"/>
    <w:rsid w:val="00146B56"/>
    <w:rsid w:val="00146F41"/>
    <w:rsid w:val="001472AD"/>
    <w:rsid w:val="00147A35"/>
    <w:rsid w:val="00150DC6"/>
    <w:rsid w:val="00151159"/>
    <w:rsid w:val="00151CB8"/>
    <w:rsid w:val="0015335E"/>
    <w:rsid w:val="00154221"/>
    <w:rsid w:val="0015449B"/>
    <w:rsid w:val="00154881"/>
    <w:rsid w:val="00154E2A"/>
    <w:rsid w:val="00155126"/>
    <w:rsid w:val="00155C63"/>
    <w:rsid w:val="00156115"/>
    <w:rsid w:val="00156191"/>
    <w:rsid w:val="00157B93"/>
    <w:rsid w:val="0016111B"/>
    <w:rsid w:val="00161349"/>
    <w:rsid w:val="00162122"/>
    <w:rsid w:val="0016224E"/>
    <w:rsid w:val="0016283E"/>
    <w:rsid w:val="00163DD2"/>
    <w:rsid w:val="001642BA"/>
    <w:rsid w:val="00165F00"/>
    <w:rsid w:val="001668DB"/>
    <w:rsid w:val="0016693C"/>
    <w:rsid w:val="00166DE8"/>
    <w:rsid w:val="00166F33"/>
    <w:rsid w:val="00167645"/>
    <w:rsid w:val="00167995"/>
    <w:rsid w:val="00170767"/>
    <w:rsid w:val="001709EE"/>
    <w:rsid w:val="00170FEF"/>
    <w:rsid w:val="001714F4"/>
    <w:rsid w:val="001721BC"/>
    <w:rsid w:val="00172215"/>
    <w:rsid w:val="00172C1A"/>
    <w:rsid w:val="00172E78"/>
    <w:rsid w:val="001731F4"/>
    <w:rsid w:val="0017391E"/>
    <w:rsid w:val="00173B75"/>
    <w:rsid w:val="00174684"/>
    <w:rsid w:val="0017486F"/>
    <w:rsid w:val="00174917"/>
    <w:rsid w:val="00174D3A"/>
    <w:rsid w:val="0017590E"/>
    <w:rsid w:val="00175951"/>
    <w:rsid w:val="00177478"/>
    <w:rsid w:val="00177C52"/>
    <w:rsid w:val="001804DA"/>
    <w:rsid w:val="00181177"/>
    <w:rsid w:val="00181562"/>
    <w:rsid w:val="00181C0C"/>
    <w:rsid w:val="001822F1"/>
    <w:rsid w:val="0018258E"/>
    <w:rsid w:val="00182B88"/>
    <w:rsid w:val="0018451E"/>
    <w:rsid w:val="00184A3A"/>
    <w:rsid w:val="00185589"/>
    <w:rsid w:val="00185782"/>
    <w:rsid w:val="00185820"/>
    <w:rsid w:val="00185DB5"/>
    <w:rsid w:val="00186044"/>
    <w:rsid w:val="001864F7"/>
    <w:rsid w:val="00190160"/>
    <w:rsid w:val="001906D0"/>
    <w:rsid w:val="00191761"/>
    <w:rsid w:val="00191C5A"/>
    <w:rsid w:val="0019223A"/>
    <w:rsid w:val="001937CE"/>
    <w:rsid w:val="00194B8D"/>
    <w:rsid w:val="00195FD8"/>
    <w:rsid w:val="00196476"/>
    <w:rsid w:val="001968EC"/>
    <w:rsid w:val="00197FF2"/>
    <w:rsid w:val="001A0FB3"/>
    <w:rsid w:val="001A11D1"/>
    <w:rsid w:val="001A212F"/>
    <w:rsid w:val="001A24D2"/>
    <w:rsid w:val="001A2EDE"/>
    <w:rsid w:val="001A37FC"/>
    <w:rsid w:val="001A4B8E"/>
    <w:rsid w:val="001A5660"/>
    <w:rsid w:val="001A5A94"/>
    <w:rsid w:val="001A5B23"/>
    <w:rsid w:val="001A644F"/>
    <w:rsid w:val="001A6FFA"/>
    <w:rsid w:val="001A7008"/>
    <w:rsid w:val="001A7A5A"/>
    <w:rsid w:val="001B006E"/>
    <w:rsid w:val="001B0D1A"/>
    <w:rsid w:val="001B2A96"/>
    <w:rsid w:val="001B2B06"/>
    <w:rsid w:val="001B433A"/>
    <w:rsid w:val="001B4E49"/>
    <w:rsid w:val="001B5732"/>
    <w:rsid w:val="001B57E0"/>
    <w:rsid w:val="001B7CF6"/>
    <w:rsid w:val="001C03F8"/>
    <w:rsid w:val="001C052F"/>
    <w:rsid w:val="001C058B"/>
    <w:rsid w:val="001C1539"/>
    <w:rsid w:val="001C19F5"/>
    <w:rsid w:val="001C2263"/>
    <w:rsid w:val="001C22FA"/>
    <w:rsid w:val="001C2BAF"/>
    <w:rsid w:val="001C32E0"/>
    <w:rsid w:val="001C33BD"/>
    <w:rsid w:val="001C3CC3"/>
    <w:rsid w:val="001C4B2D"/>
    <w:rsid w:val="001C527B"/>
    <w:rsid w:val="001C72BA"/>
    <w:rsid w:val="001D03BF"/>
    <w:rsid w:val="001D131C"/>
    <w:rsid w:val="001D14BA"/>
    <w:rsid w:val="001D22B4"/>
    <w:rsid w:val="001D22F9"/>
    <w:rsid w:val="001D35BC"/>
    <w:rsid w:val="001D3905"/>
    <w:rsid w:val="001D39B9"/>
    <w:rsid w:val="001D3BC0"/>
    <w:rsid w:val="001D3ED0"/>
    <w:rsid w:val="001D3ED3"/>
    <w:rsid w:val="001D5322"/>
    <w:rsid w:val="001D6CAE"/>
    <w:rsid w:val="001D7163"/>
    <w:rsid w:val="001D725C"/>
    <w:rsid w:val="001D76D0"/>
    <w:rsid w:val="001D7898"/>
    <w:rsid w:val="001E055C"/>
    <w:rsid w:val="001E0B63"/>
    <w:rsid w:val="001E1258"/>
    <w:rsid w:val="001E1ED2"/>
    <w:rsid w:val="001E2D33"/>
    <w:rsid w:val="001E2FC0"/>
    <w:rsid w:val="001E36A3"/>
    <w:rsid w:val="001E38F7"/>
    <w:rsid w:val="001E50AA"/>
    <w:rsid w:val="001E54AA"/>
    <w:rsid w:val="001E5FAC"/>
    <w:rsid w:val="001E6279"/>
    <w:rsid w:val="001E63D7"/>
    <w:rsid w:val="001E680D"/>
    <w:rsid w:val="001E6885"/>
    <w:rsid w:val="001E6AEB"/>
    <w:rsid w:val="001F09BF"/>
    <w:rsid w:val="001F1327"/>
    <w:rsid w:val="001F1435"/>
    <w:rsid w:val="001F16EB"/>
    <w:rsid w:val="001F1E67"/>
    <w:rsid w:val="001F2B10"/>
    <w:rsid w:val="001F3522"/>
    <w:rsid w:val="001F3642"/>
    <w:rsid w:val="001F48EC"/>
    <w:rsid w:val="001F4C42"/>
    <w:rsid w:val="001F5838"/>
    <w:rsid w:val="001F606F"/>
    <w:rsid w:val="001F63E3"/>
    <w:rsid w:val="001F69AD"/>
    <w:rsid w:val="001F765C"/>
    <w:rsid w:val="001F7E57"/>
    <w:rsid w:val="0020034F"/>
    <w:rsid w:val="00200EC9"/>
    <w:rsid w:val="00203515"/>
    <w:rsid w:val="00203B5B"/>
    <w:rsid w:val="00205206"/>
    <w:rsid w:val="00205883"/>
    <w:rsid w:val="00206FF7"/>
    <w:rsid w:val="00207812"/>
    <w:rsid w:val="00207F19"/>
    <w:rsid w:val="00210151"/>
    <w:rsid w:val="002111EC"/>
    <w:rsid w:val="00211C51"/>
    <w:rsid w:val="00212232"/>
    <w:rsid w:val="002123E8"/>
    <w:rsid w:val="002123EA"/>
    <w:rsid w:val="0021249C"/>
    <w:rsid w:val="00212B21"/>
    <w:rsid w:val="00213C8C"/>
    <w:rsid w:val="00214937"/>
    <w:rsid w:val="00214C8E"/>
    <w:rsid w:val="00217E47"/>
    <w:rsid w:val="0022030F"/>
    <w:rsid w:val="0022168C"/>
    <w:rsid w:val="0022268F"/>
    <w:rsid w:val="00222BAD"/>
    <w:rsid w:val="00222C00"/>
    <w:rsid w:val="00223C3B"/>
    <w:rsid w:val="00224035"/>
    <w:rsid w:val="00224981"/>
    <w:rsid w:val="00225B50"/>
    <w:rsid w:val="00225DFE"/>
    <w:rsid w:val="00225E22"/>
    <w:rsid w:val="00226DF2"/>
    <w:rsid w:val="00227006"/>
    <w:rsid w:val="00227FF0"/>
    <w:rsid w:val="002313B3"/>
    <w:rsid w:val="0023159F"/>
    <w:rsid w:val="00231762"/>
    <w:rsid w:val="002329DC"/>
    <w:rsid w:val="0023308E"/>
    <w:rsid w:val="002338F7"/>
    <w:rsid w:val="00234994"/>
    <w:rsid w:val="00234B3E"/>
    <w:rsid w:val="00234C71"/>
    <w:rsid w:val="00235466"/>
    <w:rsid w:val="002364B2"/>
    <w:rsid w:val="00236688"/>
    <w:rsid w:val="00236803"/>
    <w:rsid w:val="002370F5"/>
    <w:rsid w:val="00237337"/>
    <w:rsid w:val="00237342"/>
    <w:rsid w:val="00237C44"/>
    <w:rsid w:val="00237D05"/>
    <w:rsid w:val="0024067B"/>
    <w:rsid w:val="00240E05"/>
    <w:rsid w:val="00240E33"/>
    <w:rsid w:val="002412F9"/>
    <w:rsid w:val="00241EE6"/>
    <w:rsid w:val="00242635"/>
    <w:rsid w:val="00242704"/>
    <w:rsid w:val="00242935"/>
    <w:rsid w:val="002448AA"/>
    <w:rsid w:val="00244974"/>
    <w:rsid w:val="00244AAF"/>
    <w:rsid w:val="002459AF"/>
    <w:rsid w:val="00246835"/>
    <w:rsid w:val="00246C89"/>
    <w:rsid w:val="002503D0"/>
    <w:rsid w:val="00250F60"/>
    <w:rsid w:val="002518CE"/>
    <w:rsid w:val="0025538B"/>
    <w:rsid w:val="00255C30"/>
    <w:rsid w:val="00256261"/>
    <w:rsid w:val="00256C21"/>
    <w:rsid w:val="002579CB"/>
    <w:rsid w:val="00260319"/>
    <w:rsid w:val="002608DB"/>
    <w:rsid w:val="00261399"/>
    <w:rsid w:val="002616FC"/>
    <w:rsid w:val="002622FD"/>
    <w:rsid w:val="0026451D"/>
    <w:rsid w:val="00264971"/>
    <w:rsid w:val="00264CEB"/>
    <w:rsid w:val="002651EF"/>
    <w:rsid w:val="00266AB4"/>
    <w:rsid w:val="00266BD3"/>
    <w:rsid w:val="0026773F"/>
    <w:rsid w:val="002701F5"/>
    <w:rsid w:val="00270362"/>
    <w:rsid w:val="00270497"/>
    <w:rsid w:val="00270558"/>
    <w:rsid w:val="00270722"/>
    <w:rsid w:val="002716CF"/>
    <w:rsid w:val="00271B80"/>
    <w:rsid w:val="00273E22"/>
    <w:rsid w:val="002742D0"/>
    <w:rsid w:val="002748B3"/>
    <w:rsid w:val="002748DB"/>
    <w:rsid w:val="002751B8"/>
    <w:rsid w:val="0027551A"/>
    <w:rsid w:val="0027561E"/>
    <w:rsid w:val="0027685F"/>
    <w:rsid w:val="0027738B"/>
    <w:rsid w:val="002776C2"/>
    <w:rsid w:val="00277AE1"/>
    <w:rsid w:val="00277C14"/>
    <w:rsid w:val="00277D00"/>
    <w:rsid w:val="00277F14"/>
    <w:rsid w:val="00280310"/>
    <w:rsid w:val="00281697"/>
    <w:rsid w:val="002816FF"/>
    <w:rsid w:val="00281BAE"/>
    <w:rsid w:val="00282091"/>
    <w:rsid w:val="002821A9"/>
    <w:rsid w:val="0028229F"/>
    <w:rsid w:val="00283A65"/>
    <w:rsid w:val="00283B2F"/>
    <w:rsid w:val="0028435D"/>
    <w:rsid w:val="00284C1F"/>
    <w:rsid w:val="00284C4D"/>
    <w:rsid w:val="0028527F"/>
    <w:rsid w:val="002852F4"/>
    <w:rsid w:val="00285362"/>
    <w:rsid w:val="0028542E"/>
    <w:rsid w:val="0028667C"/>
    <w:rsid w:val="002873DC"/>
    <w:rsid w:val="002901EA"/>
    <w:rsid w:val="00291318"/>
    <w:rsid w:val="002929A1"/>
    <w:rsid w:val="002943A5"/>
    <w:rsid w:val="0029464F"/>
    <w:rsid w:val="00294D2D"/>
    <w:rsid w:val="00295A66"/>
    <w:rsid w:val="00295B24"/>
    <w:rsid w:val="00295B6B"/>
    <w:rsid w:val="00297FA0"/>
    <w:rsid w:val="002A03E8"/>
    <w:rsid w:val="002A138C"/>
    <w:rsid w:val="002A1723"/>
    <w:rsid w:val="002A22DD"/>
    <w:rsid w:val="002A3057"/>
    <w:rsid w:val="002A3798"/>
    <w:rsid w:val="002A37FA"/>
    <w:rsid w:val="002A3DB5"/>
    <w:rsid w:val="002A4294"/>
    <w:rsid w:val="002A49DB"/>
    <w:rsid w:val="002A4FDE"/>
    <w:rsid w:val="002A5A98"/>
    <w:rsid w:val="002A6763"/>
    <w:rsid w:val="002A6D9E"/>
    <w:rsid w:val="002A752A"/>
    <w:rsid w:val="002B02CF"/>
    <w:rsid w:val="002B32A7"/>
    <w:rsid w:val="002B3471"/>
    <w:rsid w:val="002B37E9"/>
    <w:rsid w:val="002B3F59"/>
    <w:rsid w:val="002B3FA2"/>
    <w:rsid w:val="002B4CE4"/>
    <w:rsid w:val="002B4EDC"/>
    <w:rsid w:val="002B4F61"/>
    <w:rsid w:val="002B574D"/>
    <w:rsid w:val="002B5756"/>
    <w:rsid w:val="002C04BF"/>
    <w:rsid w:val="002C35B5"/>
    <w:rsid w:val="002C4B86"/>
    <w:rsid w:val="002C7074"/>
    <w:rsid w:val="002C72E5"/>
    <w:rsid w:val="002D0175"/>
    <w:rsid w:val="002D2C99"/>
    <w:rsid w:val="002D2DFA"/>
    <w:rsid w:val="002D79CC"/>
    <w:rsid w:val="002D7DF9"/>
    <w:rsid w:val="002D7EFD"/>
    <w:rsid w:val="002E0088"/>
    <w:rsid w:val="002E0160"/>
    <w:rsid w:val="002E0FC2"/>
    <w:rsid w:val="002E11E2"/>
    <w:rsid w:val="002E2345"/>
    <w:rsid w:val="002E3A8A"/>
    <w:rsid w:val="002E4B9C"/>
    <w:rsid w:val="002E6C0D"/>
    <w:rsid w:val="002E7641"/>
    <w:rsid w:val="002E7BA6"/>
    <w:rsid w:val="002F0487"/>
    <w:rsid w:val="002F09A4"/>
    <w:rsid w:val="002F0A21"/>
    <w:rsid w:val="002F1489"/>
    <w:rsid w:val="002F18E6"/>
    <w:rsid w:val="002F1D0D"/>
    <w:rsid w:val="002F25AA"/>
    <w:rsid w:val="002F2AE5"/>
    <w:rsid w:val="002F2BD3"/>
    <w:rsid w:val="002F3873"/>
    <w:rsid w:val="002F449B"/>
    <w:rsid w:val="002F4790"/>
    <w:rsid w:val="002F4FE2"/>
    <w:rsid w:val="002F5522"/>
    <w:rsid w:val="002F6050"/>
    <w:rsid w:val="002F6052"/>
    <w:rsid w:val="0030056C"/>
    <w:rsid w:val="003009AC"/>
    <w:rsid w:val="00300F2E"/>
    <w:rsid w:val="003017DD"/>
    <w:rsid w:val="003025C2"/>
    <w:rsid w:val="00303405"/>
    <w:rsid w:val="003034F8"/>
    <w:rsid w:val="00303EB6"/>
    <w:rsid w:val="003057A0"/>
    <w:rsid w:val="0030651F"/>
    <w:rsid w:val="003067CF"/>
    <w:rsid w:val="00306BEE"/>
    <w:rsid w:val="0030739D"/>
    <w:rsid w:val="00307BF0"/>
    <w:rsid w:val="00307EA6"/>
    <w:rsid w:val="003114E8"/>
    <w:rsid w:val="0031212E"/>
    <w:rsid w:val="0031344A"/>
    <w:rsid w:val="0031370A"/>
    <w:rsid w:val="003138C1"/>
    <w:rsid w:val="003144F7"/>
    <w:rsid w:val="00314EF8"/>
    <w:rsid w:val="0031520F"/>
    <w:rsid w:val="003165BE"/>
    <w:rsid w:val="003165D5"/>
    <w:rsid w:val="003169DD"/>
    <w:rsid w:val="00317A33"/>
    <w:rsid w:val="00320F7F"/>
    <w:rsid w:val="00321EC1"/>
    <w:rsid w:val="00322547"/>
    <w:rsid w:val="00323987"/>
    <w:rsid w:val="00324303"/>
    <w:rsid w:val="0032587D"/>
    <w:rsid w:val="00325F81"/>
    <w:rsid w:val="00326F35"/>
    <w:rsid w:val="00327024"/>
    <w:rsid w:val="00327892"/>
    <w:rsid w:val="00327AA0"/>
    <w:rsid w:val="00330873"/>
    <w:rsid w:val="00330B9F"/>
    <w:rsid w:val="0033157C"/>
    <w:rsid w:val="00331710"/>
    <w:rsid w:val="00332A50"/>
    <w:rsid w:val="00333162"/>
    <w:rsid w:val="003331C2"/>
    <w:rsid w:val="00333493"/>
    <w:rsid w:val="003334F1"/>
    <w:rsid w:val="00333603"/>
    <w:rsid w:val="00333D06"/>
    <w:rsid w:val="00334729"/>
    <w:rsid w:val="0033489A"/>
    <w:rsid w:val="003355D1"/>
    <w:rsid w:val="003357D4"/>
    <w:rsid w:val="003357E0"/>
    <w:rsid w:val="00335A2F"/>
    <w:rsid w:val="00335F0F"/>
    <w:rsid w:val="003365E0"/>
    <w:rsid w:val="00337FCF"/>
    <w:rsid w:val="0034062E"/>
    <w:rsid w:val="003411F2"/>
    <w:rsid w:val="003424CC"/>
    <w:rsid w:val="0034284A"/>
    <w:rsid w:val="003429D4"/>
    <w:rsid w:val="00343817"/>
    <w:rsid w:val="00343AA3"/>
    <w:rsid w:val="00343E5B"/>
    <w:rsid w:val="0034413E"/>
    <w:rsid w:val="00344B05"/>
    <w:rsid w:val="00344DF3"/>
    <w:rsid w:val="0034508D"/>
    <w:rsid w:val="0034561D"/>
    <w:rsid w:val="003458F9"/>
    <w:rsid w:val="00346176"/>
    <w:rsid w:val="0034670F"/>
    <w:rsid w:val="00346922"/>
    <w:rsid w:val="00350BB1"/>
    <w:rsid w:val="003511E3"/>
    <w:rsid w:val="00351E05"/>
    <w:rsid w:val="00353D26"/>
    <w:rsid w:val="003540C2"/>
    <w:rsid w:val="00354C19"/>
    <w:rsid w:val="00355AC1"/>
    <w:rsid w:val="00355E8F"/>
    <w:rsid w:val="00357015"/>
    <w:rsid w:val="00357605"/>
    <w:rsid w:val="003576D0"/>
    <w:rsid w:val="00357C9C"/>
    <w:rsid w:val="003602BD"/>
    <w:rsid w:val="00360571"/>
    <w:rsid w:val="00361046"/>
    <w:rsid w:val="003610C7"/>
    <w:rsid w:val="00361DC1"/>
    <w:rsid w:val="00362D9D"/>
    <w:rsid w:val="00363810"/>
    <w:rsid w:val="003651F6"/>
    <w:rsid w:val="003663A3"/>
    <w:rsid w:val="003666E6"/>
    <w:rsid w:val="00366981"/>
    <w:rsid w:val="00366CA6"/>
    <w:rsid w:val="003670A4"/>
    <w:rsid w:val="00367416"/>
    <w:rsid w:val="00367C7A"/>
    <w:rsid w:val="003700F6"/>
    <w:rsid w:val="00370EF3"/>
    <w:rsid w:val="00371FD3"/>
    <w:rsid w:val="0037238C"/>
    <w:rsid w:val="0037365D"/>
    <w:rsid w:val="003736B4"/>
    <w:rsid w:val="00373AAC"/>
    <w:rsid w:val="00374799"/>
    <w:rsid w:val="00374831"/>
    <w:rsid w:val="0037633F"/>
    <w:rsid w:val="003765AC"/>
    <w:rsid w:val="00377785"/>
    <w:rsid w:val="003807D7"/>
    <w:rsid w:val="00380E56"/>
    <w:rsid w:val="003818AC"/>
    <w:rsid w:val="00382F65"/>
    <w:rsid w:val="003835EE"/>
    <w:rsid w:val="00383A74"/>
    <w:rsid w:val="00383D72"/>
    <w:rsid w:val="00384804"/>
    <w:rsid w:val="003848F0"/>
    <w:rsid w:val="00384C16"/>
    <w:rsid w:val="00385357"/>
    <w:rsid w:val="003860D5"/>
    <w:rsid w:val="0038626B"/>
    <w:rsid w:val="003863F1"/>
    <w:rsid w:val="00387A80"/>
    <w:rsid w:val="00390CE0"/>
    <w:rsid w:val="00390F55"/>
    <w:rsid w:val="003911AC"/>
    <w:rsid w:val="003926C8"/>
    <w:rsid w:val="00392A92"/>
    <w:rsid w:val="00393257"/>
    <w:rsid w:val="003939FD"/>
    <w:rsid w:val="00393BE0"/>
    <w:rsid w:val="00393F22"/>
    <w:rsid w:val="00394E0A"/>
    <w:rsid w:val="00394F7D"/>
    <w:rsid w:val="00394FC9"/>
    <w:rsid w:val="00395AA0"/>
    <w:rsid w:val="00396624"/>
    <w:rsid w:val="0039767D"/>
    <w:rsid w:val="00397848"/>
    <w:rsid w:val="00397A4C"/>
    <w:rsid w:val="003A0811"/>
    <w:rsid w:val="003A274E"/>
    <w:rsid w:val="003A3A09"/>
    <w:rsid w:val="003A51B3"/>
    <w:rsid w:val="003A5BB0"/>
    <w:rsid w:val="003A5C08"/>
    <w:rsid w:val="003A6046"/>
    <w:rsid w:val="003A67C0"/>
    <w:rsid w:val="003B032F"/>
    <w:rsid w:val="003B0B66"/>
    <w:rsid w:val="003B1B2E"/>
    <w:rsid w:val="003B1F77"/>
    <w:rsid w:val="003B2299"/>
    <w:rsid w:val="003B55C1"/>
    <w:rsid w:val="003B6E1C"/>
    <w:rsid w:val="003B6E27"/>
    <w:rsid w:val="003B768C"/>
    <w:rsid w:val="003B78F5"/>
    <w:rsid w:val="003C047C"/>
    <w:rsid w:val="003C0CB4"/>
    <w:rsid w:val="003C0E3F"/>
    <w:rsid w:val="003C1D9F"/>
    <w:rsid w:val="003C21A2"/>
    <w:rsid w:val="003C2D17"/>
    <w:rsid w:val="003C3859"/>
    <w:rsid w:val="003C3AD0"/>
    <w:rsid w:val="003C44B1"/>
    <w:rsid w:val="003C4738"/>
    <w:rsid w:val="003C4EB6"/>
    <w:rsid w:val="003C5ADB"/>
    <w:rsid w:val="003C5F47"/>
    <w:rsid w:val="003C6607"/>
    <w:rsid w:val="003C70C0"/>
    <w:rsid w:val="003C799F"/>
    <w:rsid w:val="003D0891"/>
    <w:rsid w:val="003D1184"/>
    <w:rsid w:val="003D16EC"/>
    <w:rsid w:val="003D1CC0"/>
    <w:rsid w:val="003D1DBE"/>
    <w:rsid w:val="003D253C"/>
    <w:rsid w:val="003D2FA8"/>
    <w:rsid w:val="003D341D"/>
    <w:rsid w:val="003D37EE"/>
    <w:rsid w:val="003D416B"/>
    <w:rsid w:val="003D4FA7"/>
    <w:rsid w:val="003D5103"/>
    <w:rsid w:val="003D6137"/>
    <w:rsid w:val="003D6B2A"/>
    <w:rsid w:val="003D78D5"/>
    <w:rsid w:val="003E29BC"/>
    <w:rsid w:val="003E3C5D"/>
    <w:rsid w:val="003E512F"/>
    <w:rsid w:val="003E5244"/>
    <w:rsid w:val="003E562B"/>
    <w:rsid w:val="003E686B"/>
    <w:rsid w:val="003E6E0B"/>
    <w:rsid w:val="003E7F1E"/>
    <w:rsid w:val="003F24AF"/>
    <w:rsid w:val="003F318E"/>
    <w:rsid w:val="003F35E0"/>
    <w:rsid w:val="003F45EB"/>
    <w:rsid w:val="003F45FD"/>
    <w:rsid w:val="003F49D6"/>
    <w:rsid w:val="003F4E34"/>
    <w:rsid w:val="003F4E37"/>
    <w:rsid w:val="003F5E2A"/>
    <w:rsid w:val="003F6CA6"/>
    <w:rsid w:val="003F7A33"/>
    <w:rsid w:val="0040237E"/>
    <w:rsid w:val="0040300C"/>
    <w:rsid w:val="00403CE7"/>
    <w:rsid w:val="00404120"/>
    <w:rsid w:val="00404996"/>
    <w:rsid w:val="00405A49"/>
    <w:rsid w:val="00405F8B"/>
    <w:rsid w:val="00406778"/>
    <w:rsid w:val="00406C70"/>
    <w:rsid w:val="00406F34"/>
    <w:rsid w:val="004078DE"/>
    <w:rsid w:val="0041058A"/>
    <w:rsid w:val="00411ACE"/>
    <w:rsid w:val="00411B52"/>
    <w:rsid w:val="0041232A"/>
    <w:rsid w:val="004141CC"/>
    <w:rsid w:val="00414FAC"/>
    <w:rsid w:val="0041613E"/>
    <w:rsid w:val="00416E36"/>
    <w:rsid w:val="00416F0A"/>
    <w:rsid w:val="004174E4"/>
    <w:rsid w:val="00417DFC"/>
    <w:rsid w:val="00420914"/>
    <w:rsid w:val="004209A7"/>
    <w:rsid w:val="00420C9D"/>
    <w:rsid w:val="00423158"/>
    <w:rsid w:val="00423B47"/>
    <w:rsid w:val="00424B9C"/>
    <w:rsid w:val="00426ABB"/>
    <w:rsid w:val="004271EE"/>
    <w:rsid w:val="004272D6"/>
    <w:rsid w:val="004273D2"/>
    <w:rsid w:val="004301B4"/>
    <w:rsid w:val="00430723"/>
    <w:rsid w:val="00430970"/>
    <w:rsid w:val="00431708"/>
    <w:rsid w:val="00432279"/>
    <w:rsid w:val="0043296C"/>
    <w:rsid w:val="00432BDA"/>
    <w:rsid w:val="00432D5E"/>
    <w:rsid w:val="00433045"/>
    <w:rsid w:val="00435487"/>
    <w:rsid w:val="004355E1"/>
    <w:rsid w:val="004375DA"/>
    <w:rsid w:val="00437DB6"/>
    <w:rsid w:val="004409E3"/>
    <w:rsid w:val="00441E82"/>
    <w:rsid w:val="0044264A"/>
    <w:rsid w:val="00442A62"/>
    <w:rsid w:val="00444F30"/>
    <w:rsid w:val="00445B92"/>
    <w:rsid w:val="00446602"/>
    <w:rsid w:val="00446D04"/>
    <w:rsid w:val="004477E7"/>
    <w:rsid w:val="00447C2B"/>
    <w:rsid w:val="00450892"/>
    <w:rsid w:val="00450A4E"/>
    <w:rsid w:val="00450F1C"/>
    <w:rsid w:val="00451458"/>
    <w:rsid w:val="00451B17"/>
    <w:rsid w:val="004525E1"/>
    <w:rsid w:val="0045322A"/>
    <w:rsid w:val="00453D5B"/>
    <w:rsid w:val="00454305"/>
    <w:rsid w:val="00454F72"/>
    <w:rsid w:val="0045514B"/>
    <w:rsid w:val="0045556D"/>
    <w:rsid w:val="0045606D"/>
    <w:rsid w:val="004574CF"/>
    <w:rsid w:val="004600D9"/>
    <w:rsid w:val="0046057E"/>
    <w:rsid w:val="00460C6A"/>
    <w:rsid w:val="00460F6B"/>
    <w:rsid w:val="00461450"/>
    <w:rsid w:val="0046160A"/>
    <w:rsid w:val="0046189B"/>
    <w:rsid w:val="00462818"/>
    <w:rsid w:val="00462887"/>
    <w:rsid w:val="004629EA"/>
    <w:rsid w:val="004640EB"/>
    <w:rsid w:val="004646D7"/>
    <w:rsid w:val="004649C1"/>
    <w:rsid w:val="004656F4"/>
    <w:rsid w:val="00466630"/>
    <w:rsid w:val="00466901"/>
    <w:rsid w:val="00466B32"/>
    <w:rsid w:val="004672E3"/>
    <w:rsid w:val="0046738D"/>
    <w:rsid w:val="00467EA8"/>
    <w:rsid w:val="004701CF"/>
    <w:rsid w:val="00471616"/>
    <w:rsid w:val="004720EE"/>
    <w:rsid w:val="00472878"/>
    <w:rsid w:val="00475767"/>
    <w:rsid w:val="00476348"/>
    <w:rsid w:val="00476ECE"/>
    <w:rsid w:val="00476F4F"/>
    <w:rsid w:val="0048241B"/>
    <w:rsid w:val="004833BD"/>
    <w:rsid w:val="00484DE3"/>
    <w:rsid w:val="0048523B"/>
    <w:rsid w:val="0048659F"/>
    <w:rsid w:val="004870FD"/>
    <w:rsid w:val="00487B2B"/>
    <w:rsid w:val="004919AB"/>
    <w:rsid w:val="00492642"/>
    <w:rsid w:val="0049336E"/>
    <w:rsid w:val="004935C9"/>
    <w:rsid w:val="00493FEE"/>
    <w:rsid w:val="0049479E"/>
    <w:rsid w:val="00495F62"/>
    <w:rsid w:val="004965A2"/>
    <w:rsid w:val="00496868"/>
    <w:rsid w:val="00496C64"/>
    <w:rsid w:val="00496C97"/>
    <w:rsid w:val="004A116D"/>
    <w:rsid w:val="004A1F68"/>
    <w:rsid w:val="004A278A"/>
    <w:rsid w:val="004A2FD5"/>
    <w:rsid w:val="004A3215"/>
    <w:rsid w:val="004A33CF"/>
    <w:rsid w:val="004A39C3"/>
    <w:rsid w:val="004A4379"/>
    <w:rsid w:val="004A59B0"/>
    <w:rsid w:val="004A5B7B"/>
    <w:rsid w:val="004A69AD"/>
    <w:rsid w:val="004A6AA2"/>
    <w:rsid w:val="004A7026"/>
    <w:rsid w:val="004B0181"/>
    <w:rsid w:val="004B04F3"/>
    <w:rsid w:val="004B067E"/>
    <w:rsid w:val="004B0C2C"/>
    <w:rsid w:val="004B13E1"/>
    <w:rsid w:val="004B174D"/>
    <w:rsid w:val="004B1E9F"/>
    <w:rsid w:val="004B3071"/>
    <w:rsid w:val="004B4CF1"/>
    <w:rsid w:val="004B4CFE"/>
    <w:rsid w:val="004B4D23"/>
    <w:rsid w:val="004B4D88"/>
    <w:rsid w:val="004B4E09"/>
    <w:rsid w:val="004B53B5"/>
    <w:rsid w:val="004B575D"/>
    <w:rsid w:val="004B59DF"/>
    <w:rsid w:val="004B5FD8"/>
    <w:rsid w:val="004B6300"/>
    <w:rsid w:val="004B67C7"/>
    <w:rsid w:val="004B6A70"/>
    <w:rsid w:val="004B7565"/>
    <w:rsid w:val="004C0CA2"/>
    <w:rsid w:val="004C0F01"/>
    <w:rsid w:val="004C121B"/>
    <w:rsid w:val="004C2178"/>
    <w:rsid w:val="004C218D"/>
    <w:rsid w:val="004C2776"/>
    <w:rsid w:val="004C281B"/>
    <w:rsid w:val="004C2E01"/>
    <w:rsid w:val="004C345F"/>
    <w:rsid w:val="004C381B"/>
    <w:rsid w:val="004C3DD3"/>
    <w:rsid w:val="004C40D3"/>
    <w:rsid w:val="004C44DC"/>
    <w:rsid w:val="004C4C1E"/>
    <w:rsid w:val="004C5381"/>
    <w:rsid w:val="004C5737"/>
    <w:rsid w:val="004C5F6E"/>
    <w:rsid w:val="004C62AA"/>
    <w:rsid w:val="004C6691"/>
    <w:rsid w:val="004C74D2"/>
    <w:rsid w:val="004C7621"/>
    <w:rsid w:val="004C78AE"/>
    <w:rsid w:val="004D02BD"/>
    <w:rsid w:val="004D144D"/>
    <w:rsid w:val="004D1C05"/>
    <w:rsid w:val="004D22AC"/>
    <w:rsid w:val="004D50C1"/>
    <w:rsid w:val="004D53F0"/>
    <w:rsid w:val="004D5F31"/>
    <w:rsid w:val="004D610B"/>
    <w:rsid w:val="004D6845"/>
    <w:rsid w:val="004D6FA8"/>
    <w:rsid w:val="004D7B20"/>
    <w:rsid w:val="004E0F04"/>
    <w:rsid w:val="004E0FD0"/>
    <w:rsid w:val="004E208A"/>
    <w:rsid w:val="004E2502"/>
    <w:rsid w:val="004E2821"/>
    <w:rsid w:val="004E2BDC"/>
    <w:rsid w:val="004E3084"/>
    <w:rsid w:val="004E3753"/>
    <w:rsid w:val="004E44D7"/>
    <w:rsid w:val="004E4E7B"/>
    <w:rsid w:val="004E4EEC"/>
    <w:rsid w:val="004E5A06"/>
    <w:rsid w:val="004E633B"/>
    <w:rsid w:val="004E7164"/>
    <w:rsid w:val="004E79BE"/>
    <w:rsid w:val="004F0448"/>
    <w:rsid w:val="004F1334"/>
    <w:rsid w:val="004F1371"/>
    <w:rsid w:val="004F18BE"/>
    <w:rsid w:val="004F4779"/>
    <w:rsid w:val="004F4B39"/>
    <w:rsid w:val="004F5268"/>
    <w:rsid w:val="004F6F10"/>
    <w:rsid w:val="004F702E"/>
    <w:rsid w:val="004F7548"/>
    <w:rsid w:val="004F7808"/>
    <w:rsid w:val="00500252"/>
    <w:rsid w:val="005042A2"/>
    <w:rsid w:val="005045D4"/>
    <w:rsid w:val="00504FC6"/>
    <w:rsid w:val="005059CF"/>
    <w:rsid w:val="005068D5"/>
    <w:rsid w:val="00510725"/>
    <w:rsid w:val="005115A5"/>
    <w:rsid w:val="00511E78"/>
    <w:rsid w:val="00512045"/>
    <w:rsid w:val="0051213C"/>
    <w:rsid w:val="005144FD"/>
    <w:rsid w:val="00514709"/>
    <w:rsid w:val="005151B8"/>
    <w:rsid w:val="00515A80"/>
    <w:rsid w:val="00515A84"/>
    <w:rsid w:val="0051606C"/>
    <w:rsid w:val="00516371"/>
    <w:rsid w:val="00516486"/>
    <w:rsid w:val="005165BF"/>
    <w:rsid w:val="0051665F"/>
    <w:rsid w:val="005172A6"/>
    <w:rsid w:val="005201EF"/>
    <w:rsid w:val="0052161F"/>
    <w:rsid w:val="00521D5D"/>
    <w:rsid w:val="005223AE"/>
    <w:rsid w:val="005226E1"/>
    <w:rsid w:val="00523B1B"/>
    <w:rsid w:val="00525C4D"/>
    <w:rsid w:val="00525E3E"/>
    <w:rsid w:val="00525EC9"/>
    <w:rsid w:val="00526A18"/>
    <w:rsid w:val="00526DE0"/>
    <w:rsid w:val="005305A3"/>
    <w:rsid w:val="00530612"/>
    <w:rsid w:val="005312F4"/>
    <w:rsid w:val="0053198F"/>
    <w:rsid w:val="0053319D"/>
    <w:rsid w:val="00533478"/>
    <w:rsid w:val="005336C3"/>
    <w:rsid w:val="0053381A"/>
    <w:rsid w:val="0053497B"/>
    <w:rsid w:val="00534F99"/>
    <w:rsid w:val="00535294"/>
    <w:rsid w:val="00536299"/>
    <w:rsid w:val="00536309"/>
    <w:rsid w:val="005369E0"/>
    <w:rsid w:val="0053723C"/>
    <w:rsid w:val="00537376"/>
    <w:rsid w:val="0054006E"/>
    <w:rsid w:val="0054022B"/>
    <w:rsid w:val="0054057C"/>
    <w:rsid w:val="00540FCA"/>
    <w:rsid w:val="00541F30"/>
    <w:rsid w:val="00544A8C"/>
    <w:rsid w:val="00546AA7"/>
    <w:rsid w:val="00546ED5"/>
    <w:rsid w:val="00547505"/>
    <w:rsid w:val="00550D65"/>
    <w:rsid w:val="00551C5B"/>
    <w:rsid w:val="00552134"/>
    <w:rsid w:val="00552F73"/>
    <w:rsid w:val="005545E3"/>
    <w:rsid w:val="005549F4"/>
    <w:rsid w:val="00554B05"/>
    <w:rsid w:val="00554B9A"/>
    <w:rsid w:val="005563B6"/>
    <w:rsid w:val="0055727A"/>
    <w:rsid w:val="005573C6"/>
    <w:rsid w:val="005573EE"/>
    <w:rsid w:val="00557910"/>
    <w:rsid w:val="005579CE"/>
    <w:rsid w:val="00560581"/>
    <w:rsid w:val="005605CC"/>
    <w:rsid w:val="005607DB"/>
    <w:rsid w:val="00560C83"/>
    <w:rsid w:val="005614D0"/>
    <w:rsid w:val="00561D30"/>
    <w:rsid w:val="005625C2"/>
    <w:rsid w:val="005626DC"/>
    <w:rsid w:val="00563B97"/>
    <w:rsid w:val="005648FF"/>
    <w:rsid w:val="005650B6"/>
    <w:rsid w:val="005652EE"/>
    <w:rsid w:val="00566294"/>
    <w:rsid w:val="005665EB"/>
    <w:rsid w:val="00566E97"/>
    <w:rsid w:val="0056767E"/>
    <w:rsid w:val="005703D9"/>
    <w:rsid w:val="005708F0"/>
    <w:rsid w:val="00571E9C"/>
    <w:rsid w:val="00572A64"/>
    <w:rsid w:val="00572E31"/>
    <w:rsid w:val="00572E89"/>
    <w:rsid w:val="00573628"/>
    <w:rsid w:val="005739B1"/>
    <w:rsid w:val="00573A4C"/>
    <w:rsid w:val="00574993"/>
    <w:rsid w:val="0057596F"/>
    <w:rsid w:val="0057634F"/>
    <w:rsid w:val="00580572"/>
    <w:rsid w:val="00580E1D"/>
    <w:rsid w:val="005819C7"/>
    <w:rsid w:val="00581DF8"/>
    <w:rsid w:val="00582430"/>
    <w:rsid w:val="00582D70"/>
    <w:rsid w:val="00585218"/>
    <w:rsid w:val="00585B16"/>
    <w:rsid w:val="00587555"/>
    <w:rsid w:val="00587DA7"/>
    <w:rsid w:val="0059068E"/>
    <w:rsid w:val="0059158A"/>
    <w:rsid w:val="005917A0"/>
    <w:rsid w:val="00591DA6"/>
    <w:rsid w:val="00592345"/>
    <w:rsid w:val="00592601"/>
    <w:rsid w:val="00593160"/>
    <w:rsid w:val="005937E4"/>
    <w:rsid w:val="00593AD3"/>
    <w:rsid w:val="0059427D"/>
    <w:rsid w:val="00594367"/>
    <w:rsid w:val="00594827"/>
    <w:rsid w:val="00596177"/>
    <w:rsid w:val="005964D8"/>
    <w:rsid w:val="005978D9"/>
    <w:rsid w:val="005A24FF"/>
    <w:rsid w:val="005A3301"/>
    <w:rsid w:val="005A3874"/>
    <w:rsid w:val="005A4409"/>
    <w:rsid w:val="005A5906"/>
    <w:rsid w:val="005A5D8B"/>
    <w:rsid w:val="005A6D3E"/>
    <w:rsid w:val="005A73E6"/>
    <w:rsid w:val="005A7B97"/>
    <w:rsid w:val="005B04BB"/>
    <w:rsid w:val="005B0690"/>
    <w:rsid w:val="005B1963"/>
    <w:rsid w:val="005B1A67"/>
    <w:rsid w:val="005B2403"/>
    <w:rsid w:val="005B35B5"/>
    <w:rsid w:val="005B37DB"/>
    <w:rsid w:val="005B3C46"/>
    <w:rsid w:val="005B4571"/>
    <w:rsid w:val="005B4B2F"/>
    <w:rsid w:val="005B568C"/>
    <w:rsid w:val="005B5D0B"/>
    <w:rsid w:val="005B749C"/>
    <w:rsid w:val="005B786E"/>
    <w:rsid w:val="005C0040"/>
    <w:rsid w:val="005C0637"/>
    <w:rsid w:val="005C0695"/>
    <w:rsid w:val="005C143C"/>
    <w:rsid w:val="005C150A"/>
    <w:rsid w:val="005C2430"/>
    <w:rsid w:val="005C335D"/>
    <w:rsid w:val="005C394A"/>
    <w:rsid w:val="005C4960"/>
    <w:rsid w:val="005C496E"/>
    <w:rsid w:val="005C49E3"/>
    <w:rsid w:val="005C56B9"/>
    <w:rsid w:val="005C572D"/>
    <w:rsid w:val="005C612E"/>
    <w:rsid w:val="005C618E"/>
    <w:rsid w:val="005D07B6"/>
    <w:rsid w:val="005D0E12"/>
    <w:rsid w:val="005D1BC3"/>
    <w:rsid w:val="005D2C17"/>
    <w:rsid w:val="005D2E55"/>
    <w:rsid w:val="005D2F17"/>
    <w:rsid w:val="005D2F4A"/>
    <w:rsid w:val="005D4519"/>
    <w:rsid w:val="005D4E55"/>
    <w:rsid w:val="005D5012"/>
    <w:rsid w:val="005D5471"/>
    <w:rsid w:val="005D5DB5"/>
    <w:rsid w:val="005D6264"/>
    <w:rsid w:val="005D62DA"/>
    <w:rsid w:val="005D6B91"/>
    <w:rsid w:val="005D7390"/>
    <w:rsid w:val="005D7D5F"/>
    <w:rsid w:val="005E0539"/>
    <w:rsid w:val="005E055A"/>
    <w:rsid w:val="005E0D01"/>
    <w:rsid w:val="005E112E"/>
    <w:rsid w:val="005E1C26"/>
    <w:rsid w:val="005E26D4"/>
    <w:rsid w:val="005E27DE"/>
    <w:rsid w:val="005E2B8C"/>
    <w:rsid w:val="005E3B73"/>
    <w:rsid w:val="005E5075"/>
    <w:rsid w:val="005E6396"/>
    <w:rsid w:val="005E674C"/>
    <w:rsid w:val="005F15DD"/>
    <w:rsid w:val="005F22BF"/>
    <w:rsid w:val="005F2C01"/>
    <w:rsid w:val="005F34BB"/>
    <w:rsid w:val="005F4769"/>
    <w:rsid w:val="005F4AAB"/>
    <w:rsid w:val="005F4FE0"/>
    <w:rsid w:val="005F52B5"/>
    <w:rsid w:val="005F7A32"/>
    <w:rsid w:val="00600806"/>
    <w:rsid w:val="00600D2B"/>
    <w:rsid w:val="00602BC4"/>
    <w:rsid w:val="00602F94"/>
    <w:rsid w:val="00603C89"/>
    <w:rsid w:val="00603F54"/>
    <w:rsid w:val="006055C1"/>
    <w:rsid w:val="00605BD1"/>
    <w:rsid w:val="0060601E"/>
    <w:rsid w:val="006062DA"/>
    <w:rsid w:val="00607417"/>
    <w:rsid w:val="00607689"/>
    <w:rsid w:val="006078F4"/>
    <w:rsid w:val="00607DB4"/>
    <w:rsid w:val="00610A64"/>
    <w:rsid w:val="0061110D"/>
    <w:rsid w:val="006112C2"/>
    <w:rsid w:val="006115DD"/>
    <w:rsid w:val="0061190C"/>
    <w:rsid w:val="0061250D"/>
    <w:rsid w:val="006131B1"/>
    <w:rsid w:val="00613998"/>
    <w:rsid w:val="00614158"/>
    <w:rsid w:val="006152BA"/>
    <w:rsid w:val="006163EC"/>
    <w:rsid w:val="00617595"/>
    <w:rsid w:val="0062091E"/>
    <w:rsid w:val="0062145F"/>
    <w:rsid w:val="00623A82"/>
    <w:rsid w:val="00625849"/>
    <w:rsid w:val="00625FE4"/>
    <w:rsid w:val="006276A9"/>
    <w:rsid w:val="006279FB"/>
    <w:rsid w:val="0063044F"/>
    <w:rsid w:val="00630EEC"/>
    <w:rsid w:val="00631D95"/>
    <w:rsid w:val="00632012"/>
    <w:rsid w:val="00632F63"/>
    <w:rsid w:val="006336A9"/>
    <w:rsid w:val="006338DA"/>
    <w:rsid w:val="00634053"/>
    <w:rsid w:val="00635259"/>
    <w:rsid w:val="00635FF2"/>
    <w:rsid w:val="0063656D"/>
    <w:rsid w:val="006368B6"/>
    <w:rsid w:val="00637F8E"/>
    <w:rsid w:val="006436BD"/>
    <w:rsid w:val="00643C78"/>
    <w:rsid w:val="006457E0"/>
    <w:rsid w:val="00645ED9"/>
    <w:rsid w:val="0064618E"/>
    <w:rsid w:val="0064652B"/>
    <w:rsid w:val="00646ECB"/>
    <w:rsid w:val="006476D3"/>
    <w:rsid w:val="0065079D"/>
    <w:rsid w:val="0065083F"/>
    <w:rsid w:val="00650B6B"/>
    <w:rsid w:val="00650D49"/>
    <w:rsid w:val="00651B18"/>
    <w:rsid w:val="00651C3F"/>
    <w:rsid w:val="00651C55"/>
    <w:rsid w:val="00652026"/>
    <w:rsid w:val="006528EA"/>
    <w:rsid w:val="00653363"/>
    <w:rsid w:val="00654C46"/>
    <w:rsid w:val="00656591"/>
    <w:rsid w:val="0065692D"/>
    <w:rsid w:val="00656D19"/>
    <w:rsid w:val="0065728F"/>
    <w:rsid w:val="00657E22"/>
    <w:rsid w:val="0066037B"/>
    <w:rsid w:val="00661BB5"/>
    <w:rsid w:val="00661F8B"/>
    <w:rsid w:val="00662529"/>
    <w:rsid w:val="00664B26"/>
    <w:rsid w:val="00665A59"/>
    <w:rsid w:val="00665A6B"/>
    <w:rsid w:val="00665AE0"/>
    <w:rsid w:val="00666698"/>
    <w:rsid w:val="0066673F"/>
    <w:rsid w:val="00670BA7"/>
    <w:rsid w:val="00670DFC"/>
    <w:rsid w:val="00670F84"/>
    <w:rsid w:val="00671411"/>
    <w:rsid w:val="006715BE"/>
    <w:rsid w:val="00673239"/>
    <w:rsid w:val="00674DA9"/>
    <w:rsid w:val="00674E38"/>
    <w:rsid w:val="00676DAE"/>
    <w:rsid w:val="00676DC5"/>
    <w:rsid w:val="006800B2"/>
    <w:rsid w:val="00682DB3"/>
    <w:rsid w:val="00682DE8"/>
    <w:rsid w:val="00683026"/>
    <w:rsid w:val="00683779"/>
    <w:rsid w:val="0068464F"/>
    <w:rsid w:val="0068554C"/>
    <w:rsid w:val="0068686B"/>
    <w:rsid w:val="00687D82"/>
    <w:rsid w:val="00691672"/>
    <w:rsid w:val="00691EB8"/>
    <w:rsid w:val="0069223F"/>
    <w:rsid w:val="00693710"/>
    <w:rsid w:val="006949A9"/>
    <w:rsid w:val="006953E3"/>
    <w:rsid w:val="00695BBF"/>
    <w:rsid w:val="00696C9D"/>
    <w:rsid w:val="0069765B"/>
    <w:rsid w:val="00697FEF"/>
    <w:rsid w:val="006A08AC"/>
    <w:rsid w:val="006A15E1"/>
    <w:rsid w:val="006A24FA"/>
    <w:rsid w:val="006A3099"/>
    <w:rsid w:val="006A30BE"/>
    <w:rsid w:val="006A3121"/>
    <w:rsid w:val="006A3131"/>
    <w:rsid w:val="006A389E"/>
    <w:rsid w:val="006A4684"/>
    <w:rsid w:val="006A4CC3"/>
    <w:rsid w:val="006A4E11"/>
    <w:rsid w:val="006A6625"/>
    <w:rsid w:val="006A711B"/>
    <w:rsid w:val="006A74F8"/>
    <w:rsid w:val="006B0220"/>
    <w:rsid w:val="006B0DC1"/>
    <w:rsid w:val="006B0ED0"/>
    <w:rsid w:val="006B124A"/>
    <w:rsid w:val="006B1795"/>
    <w:rsid w:val="006B2B6F"/>
    <w:rsid w:val="006B3234"/>
    <w:rsid w:val="006B41E3"/>
    <w:rsid w:val="006B5F1C"/>
    <w:rsid w:val="006B5FE0"/>
    <w:rsid w:val="006B6153"/>
    <w:rsid w:val="006B7BD4"/>
    <w:rsid w:val="006B7DE0"/>
    <w:rsid w:val="006C15EA"/>
    <w:rsid w:val="006C1CF6"/>
    <w:rsid w:val="006C2449"/>
    <w:rsid w:val="006C309A"/>
    <w:rsid w:val="006C32D4"/>
    <w:rsid w:val="006C356E"/>
    <w:rsid w:val="006C36B8"/>
    <w:rsid w:val="006C3E3F"/>
    <w:rsid w:val="006C3EA3"/>
    <w:rsid w:val="006C41AC"/>
    <w:rsid w:val="006C42BB"/>
    <w:rsid w:val="006C5339"/>
    <w:rsid w:val="006C561F"/>
    <w:rsid w:val="006C623B"/>
    <w:rsid w:val="006D10E6"/>
    <w:rsid w:val="006D34B9"/>
    <w:rsid w:val="006D5DC0"/>
    <w:rsid w:val="006E009D"/>
    <w:rsid w:val="006E00E8"/>
    <w:rsid w:val="006E0DE0"/>
    <w:rsid w:val="006E10DF"/>
    <w:rsid w:val="006E118D"/>
    <w:rsid w:val="006E1ED6"/>
    <w:rsid w:val="006E4F68"/>
    <w:rsid w:val="006E6041"/>
    <w:rsid w:val="006E6F49"/>
    <w:rsid w:val="006E6FE6"/>
    <w:rsid w:val="006E74A5"/>
    <w:rsid w:val="006E778E"/>
    <w:rsid w:val="006E7A73"/>
    <w:rsid w:val="006F09D4"/>
    <w:rsid w:val="006F0E13"/>
    <w:rsid w:val="006F15B0"/>
    <w:rsid w:val="006F2310"/>
    <w:rsid w:val="006F2A56"/>
    <w:rsid w:val="006F3344"/>
    <w:rsid w:val="006F37CD"/>
    <w:rsid w:val="006F3859"/>
    <w:rsid w:val="006F3A1D"/>
    <w:rsid w:val="006F3E49"/>
    <w:rsid w:val="006F4AF9"/>
    <w:rsid w:val="006F4B3C"/>
    <w:rsid w:val="006F5E0D"/>
    <w:rsid w:val="006F5E28"/>
    <w:rsid w:val="006F68A9"/>
    <w:rsid w:val="006F76BF"/>
    <w:rsid w:val="006F7E36"/>
    <w:rsid w:val="00700E49"/>
    <w:rsid w:val="0070132E"/>
    <w:rsid w:val="00703029"/>
    <w:rsid w:val="00705389"/>
    <w:rsid w:val="00707572"/>
    <w:rsid w:val="00710FEE"/>
    <w:rsid w:val="007111C7"/>
    <w:rsid w:val="00711F86"/>
    <w:rsid w:val="00712D48"/>
    <w:rsid w:val="007142F1"/>
    <w:rsid w:val="0071605B"/>
    <w:rsid w:val="00716B4D"/>
    <w:rsid w:val="00716C04"/>
    <w:rsid w:val="00717D79"/>
    <w:rsid w:val="00720509"/>
    <w:rsid w:val="00721345"/>
    <w:rsid w:val="007220FE"/>
    <w:rsid w:val="00722540"/>
    <w:rsid w:val="0072271E"/>
    <w:rsid w:val="007230C4"/>
    <w:rsid w:val="00723130"/>
    <w:rsid w:val="00723E13"/>
    <w:rsid w:val="00724609"/>
    <w:rsid w:val="00724679"/>
    <w:rsid w:val="00724DDF"/>
    <w:rsid w:val="00725A58"/>
    <w:rsid w:val="00726FFA"/>
    <w:rsid w:val="0073043E"/>
    <w:rsid w:val="00730625"/>
    <w:rsid w:val="00730F36"/>
    <w:rsid w:val="0073295E"/>
    <w:rsid w:val="00733223"/>
    <w:rsid w:val="00735431"/>
    <w:rsid w:val="00735EC4"/>
    <w:rsid w:val="00735F2D"/>
    <w:rsid w:val="0073611E"/>
    <w:rsid w:val="00737002"/>
    <w:rsid w:val="0073704F"/>
    <w:rsid w:val="0073716B"/>
    <w:rsid w:val="007372FB"/>
    <w:rsid w:val="007374D1"/>
    <w:rsid w:val="00740AE6"/>
    <w:rsid w:val="00740D5E"/>
    <w:rsid w:val="0074105D"/>
    <w:rsid w:val="00741E43"/>
    <w:rsid w:val="00742A4C"/>
    <w:rsid w:val="007432EE"/>
    <w:rsid w:val="00743493"/>
    <w:rsid w:val="007444E2"/>
    <w:rsid w:val="00744BDD"/>
    <w:rsid w:val="00744F6A"/>
    <w:rsid w:val="00745913"/>
    <w:rsid w:val="007468F3"/>
    <w:rsid w:val="00746DA8"/>
    <w:rsid w:val="00747B5D"/>
    <w:rsid w:val="007509B8"/>
    <w:rsid w:val="00752120"/>
    <w:rsid w:val="007530F9"/>
    <w:rsid w:val="00753230"/>
    <w:rsid w:val="0075400C"/>
    <w:rsid w:val="00755D84"/>
    <w:rsid w:val="00755F8C"/>
    <w:rsid w:val="0075676E"/>
    <w:rsid w:val="00756841"/>
    <w:rsid w:val="007569B8"/>
    <w:rsid w:val="00757476"/>
    <w:rsid w:val="00757990"/>
    <w:rsid w:val="00757CF7"/>
    <w:rsid w:val="00757E75"/>
    <w:rsid w:val="0076007D"/>
    <w:rsid w:val="00760A86"/>
    <w:rsid w:val="00761B2A"/>
    <w:rsid w:val="00761C04"/>
    <w:rsid w:val="0076259A"/>
    <w:rsid w:val="00763134"/>
    <w:rsid w:val="007632BA"/>
    <w:rsid w:val="007640F3"/>
    <w:rsid w:val="0076438C"/>
    <w:rsid w:val="0076469D"/>
    <w:rsid w:val="007646B9"/>
    <w:rsid w:val="00765DDD"/>
    <w:rsid w:val="0076686E"/>
    <w:rsid w:val="0076739E"/>
    <w:rsid w:val="00767980"/>
    <w:rsid w:val="00770623"/>
    <w:rsid w:val="007726C2"/>
    <w:rsid w:val="00772F33"/>
    <w:rsid w:val="00772F5A"/>
    <w:rsid w:val="0077336C"/>
    <w:rsid w:val="007733B6"/>
    <w:rsid w:val="00774AB1"/>
    <w:rsid w:val="00774B71"/>
    <w:rsid w:val="007768AA"/>
    <w:rsid w:val="00776976"/>
    <w:rsid w:val="0077735D"/>
    <w:rsid w:val="00780CAC"/>
    <w:rsid w:val="0078180C"/>
    <w:rsid w:val="00781E10"/>
    <w:rsid w:val="00782382"/>
    <w:rsid w:val="00782BAD"/>
    <w:rsid w:val="0078368D"/>
    <w:rsid w:val="0078396D"/>
    <w:rsid w:val="00785039"/>
    <w:rsid w:val="007853E3"/>
    <w:rsid w:val="0078682B"/>
    <w:rsid w:val="007871BA"/>
    <w:rsid w:val="007871E3"/>
    <w:rsid w:val="007874BD"/>
    <w:rsid w:val="007902F2"/>
    <w:rsid w:val="007917EB"/>
    <w:rsid w:val="00791870"/>
    <w:rsid w:val="00792233"/>
    <w:rsid w:val="00792379"/>
    <w:rsid w:val="007924C7"/>
    <w:rsid w:val="00793CFF"/>
    <w:rsid w:val="00793FA3"/>
    <w:rsid w:val="007940AC"/>
    <w:rsid w:val="007944BF"/>
    <w:rsid w:val="00794C19"/>
    <w:rsid w:val="00794DC6"/>
    <w:rsid w:val="0079616C"/>
    <w:rsid w:val="00796185"/>
    <w:rsid w:val="0079734F"/>
    <w:rsid w:val="00797434"/>
    <w:rsid w:val="007A018F"/>
    <w:rsid w:val="007A10F1"/>
    <w:rsid w:val="007A18BC"/>
    <w:rsid w:val="007A1A0A"/>
    <w:rsid w:val="007A2088"/>
    <w:rsid w:val="007A220B"/>
    <w:rsid w:val="007A2E18"/>
    <w:rsid w:val="007A3647"/>
    <w:rsid w:val="007A39A2"/>
    <w:rsid w:val="007A4665"/>
    <w:rsid w:val="007A4751"/>
    <w:rsid w:val="007A5DDF"/>
    <w:rsid w:val="007A6116"/>
    <w:rsid w:val="007A64E9"/>
    <w:rsid w:val="007A75A1"/>
    <w:rsid w:val="007B1F38"/>
    <w:rsid w:val="007B2077"/>
    <w:rsid w:val="007B463A"/>
    <w:rsid w:val="007B5109"/>
    <w:rsid w:val="007B613B"/>
    <w:rsid w:val="007B708B"/>
    <w:rsid w:val="007B72BB"/>
    <w:rsid w:val="007B78ED"/>
    <w:rsid w:val="007C02C1"/>
    <w:rsid w:val="007C0496"/>
    <w:rsid w:val="007C0668"/>
    <w:rsid w:val="007C1A27"/>
    <w:rsid w:val="007C2464"/>
    <w:rsid w:val="007C323D"/>
    <w:rsid w:val="007C40A4"/>
    <w:rsid w:val="007C5AA3"/>
    <w:rsid w:val="007C6367"/>
    <w:rsid w:val="007C7C38"/>
    <w:rsid w:val="007D0E24"/>
    <w:rsid w:val="007D13B1"/>
    <w:rsid w:val="007D155C"/>
    <w:rsid w:val="007D1A55"/>
    <w:rsid w:val="007D2A74"/>
    <w:rsid w:val="007D2C84"/>
    <w:rsid w:val="007D41BC"/>
    <w:rsid w:val="007D5E46"/>
    <w:rsid w:val="007D6CDE"/>
    <w:rsid w:val="007D6E8F"/>
    <w:rsid w:val="007E0153"/>
    <w:rsid w:val="007E231E"/>
    <w:rsid w:val="007E27D5"/>
    <w:rsid w:val="007E31A6"/>
    <w:rsid w:val="007E3859"/>
    <w:rsid w:val="007E4896"/>
    <w:rsid w:val="007E497F"/>
    <w:rsid w:val="007E4EEB"/>
    <w:rsid w:val="007E6E08"/>
    <w:rsid w:val="007F0EE8"/>
    <w:rsid w:val="007F163A"/>
    <w:rsid w:val="007F1DE2"/>
    <w:rsid w:val="007F201A"/>
    <w:rsid w:val="007F2170"/>
    <w:rsid w:val="007F28D1"/>
    <w:rsid w:val="007F2AD1"/>
    <w:rsid w:val="007F44BD"/>
    <w:rsid w:val="007F468A"/>
    <w:rsid w:val="007F49F9"/>
    <w:rsid w:val="007F4E67"/>
    <w:rsid w:val="007F6128"/>
    <w:rsid w:val="007F7146"/>
    <w:rsid w:val="007F7E51"/>
    <w:rsid w:val="007F7FE5"/>
    <w:rsid w:val="00801427"/>
    <w:rsid w:val="008027C6"/>
    <w:rsid w:val="0080364D"/>
    <w:rsid w:val="008038BE"/>
    <w:rsid w:val="00805658"/>
    <w:rsid w:val="00805C5B"/>
    <w:rsid w:val="008062E3"/>
    <w:rsid w:val="00806C13"/>
    <w:rsid w:val="008107EF"/>
    <w:rsid w:val="00811988"/>
    <w:rsid w:val="00813534"/>
    <w:rsid w:val="00813596"/>
    <w:rsid w:val="008139C6"/>
    <w:rsid w:val="00813E49"/>
    <w:rsid w:val="00814681"/>
    <w:rsid w:val="008149D0"/>
    <w:rsid w:val="00814F40"/>
    <w:rsid w:val="0081581A"/>
    <w:rsid w:val="00816B79"/>
    <w:rsid w:val="008172C1"/>
    <w:rsid w:val="00817E53"/>
    <w:rsid w:val="00820C96"/>
    <w:rsid w:val="008214BF"/>
    <w:rsid w:val="00821D78"/>
    <w:rsid w:val="0082218C"/>
    <w:rsid w:val="008222A5"/>
    <w:rsid w:val="00822765"/>
    <w:rsid w:val="00823A5C"/>
    <w:rsid w:val="00826C8A"/>
    <w:rsid w:val="008277CE"/>
    <w:rsid w:val="008277EC"/>
    <w:rsid w:val="008279A0"/>
    <w:rsid w:val="00827B76"/>
    <w:rsid w:val="0083062C"/>
    <w:rsid w:val="0083162F"/>
    <w:rsid w:val="00834582"/>
    <w:rsid w:val="008349BF"/>
    <w:rsid w:val="0083571E"/>
    <w:rsid w:val="008357E4"/>
    <w:rsid w:val="0083581E"/>
    <w:rsid w:val="008359C4"/>
    <w:rsid w:val="00835D6D"/>
    <w:rsid w:val="00835E96"/>
    <w:rsid w:val="0083640B"/>
    <w:rsid w:val="008375D4"/>
    <w:rsid w:val="0084165F"/>
    <w:rsid w:val="00841B64"/>
    <w:rsid w:val="008428F4"/>
    <w:rsid w:val="00843BF0"/>
    <w:rsid w:val="00843DE3"/>
    <w:rsid w:val="008465CC"/>
    <w:rsid w:val="00846ABA"/>
    <w:rsid w:val="00847518"/>
    <w:rsid w:val="00847568"/>
    <w:rsid w:val="008476AA"/>
    <w:rsid w:val="00850061"/>
    <w:rsid w:val="00851388"/>
    <w:rsid w:val="00852443"/>
    <w:rsid w:val="008531AF"/>
    <w:rsid w:val="008535D9"/>
    <w:rsid w:val="008540B4"/>
    <w:rsid w:val="008541D1"/>
    <w:rsid w:val="008545C4"/>
    <w:rsid w:val="00854EF6"/>
    <w:rsid w:val="008554B2"/>
    <w:rsid w:val="00855E76"/>
    <w:rsid w:val="00856CE8"/>
    <w:rsid w:val="00856F10"/>
    <w:rsid w:val="00857405"/>
    <w:rsid w:val="00860332"/>
    <w:rsid w:val="00861166"/>
    <w:rsid w:val="00861170"/>
    <w:rsid w:val="0086118B"/>
    <w:rsid w:val="0086130C"/>
    <w:rsid w:val="008621B1"/>
    <w:rsid w:val="00862369"/>
    <w:rsid w:val="00862E4C"/>
    <w:rsid w:val="00862EA9"/>
    <w:rsid w:val="0086308D"/>
    <w:rsid w:val="00863545"/>
    <w:rsid w:val="00865234"/>
    <w:rsid w:val="00865295"/>
    <w:rsid w:val="00865C7A"/>
    <w:rsid w:val="0086661F"/>
    <w:rsid w:val="008666F2"/>
    <w:rsid w:val="00867070"/>
    <w:rsid w:val="0086709B"/>
    <w:rsid w:val="00870270"/>
    <w:rsid w:val="008702E8"/>
    <w:rsid w:val="008706D2"/>
    <w:rsid w:val="00870776"/>
    <w:rsid w:val="00870F01"/>
    <w:rsid w:val="0087207C"/>
    <w:rsid w:val="008722C8"/>
    <w:rsid w:val="0087268C"/>
    <w:rsid w:val="00872AC2"/>
    <w:rsid w:val="00873757"/>
    <w:rsid w:val="0087383D"/>
    <w:rsid w:val="00873CD1"/>
    <w:rsid w:val="00874327"/>
    <w:rsid w:val="0087440C"/>
    <w:rsid w:val="00875276"/>
    <w:rsid w:val="00875F51"/>
    <w:rsid w:val="00876970"/>
    <w:rsid w:val="0087736D"/>
    <w:rsid w:val="00877D19"/>
    <w:rsid w:val="00880D40"/>
    <w:rsid w:val="00882012"/>
    <w:rsid w:val="0088298E"/>
    <w:rsid w:val="0088412D"/>
    <w:rsid w:val="00884317"/>
    <w:rsid w:val="008852CE"/>
    <w:rsid w:val="008861C2"/>
    <w:rsid w:val="00886387"/>
    <w:rsid w:val="00886ED9"/>
    <w:rsid w:val="00887B9C"/>
    <w:rsid w:val="00890E9E"/>
    <w:rsid w:val="00891253"/>
    <w:rsid w:val="008917AA"/>
    <w:rsid w:val="00891A90"/>
    <w:rsid w:val="00891DCE"/>
    <w:rsid w:val="008923F8"/>
    <w:rsid w:val="00893AFF"/>
    <w:rsid w:val="00893E78"/>
    <w:rsid w:val="008948A7"/>
    <w:rsid w:val="00894BAD"/>
    <w:rsid w:val="00894DAC"/>
    <w:rsid w:val="008951CB"/>
    <w:rsid w:val="00895960"/>
    <w:rsid w:val="008959D7"/>
    <w:rsid w:val="00896692"/>
    <w:rsid w:val="00896BEC"/>
    <w:rsid w:val="008972EF"/>
    <w:rsid w:val="00897F63"/>
    <w:rsid w:val="00897F67"/>
    <w:rsid w:val="008A03CD"/>
    <w:rsid w:val="008A08B3"/>
    <w:rsid w:val="008A08D1"/>
    <w:rsid w:val="008A2D45"/>
    <w:rsid w:val="008A2FE4"/>
    <w:rsid w:val="008A399C"/>
    <w:rsid w:val="008A41CB"/>
    <w:rsid w:val="008A4458"/>
    <w:rsid w:val="008A449D"/>
    <w:rsid w:val="008A4B19"/>
    <w:rsid w:val="008A5E71"/>
    <w:rsid w:val="008A626C"/>
    <w:rsid w:val="008A6349"/>
    <w:rsid w:val="008B02A2"/>
    <w:rsid w:val="008B03B7"/>
    <w:rsid w:val="008B1F69"/>
    <w:rsid w:val="008B23ED"/>
    <w:rsid w:val="008B2CCC"/>
    <w:rsid w:val="008B3373"/>
    <w:rsid w:val="008B464B"/>
    <w:rsid w:val="008B47A3"/>
    <w:rsid w:val="008B4B84"/>
    <w:rsid w:val="008B4C78"/>
    <w:rsid w:val="008B4DF3"/>
    <w:rsid w:val="008B5308"/>
    <w:rsid w:val="008B687D"/>
    <w:rsid w:val="008B7492"/>
    <w:rsid w:val="008C0F2E"/>
    <w:rsid w:val="008C1162"/>
    <w:rsid w:val="008C1EA0"/>
    <w:rsid w:val="008C2FD6"/>
    <w:rsid w:val="008C3423"/>
    <w:rsid w:val="008C3F96"/>
    <w:rsid w:val="008C5B1F"/>
    <w:rsid w:val="008C613B"/>
    <w:rsid w:val="008C6927"/>
    <w:rsid w:val="008C7505"/>
    <w:rsid w:val="008C75B2"/>
    <w:rsid w:val="008C7E9D"/>
    <w:rsid w:val="008D0728"/>
    <w:rsid w:val="008D1162"/>
    <w:rsid w:val="008D18DF"/>
    <w:rsid w:val="008D2A88"/>
    <w:rsid w:val="008D2E77"/>
    <w:rsid w:val="008D37DA"/>
    <w:rsid w:val="008D4D71"/>
    <w:rsid w:val="008D4E94"/>
    <w:rsid w:val="008D5606"/>
    <w:rsid w:val="008D6032"/>
    <w:rsid w:val="008D6ED8"/>
    <w:rsid w:val="008D74D7"/>
    <w:rsid w:val="008D763A"/>
    <w:rsid w:val="008D77C2"/>
    <w:rsid w:val="008E025B"/>
    <w:rsid w:val="008E101E"/>
    <w:rsid w:val="008E11BD"/>
    <w:rsid w:val="008E1344"/>
    <w:rsid w:val="008E1E84"/>
    <w:rsid w:val="008E1ED8"/>
    <w:rsid w:val="008E27F3"/>
    <w:rsid w:val="008E2A4F"/>
    <w:rsid w:val="008E2B9F"/>
    <w:rsid w:val="008E3F86"/>
    <w:rsid w:val="008E46FC"/>
    <w:rsid w:val="008E58B2"/>
    <w:rsid w:val="008E724A"/>
    <w:rsid w:val="008E7408"/>
    <w:rsid w:val="008E749C"/>
    <w:rsid w:val="008E79BF"/>
    <w:rsid w:val="008F0E8E"/>
    <w:rsid w:val="008F19BA"/>
    <w:rsid w:val="008F1A63"/>
    <w:rsid w:val="008F1D7E"/>
    <w:rsid w:val="008F2AB3"/>
    <w:rsid w:val="008F2FA4"/>
    <w:rsid w:val="008F3557"/>
    <w:rsid w:val="008F4AA6"/>
    <w:rsid w:val="008F5F63"/>
    <w:rsid w:val="008F727A"/>
    <w:rsid w:val="008F7C3B"/>
    <w:rsid w:val="008F7F1B"/>
    <w:rsid w:val="009010A2"/>
    <w:rsid w:val="00902522"/>
    <w:rsid w:val="0090275C"/>
    <w:rsid w:val="0090335F"/>
    <w:rsid w:val="00903473"/>
    <w:rsid w:val="00903D00"/>
    <w:rsid w:val="00904A26"/>
    <w:rsid w:val="00905A93"/>
    <w:rsid w:val="009061BB"/>
    <w:rsid w:val="009061E5"/>
    <w:rsid w:val="00906D18"/>
    <w:rsid w:val="00907A21"/>
    <w:rsid w:val="00910FA0"/>
    <w:rsid w:val="00911090"/>
    <w:rsid w:val="00911C6F"/>
    <w:rsid w:val="00911CB2"/>
    <w:rsid w:val="009127EE"/>
    <w:rsid w:val="0091343B"/>
    <w:rsid w:val="00913E34"/>
    <w:rsid w:val="00914D51"/>
    <w:rsid w:val="00914DB2"/>
    <w:rsid w:val="00915994"/>
    <w:rsid w:val="00917062"/>
    <w:rsid w:val="009177F3"/>
    <w:rsid w:val="0092033F"/>
    <w:rsid w:val="0092113A"/>
    <w:rsid w:val="00921F56"/>
    <w:rsid w:val="009223F8"/>
    <w:rsid w:val="009232DB"/>
    <w:rsid w:val="00923409"/>
    <w:rsid w:val="009244E3"/>
    <w:rsid w:val="009254E4"/>
    <w:rsid w:val="00925711"/>
    <w:rsid w:val="0092592D"/>
    <w:rsid w:val="0092704E"/>
    <w:rsid w:val="009270A3"/>
    <w:rsid w:val="00927631"/>
    <w:rsid w:val="009279E1"/>
    <w:rsid w:val="009300AC"/>
    <w:rsid w:val="009317F5"/>
    <w:rsid w:val="00931ACE"/>
    <w:rsid w:val="0093277B"/>
    <w:rsid w:val="0093319A"/>
    <w:rsid w:val="00934306"/>
    <w:rsid w:val="00935844"/>
    <w:rsid w:val="00936330"/>
    <w:rsid w:val="00937130"/>
    <w:rsid w:val="00940AAF"/>
    <w:rsid w:val="0094271B"/>
    <w:rsid w:val="0094348F"/>
    <w:rsid w:val="00943B7A"/>
    <w:rsid w:val="00944874"/>
    <w:rsid w:val="009457B8"/>
    <w:rsid w:val="00946304"/>
    <w:rsid w:val="00946B04"/>
    <w:rsid w:val="00946C1A"/>
    <w:rsid w:val="009473FB"/>
    <w:rsid w:val="00947E31"/>
    <w:rsid w:val="0095018B"/>
    <w:rsid w:val="0095080F"/>
    <w:rsid w:val="009508E7"/>
    <w:rsid w:val="00950AF5"/>
    <w:rsid w:val="00951E7C"/>
    <w:rsid w:val="0095299D"/>
    <w:rsid w:val="00953049"/>
    <w:rsid w:val="00954582"/>
    <w:rsid w:val="00954AF2"/>
    <w:rsid w:val="00955D23"/>
    <w:rsid w:val="00955E82"/>
    <w:rsid w:val="0095614D"/>
    <w:rsid w:val="0095620C"/>
    <w:rsid w:val="0095620F"/>
    <w:rsid w:val="0095716D"/>
    <w:rsid w:val="009571D5"/>
    <w:rsid w:val="0095772F"/>
    <w:rsid w:val="0096094B"/>
    <w:rsid w:val="00961342"/>
    <w:rsid w:val="009618E5"/>
    <w:rsid w:val="0096225D"/>
    <w:rsid w:val="009627C0"/>
    <w:rsid w:val="009628C1"/>
    <w:rsid w:val="00962ECA"/>
    <w:rsid w:val="00963693"/>
    <w:rsid w:val="009637EF"/>
    <w:rsid w:val="00964481"/>
    <w:rsid w:val="00964A84"/>
    <w:rsid w:val="00964DFB"/>
    <w:rsid w:val="009650C7"/>
    <w:rsid w:val="00965377"/>
    <w:rsid w:val="00965A07"/>
    <w:rsid w:val="009664D0"/>
    <w:rsid w:val="00966904"/>
    <w:rsid w:val="00966ED4"/>
    <w:rsid w:val="009670FA"/>
    <w:rsid w:val="0096753E"/>
    <w:rsid w:val="00967C6A"/>
    <w:rsid w:val="00970073"/>
    <w:rsid w:val="009701C7"/>
    <w:rsid w:val="00971727"/>
    <w:rsid w:val="009724CD"/>
    <w:rsid w:val="00972F23"/>
    <w:rsid w:val="00973DD7"/>
    <w:rsid w:val="00973F92"/>
    <w:rsid w:val="0097498F"/>
    <w:rsid w:val="00975FCB"/>
    <w:rsid w:val="0097679E"/>
    <w:rsid w:val="00976B5E"/>
    <w:rsid w:val="009770FB"/>
    <w:rsid w:val="009774DF"/>
    <w:rsid w:val="00977E47"/>
    <w:rsid w:val="0098092A"/>
    <w:rsid w:val="0098164E"/>
    <w:rsid w:val="00981CD5"/>
    <w:rsid w:val="00982E3D"/>
    <w:rsid w:val="00983A09"/>
    <w:rsid w:val="00984F73"/>
    <w:rsid w:val="00984FBF"/>
    <w:rsid w:val="00985926"/>
    <w:rsid w:val="00986ED8"/>
    <w:rsid w:val="00986F0A"/>
    <w:rsid w:val="009879BD"/>
    <w:rsid w:val="00987B61"/>
    <w:rsid w:val="00987D44"/>
    <w:rsid w:val="00991DF4"/>
    <w:rsid w:val="009920A1"/>
    <w:rsid w:val="00992167"/>
    <w:rsid w:val="00992675"/>
    <w:rsid w:val="00992F10"/>
    <w:rsid w:val="00993C99"/>
    <w:rsid w:val="00994122"/>
    <w:rsid w:val="00994A94"/>
    <w:rsid w:val="009958F2"/>
    <w:rsid w:val="00997634"/>
    <w:rsid w:val="00997D9F"/>
    <w:rsid w:val="009A1868"/>
    <w:rsid w:val="009A1E06"/>
    <w:rsid w:val="009A3678"/>
    <w:rsid w:val="009A5544"/>
    <w:rsid w:val="009A5A10"/>
    <w:rsid w:val="009A60BC"/>
    <w:rsid w:val="009A6D44"/>
    <w:rsid w:val="009A7716"/>
    <w:rsid w:val="009B0D48"/>
    <w:rsid w:val="009B1A3B"/>
    <w:rsid w:val="009B2E52"/>
    <w:rsid w:val="009B33AE"/>
    <w:rsid w:val="009B363A"/>
    <w:rsid w:val="009B3F00"/>
    <w:rsid w:val="009B404B"/>
    <w:rsid w:val="009B4C39"/>
    <w:rsid w:val="009B526C"/>
    <w:rsid w:val="009B5FDF"/>
    <w:rsid w:val="009B6369"/>
    <w:rsid w:val="009B6617"/>
    <w:rsid w:val="009B7034"/>
    <w:rsid w:val="009B7053"/>
    <w:rsid w:val="009B771A"/>
    <w:rsid w:val="009B7AA5"/>
    <w:rsid w:val="009B7D05"/>
    <w:rsid w:val="009C0FC4"/>
    <w:rsid w:val="009C10D5"/>
    <w:rsid w:val="009C139F"/>
    <w:rsid w:val="009C2E86"/>
    <w:rsid w:val="009C427A"/>
    <w:rsid w:val="009C42AA"/>
    <w:rsid w:val="009C5216"/>
    <w:rsid w:val="009C57BB"/>
    <w:rsid w:val="009C715E"/>
    <w:rsid w:val="009C76BF"/>
    <w:rsid w:val="009C77BA"/>
    <w:rsid w:val="009D06B6"/>
    <w:rsid w:val="009D10BD"/>
    <w:rsid w:val="009D1D4C"/>
    <w:rsid w:val="009D291D"/>
    <w:rsid w:val="009D2C2D"/>
    <w:rsid w:val="009D2D60"/>
    <w:rsid w:val="009D3A41"/>
    <w:rsid w:val="009D3B47"/>
    <w:rsid w:val="009D4315"/>
    <w:rsid w:val="009D4CF5"/>
    <w:rsid w:val="009D4D0F"/>
    <w:rsid w:val="009D5410"/>
    <w:rsid w:val="009D580E"/>
    <w:rsid w:val="009D6EE5"/>
    <w:rsid w:val="009D6FE0"/>
    <w:rsid w:val="009D7BFF"/>
    <w:rsid w:val="009E0933"/>
    <w:rsid w:val="009E0AA0"/>
    <w:rsid w:val="009E1097"/>
    <w:rsid w:val="009E14A4"/>
    <w:rsid w:val="009E19DD"/>
    <w:rsid w:val="009E2191"/>
    <w:rsid w:val="009E29E9"/>
    <w:rsid w:val="009E2BDE"/>
    <w:rsid w:val="009E357D"/>
    <w:rsid w:val="009E3C59"/>
    <w:rsid w:val="009E4C2B"/>
    <w:rsid w:val="009E5DDC"/>
    <w:rsid w:val="009E6087"/>
    <w:rsid w:val="009E703D"/>
    <w:rsid w:val="009E78CA"/>
    <w:rsid w:val="009E7A5D"/>
    <w:rsid w:val="009F1517"/>
    <w:rsid w:val="009F20BB"/>
    <w:rsid w:val="009F2737"/>
    <w:rsid w:val="009F29EB"/>
    <w:rsid w:val="009F2C4A"/>
    <w:rsid w:val="009F34D3"/>
    <w:rsid w:val="009F3D06"/>
    <w:rsid w:val="009F418E"/>
    <w:rsid w:val="009F5755"/>
    <w:rsid w:val="009F57B3"/>
    <w:rsid w:val="009F59D3"/>
    <w:rsid w:val="009F5E82"/>
    <w:rsid w:val="009F5F89"/>
    <w:rsid w:val="009F6780"/>
    <w:rsid w:val="009F6A12"/>
    <w:rsid w:val="00A0122D"/>
    <w:rsid w:val="00A0251A"/>
    <w:rsid w:val="00A039BC"/>
    <w:rsid w:val="00A04969"/>
    <w:rsid w:val="00A04B03"/>
    <w:rsid w:val="00A0544E"/>
    <w:rsid w:val="00A05E1B"/>
    <w:rsid w:val="00A06901"/>
    <w:rsid w:val="00A07729"/>
    <w:rsid w:val="00A07F7D"/>
    <w:rsid w:val="00A1091B"/>
    <w:rsid w:val="00A10F1B"/>
    <w:rsid w:val="00A12B81"/>
    <w:rsid w:val="00A13123"/>
    <w:rsid w:val="00A13BC2"/>
    <w:rsid w:val="00A143E9"/>
    <w:rsid w:val="00A14AAA"/>
    <w:rsid w:val="00A1600D"/>
    <w:rsid w:val="00A16869"/>
    <w:rsid w:val="00A177D7"/>
    <w:rsid w:val="00A1780A"/>
    <w:rsid w:val="00A21FEF"/>
    <w:rsid w:val="00A2225B"/>
    <w:rsid w:val="00A22817"/>
    <w:rsid w:val="00A228EE"/>
    <w:rsid w:val="00A235E7"/>
    <w:rsid w:val="00A2388A"/>
    <w:rsid w:val="00A24771"/>
    <w:rsid w:val="00A2655B"/>
    <w:rsid w:val="00A2681E"/>
    <w:rsid w:val="00A27043"/>
    <w:rsid w:val="00A30D29"/>
    <w:rsid w:val="00A331D4"/>
    <w:rsid w:val="00A33610"/>
    <w:rsid w:val="00A34030"/>
    <w:rsid w:val="00A36CD8"/>
    <w:rsid w:val="00A37F40"/>
    <w:rsid w:val="00A4184C"/>
    <w:rsid w:val="00A420E1"/>
    <w:rsid w:val="00A425AB"/>
    <w:rsid w:val="00A42FED"/>
    <w:rsid w:val="00A4324A"/>
    <w:rsid w:val="00A440BB"/>
    <w:rsid w:val="00A4477B"/>
    <w:rsid w:val="00A45BE7"/>
    <w:rsid w:val="00A46D95"/>
    <w:rsid w:val="00A504CB"/>
    <w:rsid w:val="00A508D4"/>
    <w:rsid w:val="00A512BD"/>
    <w:rsid w:val="00A515C4"/>
    <w:rsid w:val="00A52362"/>
    <w:rsid w:val="00A54799"/>
    <w:rsid w:val="00A54E5D"/>
    <w:rsid w:val="00A54E7A"/>
    <w:rsid w:val="00A54FDF"/>
    <w:rsid w:val="00A55193"/>
    <w:rsid w:val="00A56B06"/>
    <w:rsid w:val="00A56ED0"/>
    <w:rsid w:val="00A56EDB"/>
    <w:rsid w:val="00A60316"/>
    <w:rsid w:val="00A61AEC"/>
    <w:rsid w:val="00A63901"/>
    <w:rsid w:val="00A64429"/>
    <w:rsid w:val="00A645E5"/>
    <w:rsid w:val="00A64A5C"/>
    <w:rsid w:val="00A64BDE"/>
    <w:rsid w:val="00A67259"/>
    <w:rsid w:val="00A6756D"/>
    <w:rsid w:val="00A67627"/>
    <w:rsid w:val="00A6789E"/>
    <w:rsid w:val="00A67AB6"/>
    <w:rsid w:val="00A706F9"/>
    <w:rsid w:val="00A7113D"/>
    <w:rsid w:val="00A7154A"/>
    <w:rsid w:val="00A716C4"/>
    <w:rsid w:val="00A716DC"/>
    <w:rsid w:val="00A71867"/>
    <w:rsid w:val="00A718A5"/>
    <w:rsid w:val="00A718FF"/>
    <w:rsid w:val="00A72A12"/>
    <w:rsid w:val="00A73505"/>
    <w:rsid w:val="00A74550"/>
    <w:rsid w:val="00A746DF"/>
    <w:rsid w:val="00A747B7"/>
    <w:rsid w:val="00A75984"/>
    <w:rsid w:val="00A76985"/>
    <w:rsid w:val="00A7717B"/>
    <w:rsid w:val="00A77447"/>
    <w:rsid w:val="00A802C4"/>
    <w:rsid w:val="00A80509"/>
    <w:rsid w:val="00A80654"/>
    <w:rsid w:val="00A81CD7"/>
    <w:rsid w:val="00A83279"/>
    <w:rsid w:val="00A833A3"/>
    <w:rsid w:val="00A83A78"/>
    <w:rsid w:val="00A8529F"/>
    <w:rsid w:val="00A85701"/>
    <w:rsid w:val="00A85812"/>
    <w:rsid w:val="00A86837"/>
    <w:rsid w:val="00A86BF4"/>
    <w:rsid w:val="00A87374"/>
    <w:rsid w:val="00A90D81"/>
    <w:rsid w:val="00A91557"/>
    <w:rsid w:val="00A91939"/>
    <w:rsid w:val="00A932FC"/>
    <w:rsid w:val="00A939B8"/>
    <w:rsid w:val="00A93B09"/>
    <w:rsid w:val="00A942B6"/>
    <w:rsid w:val="00A945AE"/>
    <w:rsid w:val="00A94AF2"/>
    <w:rsid w:val="00A952F9"/>
    <w:rsid w:val="00A9585E"/>
    <w:rsid w:val="00A97030"/>
    <w:rsid w:val="00A9708A"/>
    <w:rsid w:val="00A9722C"/>
    <w:rsid w:val="00AA0142"/>
    <w:rsid w:val="00AA242C"/>
    <w:rsid w:val="00AA28F4"/>
    <w:rsid w:val="00AA295A"/>
    <w:rsid w:val="00AA2A8F"/>
    <w:rsid w:val="00AA2EF3"/>
    <w:rsid w:val="00AA3349"/>
    <w:rsid w:val="00AA4E51"/>
    <w:rsid w:val="00AA4F40"/>
    <w:rsid w:val="00AA539F"/>
    <w:rsid w:val="00AA5885"/>
    <w:rsid w:val="00AA64EA"/>
    <w:rsid w:val="00AA65B1"/>
    <w:rsid w:val="00AB0873"/>
    <w:rsid w:val="00AB1650"/>
    <w:rsid w:val="00AB269C"/>
    <w:rsid w:val="00AB2BB3"/>
    <w:rsid w:val="00AB3898"/>
    <w:rsid w:val="00AB529D"/>
    <w:rsid w:val="00AB5793"/>
    <w:rsid w:val="00AB7B51"/>
    <w:rsid w:val="00AC1D90"/>
    <w:rsid w:val="00AC499C"/>
    <w:rsid w:val="00AC4B01"/>
    <w:rsid w:val="00AC4CC9"/>
    <w:rsid w:val="00AC59FD"/>
    <w:rsid w:val="00AC5C6F"/>
    <w:rsid w:val="00AC5EC4"/>
    <w:rsid w:val="00AC68BB"/>
    <w:rsid w:val="00AD0A07"/>
    <w:rsid w:val="00AD12DD"/>
    <w:rsid w:val="00AD2812"/>
    <w:rsid w:val="00AD308D"/>
    <w:rsid w:val="00AD3845"/>
    <w:rsid w:val="00AD56C2"/>
    <w:rsid w:val="00AD6268"/>
    <w:rsid w:val="00AD6A23"/>
    <w:rsid w:val="00AD77A5"/>
    <w:rsid w:val="00AE02D0"/>
    <w:rsid w:val="00AE09DD"/>
    <w:rsid w:val="00AE3281"/>
    <w:rsid w:val="00AE361E"/>
    <w:rsid w:val="00AE4E3F"/>
    <w:rsid w:val="00AE506D"/>
    <w:rsid w:val="00AE5318"/>
    <w:rsid w:val="00AE55B7"/>
    <w:rsid w:val="00AE5B98"/>
    <w:rsid w:val="00AE68DE"/>
    <w:rsid w:val="00AE7D67"/>
    <w:rsid w:val="00AF046D"/>
    <w:rsid w:val="00AF1583"/>
    <w:rsid w:val="00AF16CC"/>
    <w:rsid w:val="00AF1AF1"/>
    <w:rsid w:val="00AF2312"/>
    <w:rsid w:val="00AF2D4D"/>
    <w:rsid w:val="00AF3A07"/>
    <w:rsid w:val="00AF3A2B"/>
    <w:rsid w:val="00AF4394"/>
    <w:rsid w:val="00AF4E3E"/>
    <w:rsid w:val="00AF56B9"/>
    <w:rsid w:val="00AF7458"/>
    <w:rsid w:val="00B002FC"/>
    <w:rsid w:val="00B007F4"/>
    <w:rsid w:val="00B00E42"/>
    <w:rsid w:val="00B0138F"/>
    <w:rsid w:val="00B01CF0"/>
    <w:rsid w:val="00B021B6"/>
    <w:rsid w:val="00B026FD"/>
    <w:rsid w:val="00B02A0C"/>
    <w:rsid w:val="00B04297"/>
    <w:rsid w:val="00B04336"/>
    <w:rsid w:val="00B05AC5"/>
    <w:rsid w:val="00B06298"/>
    <w:rsid w:val="00B06884"/>
    <w:rsid w:val="00B06ACA"/>
    <w:rsid w:val="00B07BF6"/>
    <w:rsid w:val="00B11569"/>
    <w:rsid w:val="00B12196"/>
    <w:rsid w:val="00B12FC4"/>
    <w:rsid w:val="00B131C2"/>
    <w:rsid w:val="00B13683"/>
    <w:rsid w:val="00B1389F"/>
    <w:rsid w:val="00B14069"/>
    <w:rsid w:val="00B144C2"/>
    <w:rsid w:val="00B15892"/>
    <w:rsid w:val="00B15954"/>
    <w:rsid w:val="00B1616A"/>
    <w:rsid w:val="00B163BE"/>
    <w:rsid w:val="00B1680E"/>
    <w:rsid w:val="00B168B7"/>
    <w:rsid w:val="00B169CE"/>
    <w:rsid w:val="00B16F31"/>
    <w:rsid w:val="00B173E7"/>
    <w:rsid w:val="00B20748"/>
    <w:rsid w:val="00B22627"/>
    <w:rsid w:val="00B226B5"/>
    <w:rsid w:val="00B234BE"/>
    <w:rsid w:val="00B23A17"/>
    <w:rsid w:val="00B244C9"/>
    <w:rsid w:val="00B2460D"/>
    <w:rsid w:val="00B24712"/>
    <w:rsid w:val="00B24E36"/>
    <w:rsid w:val="00B2584A"/>
    <w:rsid w:val="00B25B4B"/>
    <w:rsid w:val="00B26351"/>
    <w:rsid w:val="00B30D6B"/>
    <w:rsid w:val="00B31DE1"/>
    <w:rsid w:val="00B31DE2"/>
    <w:rsid w:val="00B33DCE"/>
    <w:rsid w:val="00B34304"/>
    <w:rsid w:val="00B34952"/>
    <w:rsid w:val="00B34D33"/>
    <w:rsid w:val="00B35114"/>
    <w:rsid w:val="00B353B6"/>
    <w:rsid w:val="00B3580B"/>
    <w:rsid w:val="00B369F5"/>
    <w:rsid w:val="00B36ED6"/>
    <w:rsid w:val="00B412C8"/>
    <w:rsid w:val="00B41311"/>
    <w:rsid w:val="00B419D7"/>
    <w:rsid w:val="00B4228C"/>
    <w:rsid w:val="00B42BAD"/>
    <w:rsid w:val="00B42E1D"/>
    <w:rsid w:val="00B43032"/>
    <w:rsid w:val="00B43E07"/>
    <w:rsid w:val="00B43EF7"/>
    <w:rsid w:val="00B449A6"/>
    <w:rsid w:val="00B453F2"/>
    <w:rsid w:val="00B45D0C"/>
    <w:rsid w:val="00B461AE"/>
    <w:rsid w:val="00B47AFC"/>
    <w:rsid w:val="00B47E14"/>
    <w:rsid w:val="00B47F1A"/>
    <w:rsid w:val="00B47FD4"/>
    <w:rsid w:val="00B50DAA"/>
    <w:rsid w:val="00B512CC"/>
    <w:rsid w:val="00B513DA"/>
    <w:rsid w:val="00B51ADB"/>
    <w:rsid w:val="00B51BDA"/>
    <w:rsid w:val="00B52DEE"/>
    <w:rsid w:val="00B52EEC"/>
    <w:rsid w:val="00B53082"/>
    <w:rsid w:val="00B53AF5"/>
    <w:rsid w:val="00B53D85"/>
    <w:rsid w:val="00B53EFD"/>
    <w:rsid w:val="00B53FAD"/>
    <w:rsid w:val="00B5564F"/>
    <w:rsid w:val="00B556E4"/>
    <w:rsid w:val="00B55CA7"/>
    <w:rsid w:val="00B568CF"/>
    <w:rsid w:val="00B56D95"/>
    <w:rsid w:val="00B57371"/>
    <w:rsid w:val="00B607F3"/>
    <w:rsid w:val="00B61044"/>
    <w:rsid w:val="00B62149"/>
    <w:rsid w:val="00B62C90"/>
    <w:rsid w:val="00B6393D"/>
    <w:rsid w:val="00B63A16"/>
    <w:rsid w:val="00B63C5B"/>
    <w:rsid w:val="00B65563"/>
    <w:rsid w:val="00B6670C"/>
    <w:rsid w:val="00B67E4B"/>
    <w:rsid w:val="00B702AC"/>
    <w:rsid w:val="00B70466"/>
    <w:rsid w:val="00B70A4D"/>
    <w:rsid w:val="00B71223"/>
    <w:rsid w:val="00B71EBF"/>
    <w:rsid w:val="00B72340"/>
    <w:rsid w:val="00B7281A"/>
    <w:rsid w:val="00B7332D"/>
    <w:rsid w:val="00B73B75"/>
    <w:rsid w:val="00B73F83"/>
    <w:rsid w:val="00B74189"/>
    <w:rsid w:val="00B7468F"/>
    <w:rsid w:val="00B750AC"/>
    <w:rsid w:val="00B75A57"/>
    <w:rsid w:val="00B76422"/>
    <w:rsid w:val="00B80E25"/>
    <w:rsid w:val="00B80F78"/>
    <w:rsid w:val="00B813BE"/>
    <w:rsid w:val="00B81A0E"/>
    <w:rsid w:val="00B820DC"/>
    <w:rsid w:val="00B8224E"/>
    <w:rsid w:val="00B828E9"/>
    <w:rsid w:val="00B82E23"/>
    <w:rsid w:val="00B82E44"/>
    <w:rsid w:val="00B83143"/>
    <w:rsid w:val="00B840C2"/>
    <w:rsid w:val="00B8433C"/>
    <w:rsid w:val="00B8445F"/>
    <w:rsid w:val="00B84A87"/>
    <w:rsid w:val="00B84E5F"/>
    <w:rsid w:val="00B86099"/>
    <w:rsid w:val="00B86119"/>
    <w:rsid w:val="00B86492"/>
    <w:rsid w:val="00B8727E"/>
    <w:rsid w:val="00B874FC"/>
    <w:rsid w:val="00B87566"/>
    <w:rsid w:val="00B876AE"/>
    <w:rsid w:val="00B87CC4"/>
    <w:rsid w:val="00B87FC5"/>
    <w:rsid w:val="00B90068"/>
    <w:rsid w:val="00B903DD"/>
    <w:rsid w:val="00B9064A"/>
    <w:rsid w:val="00B91521"/>
    <w:rsid w:val="00B91EA6"/>
    <w:rsid w:val="00B9241E"/>
    <w:rsid w:val="00B925F1"/>
    <w:rsid w:val="00B9308F"/>
    <w:rsid w:val="00B9338E"/>
    <w:rsid w:val="00B93692"/>
    <w:rsid w:val="00B93B93"/>
    <w:rsid w:val="00B93D10"/>
    <w:rsid w:val="00B94795"/>
    <w:rsid w:val="00B950F7"/>
    <w:rsid w:val="00B95615"/>
    <w:rsid w:val="00B95C46"/>
    <w:rsid w:val="00BA018A"/>
    <w:rsid w:val="00BA0B36"/>
    <w:rsid w:val="00BA1381"/>
    <w:rsid w:val="00BA13E1"/>
    <w:rsid w:val="00BA1779"/>
    <w:rsid w:val="00BA1AAE"/>
    <w:rsid w:val="00BA34AE"/>
    <w:rsid w:val="00BA37FD"/>
    <w:rsid w:val="00BA3B93"/>
    <w:rsid w:val="00BA5949"/>
    <w:rsid w:val="00BA5ED8"/>
    <w:rsid w:val="00BA7F1C"/>
    <w:rsid w:val="00BB1003"/>
    <w:rsid w:val="00BB1577"/>
    <w:rsid w:val="00BB1729"/>
    <w:rsid w:val="00BB2F1A"/>
    <w:rsid w:val="00BB3A75"/>
    <w:rsid w:val="00BB3DF6"/>
    <w:rsid w:val="00BB3F48"/>
    <w:rsid w:val="00BB40FF"/>
    <w:rsid w:val="00BB5244"/>
    <w:rsid w:val="00BB533C"/>
    <w:rsid w:val="00BB5439"/>
    <w:rsid w:val="00BB733E"/>
    <w:rsid w:val="00BB7C58"/>
    <w:rsid w:val="00BB7D2A"/>
    <w:rsid w:val="00BC063C"/>
    <w:rsid w:val="00BC06D0"/>
    <w:rsid w:val="00BC0739"/>
    <w:rsid w:val="00BC09FA"/>
    <w:rsid w:val="00BC18B6"/>
    <w:rsid w:val="00BC18BC"/>
    <w:rsid w:val="00BC18EE"/>
    <w:rsid w:val="00BC25CF"/>
    <w:rsid w:val="00BC2780"/>
    <w:rsid w:val="00BC3402"/>
    <w:rsid w:val="00BC3827"/>
    <w:rsid w:val="00BC3C12"/>
    <w:rsid w:val="00BC3EDE"/>
    <w:rsid w:val="00BC3EEA"/>
    <w:rsid w:val="00BC504F"/>
    <w:rsid w:val="00BC56FD"/>
    <w:rsid w:val="00BC5C8C"/>
    <w:rsid w:val="00BC5E6D"/>
    <w:rsid w:val="00BC6F92"/>
    <w:rsid w:val="00BC705B"/>
    <w:rsid w:val="00BC753E"/>
    <w:rsid w:val="00BC7EDD"/>
    <w:rsid w:val="00BD02DA"/>
    <w:rsid w:val="00BD05C7"/>
    <w:rsid w:val="00BD0AE9"/>
    <w:rsid w:val="00BD0F18"/>
    <w:rsid w:val="00BD1276"/>
    <w:rsid w:val="00BD1FF5"/>
    <w:rsid w:val="00BD2495"/>
    <w:rsid w:val="00BD29E4"/>
    <w:rsid w:val="00BD2D3F"/>
    <w:rsid w:val="00BD3404"/>
    <w:rsid w:val="00BD4794"/>
    <w:rsid w:val="00BD4EB2"/>
    <w:rsid w:val="00BD59F4"/>
    <w:rsid w:val="00BD5AFE"/>
    <w:rsid w:val="00BD62FF"/>
    <w:rsid w:val="00BD74A8"/>
    <w:rsid w:val="00BE1164"/>
    <w:rsid w:val="00BE31FE"/>
    <w:rsid w:val="00BE3607"/>
    <w:rsid w:val="00BE39C1"/>
    <w:rsid w:val="00BE3E6D"/>
    <w:rsid w:val="00BE4CED"/>
    <w:rsid w:val="00BE4F53"/>
    <w:rsid w:val="00BE579A"/>
    <w:rsid w:val="00BE58BC"/>
    <w:rsid w:val="00BE5E3B"/>
    <w:rsid w:val="00BE623A"/>
    <w:rsid w:val="00BF18EC"/>
    <w:rsid w:val="00BF213C"/>
    <w:rsid w:val="00BF25A9"/>
    <w:rsid w:val="00BF3277"/>
    <w:rsid w:val="00BF5631"/>
    <w:rsid w:val="00BF5708"/>
    <w:rsid w:val="00BF74CE"/>
    <w:rsid w:val="00BF757B"/>
    <w:rsid w:val="00C00350"/>
    <w:rsid w:val="00C00FD6"/>
    <w:rsid w:val="00C01AB2"/>
    <w:rsid w:val="00C01F02"/>
    <w:rsid w:val="00C0218E"/>
    <w:rsid w:val="00C02668"/>
    <w:rsid w:val="00C02EF3"/>
    <w:rsid w:val="00C030EE"/>
    <w:rsid w:val="00C03A6A"/>
    <w:rsid w:val="00C04B07"/>
    <w:rsid w:val="00C05138"/>
    <w:rsid w:val="00C06D66"/>
    <w:rsid w:val="00C10014"/>
    <w:rsid w:val="00C10F66"/>
    <w:rsid w:val="00C113B1"/>
    <w:rsid w:val="00C11404"/>
    <w:rsid w:val="00C11487"/>
    <w:rsid w:val="00C11509"/>
    <w:rsid w:val="00C1184F"/>
    <w:rsid w:val="00C1311E"/>
    <w:rsid w:val="00C13236"/>
    <w:rsid w:val="00C13806"/>
    <w:rsid w:val="00C13AF6"/>
    <w:rsid w:val="00C13D97"/>
    <w:rsid w:val="00C14425"/>
    <w:rsid w:val="00C15421"/>
    <w:rsid w:val="00C173C2"/>
    <w:rsid w:val="00C17A45"/>
    <w:rsid w:val="00C20C93"/>
    <w:rsid w:val="00C21071"/>
    <w:rsid w:val="00C21BC4"/>
    <w:rsid w:val="00C22A77"/>
    <w:rsid w:val="00C22E36"/>
    <w:rsid w:val="00C25829"/>
    <w:rsid w:val="00C25ADB"/>
    <w:rsid w:val="00C261AD"/>
    <w:rsid w:val="00C2705F"/>
    <w:rsid w:val="00C276C0"/>
    <w:rsid w:val="00C2774B"/>
    <w:rsid w:val="00C27CCB"/>
    <w:rsid w:val="00C27F2A"/>
    <w:rsid w:val="00C30A5D"/>
    <w:rsid w:val="00C323AB"/>
    <w:rsid w:val="00C3279E"/>
    <w:rsid w:val="00C32D2E"/>
    <w:rsid w:val="00C34099"/>
    <w:rsid w:val="00C344CF"/>
    <w:rsid w:val="00C348C4"/>
    <w:rsid w:val="00C364DB"/>
    <w:rsid w:val="00C36727"/>
    <w:rsid w:val="00C36A85"/>
    <w:rsid w:val="00C4056F"/>
    <w:rsid w:val="00C40636"/>
    <w:rsid w:val="00C41586"/>
    <w:rsid w:val="00C41A0D"/>
    <w:rsid w:val="00C41DED"/>
    <w:rsid w:val="00C42528"/>
    <w:rsid w:val="00C42ED9"/>
    <w:rsid w:val="00C42FCC"/>
    <w:rsid w:val="00C43677"/>
    <w:rsid w:val="00C43878"/>
    <w:rsid w:val="00C438C1"/>
    <w:rsid w:val="00C45C1F"/>
    <w:rsid w:val="00C465D9"/>
    <w:rsid w:val="00C4712F"/>
    <w:rsid w:val="00C47270"/>
    <w:rsid w:val="00C500AB"/>
    <w:rsid w:val="00C50E71"/>
    <w:rsid w:val="00C51492"/>
    <w:rsid w:val="00C5320C"/>
    <w:rsid w:val="00C532AB"/>
    <w:rsid w:val="00C534C8"/>
    <w:rsid w:val="00C53A3C"/>
    <w:rsid w:val="00C541E6"/>
    <w:rsid w:val="00C54A8E"/>
    <w:rsid w:val="00C55034"/>
    <w:rsid w:val="00C55069"/>
    <w:rsid w:val="00C563B6"/>
    <w:rsid w:val="00C56940"/>
    <w:rsid w:val="00C56A27"/>
    <w:rsid w:val="00C57186"/>
    <w:rsid w:val="00C605AB"/>
    <w:rsid w:val="00C60885"/>
    <w:rsid w:val="00C6124F"/>
    <w:rsid w:val="00C61E75"/>
    <w:rsid w:val="00C622F5"/>
    <w:rsid w:val="00C62D41"/>
    <w:rsid w:val="00C62EC9"/>
    <w:rsid w:val="00C63D14"/>
    <w:rsid w:val="00C64746"/>
    <w:rsid w:val="00C64F1E"/>
    <w:rsid w:val="00C6548D"/>
    <w:rsid w:val="00C65D41"/>
    <w:rsid w:val="00C66093"/>
    <w:rsid w:val="00C66331"/>
    <w:rsid w:val="00C66782"/>
    <w:rsid w:val="00C6721A"/>
    <w:rsid w:val="00C726EC"/>
    <w:rsid w:val="00C72E25"/>
    <w:rsid w:val="00C7338B"/>
    <w:rsid w:val="00C734FE"/>
    <w:rsid w:val="00C737CA"/>
    <w:rsid w:val="00C738BF"/>
    <w:rsid w:val="00C741AB"/>
    <w:rsid w:val="00C7432F"/>
    <w:rsid w:val="00C746C4"/>
    <w:rsid w:val="00C74761"/>
    <w:rsid w:val="00C754AC"/>
    <w:rsid w:val="00C75A6A"/>
    <w:rsid w:val="00C76914"/>
    <w:rsid w:val="00C76F1B"/>
    <w:rsid w:val="00C8051A"/>
    <w:rsid w:val="00C817CF"/>
    <w:rsid w:val="00C83541"/>
    <w:rsid w:val="00C83BCE"/>
    <w:rsid w:val="00C843B8"/>
    <w:rsid w:val="00C855AE"/>
    <w:rsid w:val="00C873D3"/>
    <w:rsid w:val="00C87A0F"/>
    <w:rsid w:val="00C901AD"/>
    <w:rsid w:val="00C902A5"/>
    <w:rsid w:val="00C9037D"/>
    <w:rsid w:val="00C90F4C"/>
    <w:rsid w:val="00C91544"/>
    <w:rsid w:val="00C91E1B"/>
    <w:rsid w:val="00C9246B"/>
    <w:rsid w:val="00C92FED"/>
    <w:rsid w:val="00C932A0"/>
    <w:rsid w:val="00C94203"/>
    <w:rsid w:val="00C94293"/>
    <w:rsid w:val="00C957F8"/>
    <w:rsid w:val="00C97560"/>
    <w:rsid w:val="00C97E73"/>
    <w:rsid w:val="00CA066C"/>
    <w:rsid w:val="00CA0C63"/>
    <w:rsid w:val="00CA0E1E"/>
    <w:rsid w:val="00CA145C"/>
    <w:rsid w:val="00CA1C00"/>
    <w:rsid w:val="00CA1D33"/>
    <w:rsid w:val="00CA3629"/>
    <w:rsid w:val="00CA39D7"/>
    <w:rsid w:val="00CA3BD8"/>
    <w:rsid w:val="00CA3D41"/>
    <w:rsid w:val="00CA408A"/>
    <w:rsid w:val="00CA4D3D"/>
    <w:rsid w:val="00CA4E8E"/>
    <w:rsid w:val="00CA4ED5"/>
    <w:rsid w:val="00CB0560"/>
    <w:rsid w:val="00CB16B2"/>
    <w:rsid w:val="00CB2B20"/>
    <w:rsid w:val="00CB2DBC"/>
    <w:rsid w:val="00CB39D1"/>
    <w:rsid w:val="00CB445D"/>
    <w:rsid w:val="00CB4E66"/>
    <w:rsid w:val="00CB5065"/>
    <w:rsid w:val="00CB55F2"/>
    <w:rsid w:val="00CB62A2"/>
    <w:rsid w:val="00CB6886"/>
    <w:rsid w:val="00CC0278"/>
    <w:rsid w:val="00CC043C"/>
    <w:rsid w:val="00CC06B9"/>
    <w:rsid w:val="00CC070C"/>
    <w:rsid w:val="00CC0DA0"/>
    <w:rsid w:val="00CC2126"/>
    <w:rsid w:val="00CC28A3"/>
    <w:rsid w:val="00CC2BC5"/>
    <w:rsid w:val="00CC2BF8"/>
    <w:rsid w:val="00CC3624"/>
    <w:rsid w:val="00CC3A9D"/>
    <w:rsid w:val="00CC4A82"/>
    <w:rsid w:val="00CC4B3F"/>
    <w:rsid w:val="00CC5398"/>
    <w:rsid w:val="00CC5D6E"/>
    <w:rsid w:val="00CC607F"/>
    <w:rsid w:val="00CC63C9"/>
    <w:rsid w:val="00CC791E"/>
    <w:rsid w:val="00CC7BDA"/>
    <w:rsid w:val="00CD00F4"/>
    <w:rsid w:val="00CD04AF"/>
    <w:rsid w:val="00CD1D4C"/>
    <w:rsid w:val="00CD27A8"/>
    <w:rsid w:val="00CD3D65"/>
    <w:rsid w:val="00CD40D5"/>
    <w:rsid w:val="00CD6C18"/>
    <w:rsid w:val="00CD6CCE"/>
    <w:rsid w:val="00CD75B4"/>
    <w:rsid w:val="00CD7873"/>
    <w:rsid w:val="00CD7AE0"/>
    <w:rsid w:val="00CD7CC3"/>
    <w:rsid w:val="00CE0F66"/>
    <w:rsid w:val="00CE0FEA"/>
    <w:rsid w:val="00CE16F5"/>
    <w:rsid w:val="00CE20CC"/>
    <w:rsid w:val="00CE218E"/>
    <w:rsid w:val="00CE21A5"/>
    <w:rsid w:val="00CE24C5"/>
    <w:rsid w:val="00CE276D"/>
    <w:rsid w:val="00CE2913"/>
    <w:rsid w:val="00CE3A34"/>
    <w:rsid w:val="00CE45C4"/>
    <w:rsid w:val="00CE477D"/>
    <w:rsid w:val="00CE6CD4"/>
    <w:rsid w:val="00CE7BFC"/>
    <w:rsid w:val="00CF066B"/>
    <w:rsid w:val="00CF239B"/>
    <w:rsid w:val="00CF2606"/>
    <w:rsid w:val="00CF2714"/>
    <w:rsid w:val="00CF2D85"/>
    <w:rsid w:val="00CF2DE8"/>
    <w:rsid w:val="00CF3902"/>
    <w:rsid w:val="00CF3953"/>
    <w:rsid w:val="00CF50F2"/>
    <w:rsid w:val="00CF5144"/>
    <w:rsid w:val="00CF5B2A"/>
    <w:rsid w:val="00CF64FD"/>
    <w:rsid w:val="00D00A42"/>
    <w:rsid w:val="00D00EB6"/>
    <w:rsid w:val="00D01919"/>
    <w:rsid w:val="00D025D8"/>
    <w:rsid w:val="00D0260E"/>
    <w:rsid w:val="00D02ABB"/>
    <w:rsid w:val="00D02DCF"/>
    <w:rsid w:val="00D03581"/>
    <w:rsid w:val="00D0401E"/>
    <w:rsid w:val="00D05041"/>
    <w:rsid w:val="00D05515"/>
    <w:rsid w:val="00D05A76"/>
    <w:rsid w:val="00D06655"/>
    <w:rsid w:val="00D066F7"/>
    <w:rsid w:val="00D07EE6"/>
    <w:rsid w:val="00D07F35"/>
    <w:rsid w:val="00D102E6"/>
    <w:rsid w:val="00D1068A"/>
    <w:rsid w:val="00D10895"/>
    <w:rsid w:val="00D110E2"/>
    <w:rsid w:val="00D11A26"/>
    <w:rsid w:val="00D11D23"/>
    <w:rsid w:val="00D12227"/>
    <w:rsid w:val="00D126F8"/>
    <w:rsid w:val="00D13503"/>
    <w:rsid w:val="00D140FF"/>
    <w:rsid w:val="00D148A8"/>
    <w:rsid w:val="00D14982"/>
    <w:rsid w:val="00D15305"/>
    <w:rsid w:val="00D15406"/>
    <w:rsid w:val="00D15E2A"/>
    <w:rsid w:val="00D15FE4"/>
    <w:rsid w:val="00D1636E"/>
    <w:rsid w:val="00D16FB8"/>
    <w:rsid w:val="00D202C2"/>
    <w:rsid w:val="00D20648"/>
    <w:rsid w:val="00D21324"/>
    <w:rsid w:val="00D222A9"/>
    <w:rsid w:val="00D2231C"/>
    <w:rsid w:val="00D2374B"/>
    <w:rsid w:val="00D24E5B"/>
    <w:rsid w:val="00D25FE4"/>
    <w:rsid w:val="00D263E0"/>
    <w:rsid w:val="00D2697E"/>
    <w:rsid w:val="00D27214"/>
    <w:rsid w:val="00D33285"/>
    <w:rsid w:val="00D339F8"/>
    <w:rsid w:val="00D33E65"/>
    <w:rsid w:val="00D34735"/>
    <w:rsid w:val="00D35411"/>
    <w:rsid w:val="00D3665E"/>
    <w:rsid w:val="00D40AC4"/>
    <w:rsid w:val="00D43418"/>
    <w:rsid w:val="00D43655"/>
    <w:rsid w:val="00D438BA"/>
    <w:rsid w:val="00D43A27"/>
    <w:rsid w:val="00D44002"/>
    <w:rsid w:val="00D462BA"/>
    <w:rsid w:val="00D46C7E"/>
    <w:rsid w:val="00D471C6"/>
    <w:rsid w:val="00D477C9"/>
    <w:rsid w:val="00D47A21"/>
    <w:rsid w:val="00D51931"/>
    <w:rsid w:val="00D53B0C"/>
    <w:rsid w:val="00D548E1"/>
    <w:rsid w:val="00D55A1B"/>
    <w:rsid w:val="00D5605D"/>
    <w:rsid w:val="00D563D4"/>
    <w:rsid w:val="00D564EC"/>
    <w:rsid w:val="00D57962"/>
    <w:rsid w:val="00D6004F"/>
    <w:rsid w:val="00D60E33"/>
    <w:rsid w:val="00D62407"/>
    <w:rsid w:val="00D62D40"/>
    <w:rsid w:val="00D6314A"/>
    <w:rsid w:val="00D632AD"/>
    <w:rsid w:val="00D63BCA"/>
    <w:rsid w:val="00D63D44"/>
    <w:rsid w:val="00D64622"/>
    <w:rsid w:val="00D65393"/>
    <w:rsid w:val="00D65660"/>
    <w:rsid w:val="00D65968"/>
    <w:rsid w:val="00D65F58"/>
    <w:rsid w:val="00D6663D"/>
    <w:rsid w:val="00D67CCC"/>
    <w:rsid w:val="00D7082F"/>
    <w:rsid w:val="00D708C1"/>
    <w:rsid w:val="00D71D52"/>
    <w:rsid w:val="00D7305D"/>
    <w:rsid w:val="00D73A5E"/>
    <w:rsid w:val="00D74669"/>
    <w:rsid w:val="00D748A5"/>
    <w:rsid w:val="00D755C6"/>
    <w:rsid w:val="00D75609"/>
    <w:rsid w:val="00D76759"/>
    <w:rsid w:val="00D76A52"/>
    <w:rsid w:val="00D770F4"/>
    <w:rsid w:val="00D77AD2"/>
    <w:rsid w:val="00D77BAE"/>
    <w:rsid w:val="00D8068B"/>
    <w:rsid w:val="00D80B03"/>
    <w:rsid w:val="00D81A5A"/>
    <w:rsid w:val="00D81D66"/>
    <w:rsid w:val="00D8617E"/>
    <w:rsid w:val="00D864F2"/>
    <w:rsid w:val="00D865EE"/>
    <w:rsid w:val="00D90931"/>
    <w:rsid w:val="00D93B01"/>
    <w:rsid w:val="00D94AE0"/>
    <w:rsid w:val="00D953CC"/>
    <w:rsid w:val="00D95594"/>
    <w:rsid w:val="00D958B1"/>
    <w:rsid w:val="00D966C2"/>
    <w:rsid w:val="00D968C8"/>
    <w:rsid w:val="00D97222"/>
    <w:rsid w:val="00D978A2"/>
    <w:rsid w:val="00D97B84"/>
    <w:rsid w:val="00D97C21"/>
    <w:rsid w:val="00DA0613"/>
    <w:rsid w:val="00DA06D1"/>
    <w:rsid w:val="00DA150D"/>
    <w:rsid w:val="00DA15A4"/>
    <w:rsid w:val="00DA2AE7"/>
    <w:rsid w:val="00DA2F9B"/>
    <w:rsid w:val="00DA35F4"/>
    <w:rsid w:val="00DA39F4"/>
    <w:rsid w:val="00DA40D3"/>
    <w:rsid w:val="00DA433E"/>
    <w:rsid w:val="00DA4D55"/>
    <w:rsid w:val="00DA4E56"/>
    <w:rsid w:val="00DA561D"/>
    <w:rsid w:val="00DA6D00"/>
    <w:rsid w:val="00DA7B9B"/>
    <w:rsid w:val="00DB1BA9"/>
    <w:rsid w:val="00DB1E43"/>
    <w:rsid w:val="00DB27FE"/>
    <w:rsid w:val="00DB293F"/>
    <w:rsid w:val="00DB2A34"/>
    <w:rsid w:val="00DB3084"/>
    <w:rsid w:val="00DB30F6"/>
    <w:rsid w:val="00DB4231"/>
    <w:rsid w:val="00DB5A2D"/>
    <w:rsid w:val="00DB5BC0"/>
    <w:rsid w:val="00DB7639"/>
    <w:rsid w:val="00DC02C7"/>
    <w:rsid w:val="00DC0B75"/>
    <w:rsid w:val="00DC4139"/>
    <w:rsid w:val="00DC5EEB"/>
    <w:rsid w:val="00DC6844"/>
    <w:rsid w:val="00DC7939"/>
    <w:rsid w:val="00DD0B28"/>
    <w:rsid w:val="00DD27CA"/>
    <w:rsid w:val="00DD2A21"/>
    <w:rsid w:val="00DD2D3E"/>
    <w:rsid w:val="00DD314D"/>
    <w:rsid w:val="00DD37F9"/>
    <w:rsid w:val="00DD3815"/>
    <w:rsid w:val="00DD3CF4"/>
    <w:rsid w:val="00DD4C2F"/>
    <w:rsid w:val="00DD5C6E"/>
    <w:rsid w:val="00DE09C7"/>
    <w:rsid w:val="00DE1BD0"/>
    <w:rsid w:val="00DE1F01"/>
    <w:rsid w:val="00DE2D82"/>
    <w:rsid w:val="00DE3A84"/>
    <w:rsid w:val="00DE3F7E"/>
    <w:rsid w:val="00DE6216"/>
    <w:rsid w:val="00DF0EAF"/>
    <w:rsid w:val="00DF15F6"/>
    <w:rsid w:val="00DF1BD0"/>
    <w:rsid w:val="00DF1CBF"/>
    <w:rsid w:val="00DF2093"/>
    <w:rsid w:val="00DF222A"/>
    <w:rsid w:val="00DF2F65"/>
    <w:rsid w:val="00DF3259"/>
    <w:rsid w:val="00DF3645"/>
    <w:rsid w:val="00DF423B"/>
    <w:rsid w:val="00DF444D"/>
    <w:rsid w:val="00DF49C3"/>
    <w:rsid w:val="00DF4A96"/>
    <w:rsid w:val="00DF5197"/>
    <w:rsid w:val="00DF5D60"/>
    <w:rsid w:val="00DF6576"/>
    <w:rsid w:val="00DF6D61"/>
    <w:rsid w:val="00DF71C9"/>
    <w:rsid w:val="00E011B9"/>
    <w:rsid w:val="00E01FEA"/>
    <w:rsid w:val="00E02E8C"/>
    <w:rsid w:val="00E02F93"/>
    <w:rsid w:val="00E03548"/>
    <w:rsid w:val="00E047E2"/>
    <w:rsid w:val="00E04BB4"/>
    <w:rsid w:val="00E06485"/>
    <w:rsid w:val="00E06E9C"/>
    <w:rsid w:val="00E0740C"/>
    <w:rsid w:val="00E077E5"/>
    <w:rsid w:val="00E12FBF"/>
    <w:rsid w:val="00E13300"/>
    <w:rsid w:val="00E141D5"/>
    <w:rsid w:val="00E146BB"/>
    <w:rsid w:val="00E14A3E"/>
    <w:rsid w:val="00E15287"/>
    <w:rsid w:val="00E17260"/>
    <w:rsid w:val="00E1772E"/>
    <w:rsid w:val="00E20431"/>
    <w:rsid w:val="00E208E6"/>
    <w:rsid w:val="00E21D48"/>
    <w:rsid w:val="00E2210A"/>
    <w:rsid w:val="00E22912"/>
    <w:rsid w:val="00E22A47"/>
    <w:rsid w:val="00E22EEA"/>
    <w:rsid w:val="00E23765"/>
    <w:rsid w:val="00E23DC4"/>
    <w:rsid w:val="00E24260"/>
    <w:rsid w:val="00E24E25"/>
    <w:rsid w:val="00E25D3E"/>
    <w:rsid w:val="00E26945"/>
    <w:rsid w:val="00E27E45"/>
    <w:rsid w:val="00E31178"/>
    <w:rsid w:val="00E31283"/>
    <w:rsid w:val="00E31382"/>
    <w:rsid w:val="00E3189D"/>
    <w:rsid w:val="00E33979"/>
    <w:rsid w:val="00E339F4"/>
    <w:rsid w:val="00E34319"/>
    <w:rsid w:val="00E34F5D"/>
    <w:rsid w:val="00E36092"/>
    <w:rsid w:val="00E37FEC"/>
    <w:rsid w:val="00E41D3B"/>
    <w:rsid w:val="00E41F5B"/>
    <w:rsid w:val="00E42723"/>
    <w:rsid w:val="00E427CF"/>
    <w:rsid w:val="00E42EB7"/>
    <w:rsid w:val="00E43056"/>
    <w:rsid w:val="00E43CA7"/>
    <w:rsid w:val="00E4437A"/>
    <w:rsid w:val="00E4474B"/>
    <w:rsid w:val="00E44AEC"/>
    <w:rsid w:val="00E44C6D"/>
    <w:rsid w:val="00E44D24"/>
    <w:rsid w:val="00E455B1"/>
    <w:rsid w:val="00E45696"/>
    <w:rsid w:val="00E45772"/>
    <w:rsid w:val="00E457A9"/>
    <w:rsid w:val="00E45A04"/>
    <w:rsid w:val="00E4651B"/>
    <w:rsid w:val="00E47D80"/>
    <w:rsid w:val="00E50296"/>
    <w:rsid w:val="00E50D98"/>
    <w:rsid w:val="00E53199"/>
    <w:rsid w:val="00E53639"/>
    <w:rsid w:val="00E53C56"/>
    <w:rsid w:val="00E5405A"/>
    <w:rsid w:val="00E549A1"/>
    <w:rsid w:val="00E55011"/>
    <w:rsid w:val="00E5533B"/>
    <w:rsid w:val="00E5578B"/>
    <w:rsid w:val="00E557BD"/>
    <w:rsid w:val="00E55E58"/>
    <w:rsid w:val="00E56BCB"/>
    <w:rsid w:val="00E56D4C"/>
    <w:rsid w:val="00E5724B"/>
    <w:rsid w:val="00E572B2"/>
    <w:rsid w:val="00E572EA"/>
    <w:rsid w:val="00E57726"/>
    <w:rsid w:val="00E57F48"/>
    <w:rsid w:val="00E60984"/>
    <w:rsid w:val="00E613FF"/>
    <w:rsid w:val="00E61CA5"/>
    <w:rsid w:val="00E630C8"/>
    <w:rsid w:val="00E6439F"/>
    <w:rsid w:val="00E64B62"/>
    <w:rsid w:val="00E65C46"/>
    <w:rsid w:val="00E65F6D"/>
    <w:rsid w:val="00E6682D"/>
    <w:rsid w:val="00E66BCC"/>
    <w:rsid w:val="00E67486"/>
    <w:rsid w:val="00E675A5"/>
    <w:rsid w:val="00E6771E"/>
    <w:rsid w:val="00E708A3"/>
    <w:rsid w:val="00E71D64"/>
    <w:rsid w:val="00E72905"/>
    <w:rsid w:val="00E7292B"/>
    <w:rsid w:val="00E74579"/>
    <w:rsid w:val="00E745BD"/>
    <w:rsid w:val="00E749F3"/>
    <w:rsid w:val="00E74AEE"/>
    <w:rsid w:val="00E750DF"/>
    <w:rsid w:val="00E755D8"/>
    <w:rsid w:val="00E75C55"/>
    <w:rsid w:val="00E75CE3"/>
    <w:rsid w:val="00E779E0"/>
    <w:rsid w:val="00E80047"/>
    <w:rsid w:val="00E82C12"/>
    <w:rsid w:val="00E83338"/>
    <w:rsid w:val="00E83366"/>
    <w:rsid w:val="00E83C6E"/>
    <w:rsid w:val="00E8418F"/>
    <w:rsid w:val="00E847C6"/>
    <w:rsid w:val="00E855EC"/>
    <w:rsid w:val="00E873E9"/>
    <w:rsid w:val="00E87ADB"/>
    <w:rsid w:val="00E90E99"/>
    <w:rsid w:val="00E91D8D"/>
    <w:rsid w:val="00E92073"/>
    <w:rsid w:val="00E92391"/>
    <w:rsid w:val="00E9298B"/>
    <w:rsid w:val="00E92A2C"/>
    <w:rsid w:val="00E94BD9"/>
    <w:rsid w:val="00E95066"/>
    <w:rsid w:val="00E9602B"/>
    <w:rsid w:val="00E97DA7"/>
    <w:rsid w:val="00E97E25"/>
    <w:rsid w:val="00EA097E"/>
    <w:rsid w:val="00EA13F7"/>
    <w:rsid w:val="00EA14CC"/>
    <w:rsid w:val="00EA15D6"/>
    <w:rsid w:val="00EA1753"/>
    <w:rsid w:val="00EA2870"/>
    <w:rsid w:val="00EA2896"/>
    <w:rsid w:val="00EA384C"/>
    <w:rsid w:val="00EA3ED4"/>
    <w:rsid w:val="00EA47E9"/>
    <w:rsid w:val="00EA4E77"/>
    <w:rsid w:val="00EA5619"/>
    <w:rsid w:val="00EA584A"/>
    <w:rsid w:val="00EA6484"/>
    <w:rsid w:val="00EA7D8F"/>
    <w:rsid w:val="00EB0CD7"/>
    <w:rsid w:val="00EB0D50"/>
    <w:rsid w:val="00EB0FFB"/>
    <w:rsid w:val="00EB2DDC"/>
    <w:rsid w:val="00EB399F"/>
    <w:rsid w:val="00EB494F"/>
    <w:rsid w:val="00EB50BD"/>
    <w:rsid w:val="00EB5A34"/>
    <w:rsid w:val="00EB6413"/>
    <w:rsid w:val="00EB6C05"/>
    <w:rsid w:val="00EB7EF0"/>
    <w:rsid w:val="00EC0127"/>
    <w:rsid w:val="00EC19DC"/>
    <w:rsid w:val="00EC1C90"/>
    <w:rsid w:val="00EC2278"/>
    <w:rsid w:val="00EC22F0"/>
    <w:rsid w:val="00EC26B2"/>
    <w:rsid w:val="00EC30F5"/>
    <w:rsid w:val="00EC4308"/>
    <w:rsid w:val="00EC453F"/>
    <w:rsid w:val="00EC507E"/>
    <w:rsid w:val="00EC518C"/>
    <w:rsid w:val="00EC5C5A"/>
    <w:rsid w:val="00ED09DE"/>
    <w:rsid w:val="00ED0A9C"/>
    <w:rsid w:val="00ED0DFD"/>
    <w:rsid w:val="00ED29E9"/>
    <w:rsid w:val="00ED3B99"/>
    <w:rsid w:val="00ED5310"/>
    <w:rsid w:val="00ED55DA"/>
    <w:rsid w:val="00ED5782"/>
    <w:rsid w:val="00ED640F"/>
    <w:rsid w:val="00ED65EA"/>
    <w:rsid w:val="00ED6EA9"/>
    <w:rsid w:val="00ED7E29"/>
    <w:rsid w:val="00EE1001"/>
    <w:rsid w:val="00EE1032"/>
    <w:rsid w:val="00EE2230"/>
    <w:rsid w:val="00EE2C1B"/>
    <w:rsid w:val="00EE2CFD"/>
    <w:rsid w:val="00EE4341"/>
    <w:rsid w:val="00EE508F"/>
    <w:rsid w:val="00EE51C9"/>
    <w:rsid w:val="00EE5565"/>
    <w:rsid w:val="00EE6CDC"/>
    <w:rsid w:val="00EF10F8"/>
    <w:rsid w:val="00EF13F4"/>
    <w:rsid w:val="00EF193D"/>
    <w:rsid w:val="00EF1BF8"/>
    <w:rsid w:val="00EF2D2D"/>
    <w:rsid w:val="00EF2F3D"/>
    <w:rsid w:val="00EF2F86"/>
    <w:rsid w:val="00EF382C"/>
    <w:rsid w:val="00EF42E4"/>
    <w:rsid w:val="00EF43D3"/>
    <w:rsid w:val="00EF4946"/>
    <w:rsid w:val="00EF57C4"/>
    <w:rsid w:val="00EF5B38"/>
    <w:rsid w:val="00EF6DA0"/>
    <w:rsid w:val="00EF77F9"/>
    <w:rsid w:val="00EF7C19"/>
    <w:rsid w:val="00EF7FF7"/>
    <w:rsid w:val="00F0041D"/>
    <w:rsid w:val="00F01201"/>
    <w:rsid w:val="00F0166A"/>
    <w:rsid w:val="00F01D2E"/>
    <w:rsid w:val="00F0223F"/>
    <w:rsid w:val="00F02722"/>
    <w:rsid w:val="00F02AD5"/>
    <w:rsid w:val="00F02EBC"/>
    <w:rsid w:val="00F037E8"/>
    <w:rsid w:val="00F039DC"/>
    <w:rsid w:val="00F04EF3"/>
    <w:rsid w:val="00F050DC"/>
    <w:rsid w:val="00F056A9"/>
    <w:rsid w:val="00F05B67"/>
    <w:rsid w:val="00F06816"/>
    <w:rsid w:val="00F06EB9"/>
    <w:rsid w:val="00F100A3"/>
    <w:rsid w:val="00F10566"/>
    <w:rsid w:val="00F10B0A"/>
    <w:rsid w:val="00F10B1B"/>
    <w:rsid w:val="00F10B58"/>
    <w:rsid w:val="00F11095"/>
    <w:rsid w:val="00F1110D"/>
    <w:rsid w:val="00F11C65"/>
    <w:rsid w:val="00F12027"/>
    <w:rsid w:val="00F123FC"/>
    <w:rsid w:val="00F127E6"/>
    <w:rsid w:val="00F12F0A"/>
    <w:rsid w:val="00F1386F"/>
    <w:rsid w:val="00F140D9"/>
    <w:rsid w:val="00F14349"/>
    <w:rsid w:val="00F144DF"/>
    <w:rsid w:val="00F149D7"/>
    <w:rsid w:val="00F16CAE"/>
    <w:rsid w:val="00F17E6A"/>
    <w:rsid w:val="00F20625"/>
    <w:rsid w:val="00F2119D"/>
    <w:rsid w:val="00F213CC"/>
    <w:rsid w:val="00F22429"/>
    <w:rsid w:val="00F2293F"/>
    <w:rsid w:val="00F22A24"/>
    <w:rsid w:val="00F22E86"/>
    <w:rsid w:val="00F22FFF"/>
    <w:rsid w:val="00F23716"/>
    <w:rsid w:val="00F237A6"/>
    <w:rsid w:val="00F23E49"/>
    <w:rsid w:val="00F23E5B"/>
    <w:rsid w:val="00F23FD7"/>
    <w:rsid w:val="00F24FA4"/>
    <w:rsid w:val="00F2544D"/>
    <w:rsid w:val="00F25829"/>
    <w:rsid w:val="00F25FD8"/>
    <w:rsid w:val="00F266E1"/>
    <w:rsid w:val="00F26CA3"/>
    <w:rsid w:val="00F27D01"/>
    <w:rsid w:val="00F30A14"/>
    <w:rsid w:val="00F31F26"/>
    <w:rsid w:val="00F33620"/>
    <w:rsid w:val="00F33771"/>
    <w:rsid w:val="00F33A13"/>
    <w:rsid w:val="00F33A18"/>
    <w:rsid w:val="00F33A3B"/>
    <w:rsid w:val="00F33D62"/>
    <w:rsid w:val="00F33DF2"/>
    <w:rsid w:val="00F34D6F"/>
    <w:rsid w:val="00F34EAC"/>
    <w:rsid w:val="00F35252"/>
    <w:rsid w:val="00F3648F"/>
    <w:rsid w:val="00F37139"/>
    <w:rsid w:val="00F40B32"/>
    <w:rsid w:val="00F40EED"/>
    <w:rsid w:val="00F42E5B"/>
    <w:rsid w:val="00F43874"/>
    <w:rsid w:val="00F43B68"/>
    <w:rsid w:val="00F43E32"/>
    <w:rsid w:val="00F43FB8"/>
    <w:rsid w:val="00F44D34"/>
    <w:rsid w:val="00F44D84"/>
    <w:rsid w:val="00F46634"/>
    <w:rsid w:val="00F46D22"/>
    <w:rsid w:val="00F4746B"/>
    <w:rsid w:val="00F474B7"/>
    <w:rsid w:val="00F47EFB"/>
    <w:rsid w:val="00F501B1"/>
    <w:rsid w:val="00F51B01"/>
    <w:rsid w:val="00F51F8E"/>
    <w:rsid w:val="00F53BE8"/>
    <w:rsid w:val="00F54FB9"/>
    <w:rsid w:val="00F5503D"/>
    <w:rsid w:val="00F552DF"/>
    <w:rsid w:val="00F55913"/>
    <w:rsid w:val="00F56DB4"/>
    <w:rsid w:val="00F57AB8"/>
    <w:rsid w:val="00F60993"/>
    <w:rsid w:val="00F61A6B"/>
    <w:rsid w:val="00F62B50"/>
    <w:rsid w:val="00F62C45"/>
    <w:rsid w:val="00F631F8"/>
    <w:rsid w:val="00F638F3"/>
    <w:rsid w:val="00F63D9A"/>
    <w:rsid w:val="00F648E1"/>
    <w:rsid w:val="00F650FE"/>
    <w:rsid w:val="00F65BD1"/>
    <w:rsid w:val="00F666B5"/>
    <w:rsid w:val="00F66993"/>
    <w:rsid w:val="00F66BF7"/>
    <w:rsid w:val="00F66F79"/>
    <w:rsid w:val="00F6703D"/>
    <w:rsid w:val="00F67621"/>
    <w:rsid w:val="00F67CD6"/>
    <w:rsid w:val="00F70C35"/>
    <w:rsid w:val="00F72341"/>
    <w:rsid w:val="00F73EEE"/>
    <w:rsid w:val="00F74298"/>
    <w:rsid w:val="00F74ACB"/>
    <w:rsid w:val="00F7502E"/>
    <w:rsid w:val="00F75B9E"/>
    <w:rsid w:val="00F77717"/>
    <w:rsid w:val="00F80791"/>
    <w:rsid w:val="00F80AB8"/>
    <w:rsid w:val="00F815A7"/>
    <w:rsid w:val="00F81AFD"/>
    <w:rsid w:val="00F81EFB"/>
    <w:rsid w:val="00F81F45"/>
    <w:rsid w:val="00F82A60"/>
    <w:rsid w:val="00F82BB3"/>
    <w:rsid w:val="00F8313A"/>
    <w:rsid w:val="00F83A06"/>
    <w:rsid w:val="00F84C2F"/>
    <w:rsid w:val="00F85AA0"/>
    <w:rsid w:val="00F863D8"/>
    <w:rsid w:val="00F86C53"/>
    <w:rsid w:val="00F86F1C"/>
    <w:rsid w:val="00F871FC"/>
    <w:rsid w:val="00F90689"/>
    <w:rsid w:val="00F9096B"/>
    <w:rsid w:val="00F90C9E"/>
    <w:rsid w:val="00F919FC"/>
    <w:rsid w:val="00F920CB"/>
    <w:rsid w:val="00F92598"/>
    <w:rsid w:val="00F92D54"/>
    <w:rsid w:val="00F936A1"/>
    <w:rsid w:val="00F93AA9"/>
    <w:rsid w:val="00F93D19"/>
    <w:rsid w:val="00F93E82"/>
    <w:rsid w:val="00F9400E"/>
    <w:rsid w:val="00F9441B"/>
    <w:rsid w:val="00F94D85"/>
    <w:rsid w:val="00F95934"/>
    <w:rsid w:val="00F959DB"/>
    <w:rsid w:val="00F95B0B"/>
    <w:rsid w:val="00F95ECC"/>
    <w:rsid w:val="00F96373"/>
    <w:rsid w:val="00F972A4"/>
    <w:rsid w:val="00F975D7"/>
    <w:rsid w:val="00F97696"/>
    <w:rsid w:val="00FA0F41"/>
    <w:rsid w:val="00FA165C"/>
    <w:rsid w:val="00FA1BAD"/>
    <w:rsid w:val="00FA217D"/>
    <w:rsid w:val="00FA2608"/>
    <w:rsid w:val="00FA2B80"/>
    <w:rsid w:val="00FA3070"/>
    <w:rsid w:val="00FA4681"/>
    <w:rsid w:val="00FA4BF1"/>
    <w:rsid w:val="00FA63FD"/>
    <w:rsid w:val="00FA7C1B"/>
    <w:rsid w:val="00FA7C2A"/>
    <w:rsid w:val="00FB116A"/>
    <w:rsid w:val="00FB177D"/>
    <w:rsid w:val="00FB1D59"/>
    <w:rsid w:val="00FB237B"/>
    <w:rsid w:val="00FB2DFA"/>
    <w:rsid w:val="00FB3226"/>
    <w:rsid w:val="00FB3603"/>
    <w:rsid w:val="00FB416B"/>
    <w:rsid w:val="00FB57AE"/>
    <w:rsid w:val="00FB5F7C"/>
    <w:rsid w:val="00FB7941"/>
    <w:rsid w:val="00FB7E64"/>
    <w:rsid w:val="00FC0E69"/>
    <w:rsid w:val="00FC13C4"/>
    <w:rsid w:val="00FC1AD0"/>
    <w:rsid w:val="00FC3A99"/>
    <w:rsid w:val="00FC43E0"/>
    <w:rsid w:val="00FC464B"/>
    <w:rsid w:val="00FC4A69"/>
    <w:rsid w:val="00FC57D4"/>
    <w:rsid w:val="00FC5BF0"/>
    <w:rsid w:val="00FD1219"/>
    <w:rsid w:val="00FD1C02"/>
    <w:rsid w:val="00FD2510"/>
    <w:rsid w:val="00FD3923"/>
    <w:rsid w:val="00FD44D8"/>
    <w:rsid w:val="00FD6B15"/>
    <w:rsid w:val="00FD7BC5"/>
    <w:rsid w:val="00FE0178"/>
    <w:rsid w:val="00FE06DE"/>
    <w:rsid w:val="00FE0DC6"/>
    <w:rsid w:val="00FE25D1"/>
    <w:rsid w:val="00FE2BCF"/>
    <w:rsid w:val="00FE3028"/>
    <w:rsid w:val="00FE3FA7"/>
    <w:rsid w:val="00FE4C06"/>
    <w:rsid w:val="00FE5985"/>
    <w:rsid w:val="00FE6656"/>
    <w:rsid w:val="00FE6750"/>
    <w:rsid w:val="00FE6A6F"/>
    <w:rsid w:val="00FF0472"/>
    <w:rsid w:val="00FF09E4"/>
    <w:rsid w:val="00FF0B79"/>
    <w:rsid w:val="00FF1948"/>
    <w:rsid w:val="00FF1F98"/>
    <w:rsid w:val="00FF2CA6"/>
    <w:rsid w:val="00FF3F47"/>
    <w:rsid w:val="00FF60D0"/>
    <w:rsid w:val="00FF6349"/>
    <w:rsid w:val="00FF688F"/>
    <w:rsid w:val="00FF70D3"/>
    <w:rsid w:val="00FF7AB5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AEE99E5"/>
  <w15:chartTrackingRefBased/>
  <w15:docId w15:val="{989D2CB8-1326-4CA3-8C96-ED47EB0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26C"/>
    <w:pPr>
      <w:jc w:val="both"/>
    </w:pPr>
    <w:rPr>
      <w:rFonts w:ascii="Calibri" w:hAnsi="Calibri"/>
      <w:sz w:val="22"/>
    </w:rPr>
  </w:style>
  <w:style w:type="paragraph" w:styleId="Ttulo1">
    <w:name w:val="heading 1"/>
    <w:basedOn w:val="Normal"/>
    <w:next w:val="basico"/>
    <w:qFormat/>
    <w:rsid w:val="005A3874"/>
    <w:pPr>
      <w:keepNext/>
      <w:keepLines/>
      <w:widowControl w:val="0"/>
      <w:numPr>
        <w:numId w:val="3"/>
      </w:numPr>
      <w:tabs>
        <w:tab w:val="clear" w:pos="709"/>
        <w:tab w:val="num" w:pos="567"/>
      </w:tabs>
      <w:spacing w:before="240" w:after="120" w:line="280" w:lineRule="exact"/>
      <w:ind w:left="567" w:hanging="567"/>
      <w:jc w:val="left"/>
      <w:outlineLvl w:val="0"/>
    </w:pPr>
    <w:rPr>
      <w:b/>
      <w:snapToGrid w:val="0"/>
      <w:color w:val="000000"/>
      <w:spacing w:val="8"/>
      <w:kern w:val="28"/>
      <w:sz w:val="24"/>
      <w:u w:val="single"/>
      <w:lang w:val="es-ES_tradnl"/>
    </w:rPr>
  </w:style>
  <w:style w:type="paragraph" w:styleId="Ttulo2">
    <w:name w:val="heading 2"/>
    <w:basedOn w:val="Ttulo1"/>
    <w:next w:val="basico"/>
    <w:qFormat/>
    <w:rsid w:val="00B93D10"/>
    <w:pPr>
      <w:numPr>
        <w:ilvl w:val="1"/>
      </w:numPr>
      <w:spacing w:line="280" w:lineRule="atLeast"/>
      <w:ind w:hanging="709"/>
      <w:outlineLvl w:val="1"/>
    </w:pPr>
    <w:rPr>
      <w:b w:val="0"/>
      <w:sz w:val="22"/>
    </w:rPr>
  </w:style>
  <w:style w:type="paragraph" w:styleId="Ttulo3">
    <w:name w:val="heading 3"/>
    <w:basedOn w:val="Ttulo2"/>
    <w:next w:val="Normal"/>
    <w:link w:val="Ttulo3Car"/>
    <w:rsid w:val="0008459A"/>
    <w:pPr>
      <w:numPr>
        <w:ilvl w:val="0"/>
        <w:numId w:val="0"/>
      </w:numPr>
      <w:outlineLvl w:val="2"/>
    </w:pPr>
    <w:rPr>
      <w:b/>
      <w:u w:val="none"/>
    </w:rPr>
  </w:style>
  <w:style w:type="paragraph" w:styleId="Ttulo4">
    <w:name w:val="heading 4"/>
    <w:basedOn w:val="Ttulo2"/>
    <w:next w:val="Normal"/>
    <w:qFormat/>
    <w:rsid w:val="002F6052"/>
    <w:pPr>
      <w:numPr>
        <w:ilvl w:val="3"/>
      </w:numPr>
      <w:outlineLvl w:val="3"/>
    </w:pPr>
    <w:rPr>
      <w:caps/>
      <w:color w:val="auto"/>
    </w:rPr>
  </w:style>
  <w:style w:type="paragraph" w:styleId="Ttulo5">
    <w:name w:val="heading 5"/>
    <w:basedOn w:val="Ttulo4"/>
    <w:next w:val="basico"/>
    <w:qFormat/>
    <w:rsid w:val="00BF18EC"/>
    <w:pPr>
      <w:numPr>
        <w:ilvl w:val="4"/>
      </w:numPr>
      <w:spacing w:after="60" w:line="240" w:lineRule="atLeast"/>
      <w:outlineLvl w:val="4"/>
    </w:pPr>
    <w:rPr>
      <w:u w:val="none"/>
    </w:rPr>
  </w:style>
  <w:style w:type="paragraph" w:styleId="Ttulo6">
    <w:name w:val="heading 6"/>
    <w:basedOn w:val="Ttulo5"/>
    <w:next w:val="Normal"/>
    <w:qFormat/>
    <w:rsid w:val="00BF18EC"/>
    <w:pPr>
      <w:numPr>
        <w:ilvl w:val="5"/>
      </w:numPr>
      <w:outlineLvl w:val="5"/>
    </w:pPr>
    <w:rPr>
      <w:spacing w:val="0"/>
    </w:rPr>
  </w:style>
  <w:style w:type="paragraph" w:styleId="Ttulo7">
    <w:name w:val="heading 7"/>
    <w:basedOn w:val="Normal"/>
    <w:next w:val="Normal"/>
    <w:qFormat/>
    <w:rsid w:val="00BF18EC"/>
    <w:pPr>
      <w:keepNext/>
      <w:keepLines/>
      <w:numPr>
        <w:ilvl w:val="6"/>
        <w:numId w:val="3"/>
      </w:numPr>
      <w:spacing w:before="240" w:after="60"/>
      <w:outlineLvl w:val="6"/>
    </w:pPr>
    <w:rPr>
      <w:b/>
      <w:color w:val="000000"/>
    </w:rPr>
  </w:style>
  <w:style w:type="paragraph" w:styleId="Ttulo8">
    <w:name w:val="heading 8"/>
    <w:basedOn w:val="Normal"/>
    <w:next w:val="Normal"/>
    <w:qFormat/>
    <w:rsid w:val="00BF18EC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noProof/>
      <w:color w:val="000000"/>
    </w:rPr>
  </w:style>
  <w:style w:type="paragraph" w:styleId="Ttulo9">
    <w:name w:val="heading 9"/>
    <w:basedOn w:val="Normal"/>
    <w:next w:val="Normal"/>
    <w:qFormat/>
    <w:rsid w:val="00BF18EC"/>
    <w:pPr>
      <w:keepNext/>
      <w:numPr>
        <w:ilvl w:val="8"/>
        <w:numId w:val="3"/>
      </w:numPr>
      <w:spacing w:before="120" w:after="60"/>
      <w:outlineLvl w:val="8"/>
    </w:pPr>
    <w:rPr>
      <w:b/>
      <w:noProof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o">
    <w:name w:val="basico"/>
    <w:basedOn w:val="Normal"/>
    <w:link w:val="basicoCar1"/>
    <w:qFormat/>
    <w:rsid w:val="008A626C"/>
    <w:pPr>
      <w:spacing w:after="120"/>
    </w:pPr>
  </w:style>
  <w:style w:type="character" w:customStyle="1" w:styleId="basicoCar1">
    <w:name w:val="basico Car1"/>
    <w:link w:val="basico"/>
    <w:rsid w:val="008A626C"/>
    <w:rPr>
      <w:rFonts w:ascii="Calibri" w:hAnsi="Calibri"/>
      <w:sz w:val="22"/>
    </w:rPr>
  </w:style>
  <w:style w:type="character" w:customStyle="1" w:styleId="Ttulo3Car">
    <w:name w:val="Título 3 Car"/>
    <w:link w:val="Ttulo3"/>
    <w:rsid w:val="0008459A"/>
    <w:rPr>
      <w:rFonts w:ascii="Calibri" w:hAnsi="Calibri"/>
      <w:b/>
      <w:snapToGrid w:val="0"/>
      <w:color w:val="000000"/>
      <w:spacing w:val="8"/>
      <w:kern w:val="28"/>
      <w:sz w:val="22"/>
      <w:lang w:val="es-ES_tradnl"/>
    </w:rPr>
  </w:style>
  <w:style w:type="paragraph" w:customStyle="1" w:styleId="normaloculto">
    <w:name w:val="normal oculto"/>
    <w:basedOn w:val="Normal"/>
    <w:next w:val="Normal"/>
    <w:rPr>
      <w:vanish/>
      <w:color w:val="FF0000"/>
      <w:sz w:val="28"/>
      <w:lang w:val="es-ES_tradnl"/>
    </w:rPr>
  </w:style>
  <w:style w:type="paragraph" w:customStyle="1" w:styleId="titulillo">
    <w:name w:val="titulillo"/>
    <w:basedOn w:val="Normal"/>
    <w:next w:val="basico"/>
    <w:rsid w:val="008A626C"/>
    <w:pPr>
      <w:keepNext/>
      <w:keepLines/>
      <w:spacing w:after="120"/>
    </w:pPr>
    <w:rPr>
      <w:color w:val="000000"/>
      <w:u w:val="single"/>
    </w:rPr>
  </w:style>
  <w:style w:type="paragraph" w:customStyle="1" w:styleId="vietajuan">
    <w:name w:val="viñetajuan"/>
    <w:basedOn w:val="Normal"/>
    <w:pPr>
      <w:numPr>
        <w:numId w:val="5"/>
      </w:numPr>
      <w:spacing w:after="120"/>
    </w:pPr>
  </w:style>
  <w:style w:type="paragraph" w:customStyle="1" w:styleId="citaliteral">
    <w:name w:val="cita literal"/>
    <w:basedOn w:val="Normal"/>
    <w:pPr>
      <w:spacing w:after="120"/>
      <w:ind w:left="567" w:right="567"/>
    </w:pPr>
    <w:rPr>
      <w:rFonts w:ascii="Tahoma" w:hAnsi="Tahoma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100"/>
    </w:pPr>
    <w:rPr>
      <w:snapToGrid w:val="0"/>
      <w:color w:val="000000"/>
    </w:rPr>
  </w:style>
  <w:style w:type="paragraph" w:styleId="Descripcin">
    <w:name w:val="caption"/>
    <w:aliases w:val="Epígrafe,tablas"/>
    <w:basedOn w:val="Normal"/>
    <w:next w:val="Normal"/>
    <w:link w:val="DescripcinCar1"/>
    <w:qFormat/>
    <w:rsid w:val="005B749C"/>
    <w:pPr>
      <w:keepNext/>
    </w:pPr>
    <w:rPr>
      <w:b/>
      <w:sz w:val="20"/>
      <w:lang w:val="x-none" w:eastAsia="x-none"/>
    </w:rPr>
  </w:style>
  <w:style w:type="character" w:customStyle="1" w:styleId="DescripcinCar1">
    <w:name w:val="Descripción Car1"/>
    <w:aliases w:val="Epígrafe Car1,tablas Car1"/>
    <w:link w:val="Descripcin"/>
    <w:rsid w:val="005B749C"/>
    <w:rPr>
      <w:b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abla">
    <w:name w:val="tabla"/>
    <w:basedOn w:val="Normal"/>
    <w:qFormat/>
    <w:rsid w:val="00346922"/>
    <w:pPr>
      <w:jc w:val="left"/>
    </w:pPr>
    <w:rPr>
      <w:sz w:val="20"/>
    </w:rPr>
  </w:style>
  <w:style w:type="paragraph" w:customStyle="1" w:styleId="vieta">
    <w:name w:val="viñeta"/>
    <w:basedOn w:val="Normal"/>
    <w:pPr>
      <w:numPr>
        <w:numId w:val="4"/>
      </w:numPr>
      <w:spacing w:before="60"/>
      <w:ind w:left="357" w:hanging="357"/>
    </w:pPr>
    <w:rPr>
      <w:rFonts w:ascii="Garamond" w:hAnsi="Garamond"/>
    </w:rPr>
  </w:style>
  <w:style w:type="paragraph" w:customStyle="1" w:styleId="vietajuanpequea">
    <w:name w:val="viñetajuanpequeña"/>
    <w:basedOn w:val="vietajuan"/>
    <w:autoRedefine/>
    <w:rsid w:val="0038626B"/>
    <w:pPr>
      <w:numPr>
        <w:numId w:val="12"/>
      </w:numPr>
      <w:spacing w:after="0"/>
    </w:p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titulon">
    <w:name w:val="titulon"/>
    <w:basedOn w:val="Normal"/>
    <w:pPr>
      <w:keepNext/>
      <w:keepLines/>
      <w:widowControl w:val="0"/>
      <w:suppressAutoHyphens/>
      <w:spacing w:before="60" w:after="120"/>
      <w:jc w:val="left"/>
    </w:pPr>
    <w:rPr>
      <w:b/>
      <w:color w:val="000000"/>
      <w:u w:val="single"/>
    </w:rPr>
  </w:style>
  <w:style w:type="paragraph" w:customStyle="1" w:styleId="sangria2">
    <w:name w:val="sangria2"/>
    <w:basedOn w:val="sangra3"/>
    <w:autoRedefine/>
    <w:pPr>
      <w:numPr>
        <w:numId w:val="6"/>
      </w:numPr>
      <w:tabs>
        <w:tab w:val="clear" w:pos="1778"/>
        <w:tab w:val="num" w:pos="720"/>
        <w:tab w:val="num" w:pos="1080"/>
        <w:tab w:val="num" w:pos="1433"/>
      </w:tabs>
      <w:ind w:left="720"/>
    </w:pPr>
  </w:style>
  <w:style w:type="paragraph" w:customStyle="1" w:styleId="sangra3">
    <w:name w:val="sangría3"/>
    <w:basedOn w:val="basico"/>
    <w:autoRedefine/>
    <w:pPr>
      <w:numPr>
        <w:numId w:val="2"/>
      </w:numPr>
      <w:tabs>
        <w:tab w:val="num" w:pos="1080"/>
      </w:tabs>
      <w:ind w:left="1080"/>
    </w:pPr>
    <w:rPr>
      <w:lang w:eastAsia="zh-CN"/>
    </w:rPr>
  </w:style>
  <w:style w:type="paragraph" w:customStyle="1" w:styleId="sangria4">
    <w:name w:val="sangria4"/>
    <w:basedOn w:val="sangra3"/>
    <w:autoRedefine/>
    <w:pPr>
      <w:numPr>
        <w:numId w:val="7"/>
      </w:numPr>
      <w:tabs>
        <w:tab w:val="clear" w:pos="360"/>
        <w:tab w:val="num" w:pos="1080"/>
        <w:tab w:val="num" w:pos="1433"/>
        <w:tab w:val="num" w:pos="2487"/>
      </w:tabs>
      <w:spacing w:after="0"/>
      <w:ind w:left="2481" w:hanging="357"/>
    </w:pPr>
  </w:style>
  <w:style w:type="character" w:customStyle="1" w:styleId="EstilobasicoRojoCar">
    <w:name w:val="Estilo basico + Rojo Car"/>
    <w:rPr>
      <w:color w:val="FF0000"/>
      <w:sz w:val="24"/>
      <w:lang w:val="es-ES" w:eastAsia="es-ES" w:bidi="ar-SA"/>
    </w:rPr>
  </w:style>
  <w:style w:type="character" w:customStyle="1" w:styleId="basicoCar">
    <w:name w:val="basico Car"/>
    <w:rPr>
      <w:sz w:val="24"/>
      <w:lang w:val="es-ES" w:eastAsia="es-ES" w:bidi="ar-SA"/>
    </w:rPr>
  </w:style>
  <w:style w:type="paragraph" w:customStyle="1" w:styleId="basico2">
    <w:name w:val="basico_2"/>
    <w:basedOn w:val="Normal"/>
    <w:pPr>
      <w:spacing w:line="288" w:lineRule="auto"/>
    </w:pPr>
    <w:rPr>
      <w:lang w:val="es-ES_tradnl"/>
    </w:rPr>
  </w:style>
  <w:style w:type="paragraph" w:customStyle="1" w:styleId="bibliografa">
    <w:name w:val="bibliografía"/>
    <w:basedOn w:val="basico"/>
    <w:pPr>
      <w:keepLines/>
      <w:spacing w:line="288" w:lineRule="auto"/>
      <w:ind w:left="567" w:hanging="567"/>
    </w:pPr>
  </w:style>
  <w:style w:type="character" w:customStyle="1" w:styleId="Casilladeverificacin">
    <w:name w:val="Casilla de verificación"/>
    <w:rPr>
      <w:rFonts w:ascii="Times New Roman" w:hAnsi="Times New Roman"/>
      <w:sz w:val="22"/>
    </w:rPr>
  </w:style>
  <w:style w:type="paragraph" w:customStyle="1" w:styleId="sangradillo">
    <w:name w:val="sangradillo"/>
    <w:basedOn w:val="basico"/>
    <w:pPr>
      <w:spacing w:line="288" w:lineRule="auto"/>
      <w:ind w:left="567" w:hanging="283"/>
    </w:pPr>
    <w:rPr>
      <w:szCs w:val="24"/>
    </w:rPr>
  </w:style>
  <w:style w:type="paragraph" w:customStyle="1" w:styleId="sangradillo2">
    <w:name w:val="sangradillo_2"/>
    <w:basedOn w:val="sangradillo"/>
    <w:pPr>
      <w:spacing w:line="264" w:lineRule="auto"/>
      <w:ind w:left="1191" w:hanging="284"/>
    </w:pPr>
  </w:style>
  <w:style w:type="paragraph" w:customStyle="1" w:styleId="sangriafrancesa">
    <w:name w:val="sangria francesa"/>
    <w:basedOn w:val="Sangranormal"/>
    <w:pPr>
      <w:ind w:left="454" w:hanging="454"/>
    </w:pPr>
    <w:rPr>
      <w:color w:val="000000"/>
    </w:rPr>
  </w:style>
  <w:style w:type="paragraph" w:styleId="Sangranormal">
    <w:name w:val="Normal Indent"/>
    <w:basedOn w:val="Normal"/>
    <w:pPr>
      <w:ind w:left="708"/>
      <w:jc w:val="left"/>
    </w:pPr>
    <w:rPr>
      <w:noProof/>
    </w:rPr>
  </w:style>
  <w:style w:type="paragraph" w:customStyle="1" w:styleId="titulotest">
    <w:name w:val="titulotest"/>
    <w:basedOn w:val="Normal"/>
    <w:next w:val="Normal"/>
    <w:pPr>
      <w:numPr>
        <w:numId w:val="8"/>
      </w:numPr>
      <w:tabs>
        <w:tab w:val="left" w:pos="567"/>
      </w:tabs>
      <w:jc w:val="left"/>
    </w:pPr>
    <w:rPr>
      <w:lang w:val="es-ES_tradnl"/>
    </w:rPr>
  </w:style>
  <w:style w:type="character" w:customStyle="1" w:styleId="Versal">
    <w:name w:val="Versal"/>
    <w:rPr>
      <w:rFonts w:ascii="Times New Roman" w:hAnsi="Times New Roman"/>
      <w:smallCaps/>
      <w:sz w:val="24"/>
    </w:rPr>
  </w:style>
  <w:style w:type="paragraph" w:customStyle="1" w:styleId="vietatest">
    <w:name w:val="viñetatest"/>
    <w:basedOn w:val="vietajuan"/>
    <w:pPr>
      <w:numPr>
        <w:ilvl w:val="1"/>
        <w:numId w:val="9"/>
      </w:numPr>
      <w:spacing w:after="60"/>
      <w:jc w:val="left"/>
    </w:pPr>
    <w:rPr>
      <w:lang w:val="es-ES_tradnl"/>
    </w:rPr>
  </w:style>
  <w:style w:type="paragraph" w:customStyle="1" w:styleId="listaconletras">
    <w:name w:val="lista con letras"/>
    <w:basedOn w:val="Normal"/>
    <w:pPr>
      <w:numPr>
        <w:numId w:val="10"/>
      </w:numPr>
      <w:jc w:val="left"/>
    </w:pPr>
  </w:style>
  <w:style w:type="paragraph" w:customStyle="1" w:styleId="xl26">
    <w:name w:val="xl26"/>
    <w:basedOn w:val="Normal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xl27">
    <w:name w:val="xl27"/>
    <w:basedOn w:val="Normal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xl28">
    <w:name w:val="xl28"/>
    <w:basedOn w:val="Normal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  <w:szCs w:val="24"/>
    </w:rPr>
  </w:style>
  <w:style w:type="paragraph" w:styleId="Textoindependiente">
    <w:name w:val="Body Text"/>
    <w:basedOn w:val="Normal"/>
    <w:pPr>
      <w:jc w:val="left"/>
    </w:pPr>
    <w:rPr>
      <w:color w:val="0000FF"/>
    </w:rPr>
  </w:style>
  <w:style w:type="paragraph" w:styleId="TDC1">
    <w:name w:val="toc 1"/>
    <w:basedOn w:val="Normal"/>
    <w:next w:val="Normal"/>
    <w:autoRedefine/>
    <w:rPr>
      <w:b/>
    </w:rPr>
  </w:style>
  <w:style w:type="paragraph" w:styleId="TDC2">
    <w:name w:val="toc 2"/>
    <w:basedOn w:val="Normal"/>
    <w:next w:val="Normal"/>
    <w:autoRedefine/>
    <w:rsid w:val="005165BF"/>
    <w:pPr>
      <w:tabs>
        <w:tab w:val="left" w:pos="960"/>
        <w:tab w:val="right" w:leader="dot" w:pos="8494"/>
      </w:tabs>
      <w:ind w:left="1032" w:right="567" w:hanging="794"/>
    </w:pPr>
  </w:style>
  <w:style w:type="paragraph" w:styleId="TDC3">
    <w:name w:val="toc 3"/>
    <w:basedOn w:val="Normal"/>
    <w:next w:val="Normal"/>
    <w:autoRedefine/>
    <w:rsid w:val="001A212F"/>
    <w:pPr>
      <w:tabs>
        <w:tab w:val="left" w:pos="1440"/>
        <w:tab w:val="right" w:leader="dot" w:pos="8460"/>
      </w:tabs>
      <w:ind w:left="788" w:right="567" w:hanging="306"/>
    </w:pPr>
    <w:rPr>
      <w:noProof/>
    </w:rPr>
  </w:style>
  <w:style w:type="paragraph" w:styleId="TDC4">
    <w:name w:val="toc 4"/>
    <w:basedOn w:val="Normal"/>
    <w:next w:val="Normal"/>
    <w:autoRedefine/>
    <w:rsid w:val="001A212F"/>
    <w:pPr>
      <w:tabs>
        <w:tab w:val="left" w:pos="1680"/>
        <w:tab w:val="right" w:leader="dot" w:pos="8460"/>
      </w:tabs>
      <w:ind w:left="1264" w:right="584" w:hanging="544"/>
    </w:pPr>
    <w:rPr>
      <w:noProof/>
    </w:r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  <w:jc w:val="left"/>
    </w:pPr>
    <w:rPr>
      <w:szCs w:val="24"/>
    </w:rPr>
  </w:style>
  <w:style w:type="paragraph" w:styleId="Textoindependiente2">
    <w:name w:val="Body Text 2"/>
    <w:basedOn w:val="Normal"/>
    <w:semiHidden/>
    <w:unhideWhenUsed/>
    <w:pPr>
      <w:spacing w:after="120" w:line="480" w:lineRule="auto"/>
    </w:pPr>
  </w:style>
  <w:style w:type="character" w:customStyle="1" w:styleId="CarCar">
    <w:name w:val="Car Car"/>
    <w:semiHidden/>
    <w:rPr>
      <w:sz w:val="24"/>
    </w:rPr>
  </w:style>
  <w:style w:type="character" w:styleId="Hipervnculovisitado">
    <w:name w:val="FollowedHyperlink"/>
    <w:uiPriority w:val="99"/>
    <w:semiHidden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Anejos">
    <w:name w:val="Anejos"/>
    <w:basedOn w:val="Ttulo2"/>
    <w:pPr>
      <w:numPr>
        <w:ilvl w:val="0"/>
        <w:numId w:val="0"/>
      </w:numPr>
      <w:tabs>
        <w:tab w:val="num" w:pos="1440"/>
      </w:tabs>
      <w:ind w:left="851" w:hanging="851"/>
    </w:pPr>
  </w:style>
  <w:style w:type="paragraph" w:customStyle="1" w:styleId="vietanormal">
    <w:name w:val="viñeta_normal"/>
    <w:basedOn w:val="Normal"/>
    <w:pPr>
      <w:numPr>
        <w:numId w:val="11"/>
      </w:numPr>
      <w:spacing w:after="120"/>
      <w:jc w:val="left"/>
    </w:pPr>
  </w:style>
  <w:style w:type="table" w:styleId="Tablaconcuadrcula">
    <w:name w:val="Table Grid"/>
    <w:basedOn w:val="Tablanormal"/>
    <w:uiPriority w:val="59"/>
    <w:rsid w:val="00835D6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qFormat/>
    <w:rsid w:val="003E5244"/>
    <w:pPr>
      <w:spacing w:after="60"/>
      <w:jc w:val="center"/>
      <w:outlineLvl w:val="1"/>
    </w:pPr>
    <w:rPr>
      <w:rFonts w:ascii="Arial" w:hAnsi="Arial" w:cs="Arial"/>
      <w:szCs w:val="24"/>
    </w:rPr>
  </w:style>
  <w:style w:type="table" w:styleId="Tablabsica1">
    <w:name w:val="Table Simple 1"/>
    <w:basedOn w:val="Tablanormal"/>
    <w:rsid w:val="00394E0A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394E0A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EpgrafeCar">
    <w:name w:val="Epígrafe Car"/>
    <w:aliases w:val="tablas Car,Descripción Car"/>
    <w:rsid w:val="004B174D"/>
    <w:rPr>
      <w:b/>
      <w:lang w:val="es-ES" w:eastAsia="es-ES" w:bidi="ar-SA"/>
    </w:rPr>
  </w:style>
  <w:style w:type="paragraph" w:customStyle="1" w:styleId="Figura">
    <w:name w:val="Figura"/>
    <w:basedOn w:val="Descripcin"/>
    <w:autoRedefine/>
    <w:qFormat/>
    <w:rsid w:val="000D3DA1"/>
    <w:pPr>
      <w:keepNext w:val="0"/>
      <w:jc w:val="left"/>
    </w:pPr>
  </w:style>
  <w:style w:type="paragraph" w:customStyle="1" w:styleId="EstiloTtulo112pt">
    <w:name w:val="Estilo Título 1 + 12 pt"/>
    <w:basedOn w:val="Ttulo1"/>
    <w:rsid w:val="00B5564F"/>
    <w:rPr>
      <w:bCs/>
    </w:rPr>
  </w:style>
  <w:style w:type="paragraph" w:styleId="Ttulo">
    <w:name w:val="Title"/>
    <w:basedOn w:val="Normal"/>
    <w:qFormat/>
    <w:rsid w:val="00A56B06"/>
    <w:pPr>
      <w:spacing w:before="120" w:after="360"/>
      <w:jc w:val="center"/>
      <w:outlineLvl w:val="0"/>
    </w:pPr>
    <w:rPr>
      <w:rFonts w:cs="Arial"/>
      <w:b/>
      <w:bCs/>
      <w:caps/>
      <w:kern w:val="28"/>
      <w:sz w:val="24"/>
      <w:szCs w:val="32"/>
    </w:rPr>
  </w:style>
  <w:style w:type="paragraph" w:styleId="Sangradetextonormal">
    <w:name w:val="Body Text Indent"/>
    <w:basedOn w:val="Normal"/>
    <w:rsid w:val="001A2EDE"/>
    <w:pPr>
      <w:spacing w:after="120"/>
      <w:ind w:left="283"/>
    </w:pPr>
  </w:style>
  <w:style w:type="table" w:styleId="Tablaconcuadrcula1">
    <w:name w:val="Table Grid 1"/>
    <w:basedOn w:val="Tablanormal"/>
    <w:rsid w:val="007B1F3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eva">
    <w:name w:val="viñetaeva"/>
    <w:basedOn w:val="Normal"/>
    <w:rsid w:val="00101489"/>
    <w:pPr>
      <w:numPr>
        <w:numId w:val="13"/>
      </w:numPr>
    </w:pPr>
  </w:style>
  <w:style w:type="character" w:customStyle="1" w:styleId="apple-converted-space">
    <w:name w:val="apple-converted-space"/>
    <w:basedOn w:val="Fuentedeprrafopredeter"/>
    <w:rsid w:val="00E749F3"/>
  </w:style>
  <w:style w:type="paragraph" w:customStyle="1" w:styleId="vietaletras">
    <w:name w:val="viñeta_letras"/>
    <w:basedOn w:val="vietajuan"/>
    <w:rsid w:val="005A3874"/>
    <w:pPr>
      <w:numPr>
        <w:numId w:val="0"/>
      </w:numPr>
      <w:tabs>
        <w:tab w:val="num" w:pos="720"/>
      </w:tabs>
      <w:ind w:left="720" w:hanging="360"/>
      <w:jc w:val="left"/>
    </w:pPr>
    <w:rPr>
      <w:rFonts w:ascii="Times New Roman" w:hAnsi="Times New Roman"/>
      <w:sz w:val="24"/>
    </w:rPr>
  </w:style>
  <w:style w:type="paragraph" w:customStyle="1" w:styleId="Anejotitulo3">
    <w:name w:val="Anejo titulo 3"/>
    <w:rsid w:val="005A3874"/>
    <w:pPr>
      <w:numPr>
        <w:ilvl w:val="2"/>
        <w:numId w:val="15"/>
      </w:numPr>
    </w:pPr>
    <w:rPr>
      <w:rFonts w:ascii="CG Times" w:hAnsi="CG Times"/>
      <w:b/>
      <w:sz w:val="23"/>
    </w:rPr>
  </w:style>
  <w:style w:type="paragraph" w:customStyle="1" w:styleId="xl45">
    <w:name w:val="xl45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xl46">
    <w:name w:val="xl46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xl47">
    <w:name w:val="xl47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00"/>
      <w:sz w:val="24"/>
      <w:szCs w:val="24"/>
    </w:rPr>
  </w:style>
  <w:style w:type="paragraph" w:customStyle="1" w:styleId="xl48">
    <w:name w:val="xl48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24"/>
      <w:szCs w:val="24"/>
    </w:rPr>
  </w:style>
  <w:style w:type="paragraph" w:customStyle="1" w:styleId="xl39">
    <w:name w:val="xl39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xl40">
    <w:name w:val="xl40"/>
    <w:basedOn w:val="Normal"/>
    <w:rsid w:val="005A3874"/>
    <w:pP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rsid w:val="005A3874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2">
    <w:name w:val="xl42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xl43">
    <w:name w:val="xl43"/>
    <w:basedOn w:val="Normal"/>
    <w:rsid w:val="005A38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2FA4"/>
    <w:rPr>
      <w:rFonts w:ascii="Calibri" w:hAnsi="Calibri"/>
      <w:sz w:val="22"/>
    </w:rPr>
  </w:style>
  <w:style w:type="paragraph" w:customStyle="1" w:styleId="Tabla0">
    <w:name w:val="Tabla"/>
    <w:basedOn w:val="Normal"/>
    <w:rsid w:val="00461450"/>
    <w:pPr>
      <w:spacing w:before="20" w:after="20"/>
      <w:jc w:val="left"/>
    </w:pPr>
    <w:rPr>
      <w:rFonts w:eastAsiaTheme="minorHAnsi" w:cstheme="minorBidi"/>
      <w:kern w:val="2"/>
      <w:sz w:val="20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9D94-1CC9-40B2-AD7B-180021E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18</Pages>
  <Words>7472</Words>
  <Characters>41097</Characters>
  <Application>Microsoft Office Word</Application>
  <DocSecurity>0</DocSecurity>
  <Lines>342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48473</CharactersWithSpaces>
  <SharedDoc>false</SharedDoc>
  <HLinks>
    <vt:vector size="282" baseType="variant">
      <vt:variant>
        <vt:i4>1114166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_Toc478386243</vt:lpwstr>
      </vt:variant>
      <vt:variant>
        <vt:i4>1114166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_Toc478386242</vt:lpwstr>
      </vt:variant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_Toc478386241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_Toc478386240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_Toc478386239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_Toc478386238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_Toc478386237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_Toc478386236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_Toc478386235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_Toc478386234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_Toc478386233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_Toc478386232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_Toc478386231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_Toc478386230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_Toc478386229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_Toc478386228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_Toc478386227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_Toc478386226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_Toc478386225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_Toc478386224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_Toc478386223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_Toc478386222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_Toc478386221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_Toc478386220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_Toc478386219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_Toc478386218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_Toc478386217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_Toc478386216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_Toc478386215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_Toc478386214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_Toc478386213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_Toc478386212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_Toc478386211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_Toc478386210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_Toc478386209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_Toc478386208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_Toc478386207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_Toc478386206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_Toc478386205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_Toc478386204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_Toc478386203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_Toc478386202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_Toc478386201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_Toc478386200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_Toc478386199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_Toc478386198</vt:lpwstr>
      </vt:variant>
      <vt:variant>
        <vt:i4>2949217</vt:i4>
      </vt:variant>
      <vt:variant>
        <vt:i4>-1</vt:i4>
      </vt:variant>
      <vt:variant>
        <vt:i4>1332</vt:i4>
      </vt:variant>
      <vt:variant>
        <vt:i4>1</vt:i4>
      </vt:variant>
      <vt:variant>
        <vt:lpwstr>D:\Mis documentos\Proyecto Suelos Ence\Suelos 981\Memoria\imagenes\texturatriang.bmp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*</dc:creator>
  <cp:keywords/>
  <cp:lastModifiedBy>Eva Corral</cp:lastModifiedBy>
  <cp:revision>14</cp:revision>
  <cp:lastPrinted>2017-02-20T08:40:00Z</cp:lastPrinted>
  <dcterms:created xsi:type="dcterms:W3CDTF">2024-07-06T17:37:00Z</dcterms:created>
  <dcterms:modified xsi:type="dcterms:W3CDTF">2024-12-30T10:38:00Z</dcterms:modified>
</cp:coreProperties>
</file>