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E87E0" w14:textId="77777777" w:rsidR="00250BE6" w:rsidRDefault="00724BFF">
      <w:bookmarkStart w:id="0" w:name="_GoBack"/>
      <w:bookmarkEnd w:id="0"/>
      <w:proofErr w:type="spellStart"/>
      <w:r>
        <w:rPr>
          <w:b/>
          <w:bCs/>
          <w:color w:val="1F3864"/>
          <w:sz w:val="32"/>
          <w:szCs w:val="32"/>
        </w:rPr>
        <w:t>Novantek</w:t>
      </w:r>
      <w:proofErr w:type="spellEnd"/>
      <w:r>
        <w:rPr>
          <w:b/>
          <w:bCs/>
          <w:color w:val="1F3864"/>
          <w:sz w:val="32"/>
          <w:szCs w:val="32"/>
        </w:rPr>
        <w:t xml:space="preserve"> Global — Password Policy Compliance</w:t>
      </w:r>
    </w:p>
    <w:p w14:paraId="0D5F68BB" w14:textId="77777777" w:rsidR="00250BE6" w:rsidRDefault="00724BFF">
      <w:pPr>
        <w:spacing w:after="40"/>
      </w:pPr>
      <w:r>
        <w:rPr>
          <w:i/>
          <w:iCs/>
          <w:color w:val="595959"/>
          <w:sz w:val="18"/>
          <w:szCs w:val="18"/>
        </w:rPr>
        <w:t xml:space="preserve">Executive Decision </w:t>
      </w:r>
      <w:proofErr w:type="gramStart"/>
      <w:r>
        <w:rPr>
          <w:i/>
          <w:iCs/>
          <w:color w:val="595959"/>
          <w:sz w:val="18"/>
          <w:szCs w:val="18"/>
        </w:rPr>
        <w:t>Brief  |</w:t>
      </w:r>
      <w:proofErr w:type="gramEnd"/>
      <w:r>
        <w:rPr>
          <w:i/>
          <w:iCs/>
          <w:color w:val="595959"/>
          <w:sz w:val="18"/>
          <w:szCs w:val="18"/>
        </w:rPr>
        <w:t xml:space="preserve">  Prepared for Global IT Governance Committee  |  Q2 2026</w:t>
      </w:r>
    </w:p>
    <w:p w14:paraId="204184EF" w14:textId="77777777" w:rsidR="00250BE6" w:rsidRDefault="00250BE6">
      <w:pPr>
        <w:pBdr>
          <w:bottom w:val="single" w:sz="6" w:space="6" w:color="1F3864"/>
        </w:pBdr>
        <w:spacing w:after="200"/>
      </w:pPr>
    </w:p>
    <w:p w14:paraId="0C9584BE" w14:textId="77777777" w:rsidR="00250BE6" w:rsidRDefault="00724BFF">
      <w:pPr>
        <w:pStyle w:val="Heading1"/>
        <w:spacing w:before="200" w:after="120"/>
      </w:pPr>
      <w:r>
        <w:rPr>
          <w:b/>
          <w:bCs/>
          <w:color w:val="1F3864"/>
          <w:sz w:val="26"/>
          <w:szCs w:val="26"/>
        </w:rPr>
        <w:t>The Situation</w:t>
      </w:r>
    </w:p>
    <w:p w14:paraId="5F121E2D" w14:textId="77777777" w:rsidR="00250BE6" w:rsidRDefault="00724BFF">
      <w:pPr>
        <w:spacing w:after="100"/>
      </w:pPr>
      <w:proofErr w:type="spellStart"/>
      <w:r>
        <w:t>Novantek</w:t>
      </w:r>
      <w:proofErr w:type="spellEnd"/>
      <w:r>
        <w:t xml:space="preserve"> Global runs a single password policy across all regions. When tested against the actual security and privacy frameworks each region operates under, that one-size-fits-all policy fails in three of four regions — while in one case, it is stricter th</w:t>
      </w:r>
      <w:r>
        <w:t>an current best practice and creating unnecessary user friction. This is not a tooling gap. It is a policy governance decision.</w:t>
      </w:r>
    </w:p>
    <w:p w14:paraId="551C842E" w14:textId="77777777" w:rsidR="00250BE6" w:rsidRDefault="00724BFF">
      <w:pPr>
        <w:spacing w:before="160" w:after="80"/>
      </w:pPr>
      <w:r>
        <w:rPr>
          <w:b/>
          <w:bCs/>
          <w:color w:val="1F3864"/>
          <w:sz w:val="22"/>
          <w:szCs w:val="22"/>
        </w:rPr>
        <w:t>At a Glance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7"/>
        <w:gridCol w:w="2557"/>
        <w:gridCol w:w="2558"/>
        <w:gridCol w:w="2558"/>
      </w:tblGrid>
      <w:tr w:rsidR="00250BE6" w14:paraId="1CB4582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07BEC3" w14:textId="77777777" w:rsidR="00250BE6" w:rsidRDefault="00724BFF">
            <w:pPr>
              <w:jc w:val="center"/>
            </w:pPr>
            <w:r>
              <w:rPr>
                <w:b/>
                <w:bCs/>
                <w:color w:val="C00000"/>
                <w:sz w:val="32"/>
                <w:szCs w:val="32"/>
              </w:rPr>
              <w:t>3 of 4</w:t>
            </w:r>
          </w:p>
          <w:p w14:paraId="3E2E27D1" w14:textId="77777777" w:rsidR="00250BE6" w:rsidRDefault="00724BFF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Regions Where Global Policy Fails</w:t>
            </w:r>
          </w:p>
        </w:tc>
        <w:tc>
          <w:tcPr>
            <w:tcW w:w="125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BA42C3" w14:textId="77777777" w:rsidR="00250BE6" w:rsidRDefault="00724BFF">
            <w:pPr>
              <w:jc w:val="center"/>
            </w:pPr>
            <w:r>
              <w:rPr>
                <w:b/>
                <w:bCs/>
                <w:color w:val="C00000"/>
                <w:sz w:val="32"/>
                <w:szCs w:val="32"/>
              </w:rPr>
              <w:t>7</w:t>
            </w:r>
          </w:p>
          <w:p w14:paraId="039FF169" w14:textId="77777777" w:rsidR="00250BE6" w:rsidRDefault="00724BFF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Open High-Risk Gaps (Baseline)</w:t>
            </w:r>
          </w:p>
        </w:tc>
        <w:tc>
          <w:tcPr>
            <w:tcW w:w="125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CEFF6" w14:textId="77777777" w:rsidR="00250BE6" w:rsidRDefault="00724BFF"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>$115K</w:t>
            </w:r>
          </w:p>
          <w:p w14:paraId="678E674A" w14:textId="77777777" w:rsidR="00250BE6" w:rsidRDefault="00724BFF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Est. Cost to Close All Gaps</w:t>
            </w:r>
          </w:p>
        </w:tc>
        <w:tc>
          <w:tcPr>
            <w:tcW w:w="1250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D6131" w14:textId="77777777" w:rsidR="00250BE6" w:rsidRDefault="00724BFF"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>20 of 28</w:t>
            </w:r>
          </w:p>
          <w:p w14:paraId="4B267070" w14:textId="77777777" w:rsidR="00250BE6" w:rsidRDefault="00724BFF"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>Gaps Closed After Q2 Remediation</w:t>
            </w:r>
          </w:p>
        </w:tc>
      </w:tr>
    </w:tbl>
    <w:p w14:paraId="4DA66D04" w14:textId="77777777" w:rsidR="00250BE6" w:rsidRDefault="00724BFF">
      <w:pPr>
        <w:spacing w:before="160" w:after="80"/>
      </w:pPr>
      <w:r>
        <w:rPr>
          <w:b/>
          <w:bCs/>
          <w:color w:val="1F3864"/>
          <w:sz w:val="22"/>
          <w:szCs w:val="22"/>
        </w:rPr>
        <w:t>Where the Policy Stands, By Region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2762"/>
        <w:gridCol w:w="1535"/>
        <w:gridCol w:w="4092"/>
      </w:tblGrid>
      <w:tr w:rsidR="00250BE6" w14:paraId="7FB4130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09AC" w14:textId="77777777" w:rsidR="00250BE6" w:rsidRDefault="00724BFF"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13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CCF72" w14:textId="77777777" w:rsidR="00250BE6" w:rsidRDefault="00724BFF">
            <w:r>
              <w:rPr>
                <w:b/>
                <w:bCs/>
                <w:color w:val="FFFFFF"/>
                <w:sz w:val="18"/>
                <w:szCs w:val="18"/>
              </w:rPr>
              <w:t>Framework</w:t>
            </w:r>
          </w:p>
        </w:tc>
        <w:tc>
          <w:tcPr>
            <w:tcW w:w="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F1896" w14:textId="77777777" w:rsidR="00250BE6" w:rsidRDefault="00724BFF">
            <w:r>
              <w:rPr>
                <w:b/>
                <w:bCs/>
                <w:color w:val="FFFFFF"/>
                <w:sz w:val="18"/>
                <w:szCs w:val="18"/>
              </w:rPr>
              <w:t>Baseline Result</w:t>
            </w:r>
          </w:p>
        </w:tc>
        <w:tc>
          <w:tcPr>
            <w:tcW w:w="2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F19F7" w14:textId="77777777" w:rsidR="00250BE6" w:rsidRDefault="00724BFF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250BE6" w14:paraId="269638D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A44B7" w14:textId="77777777" w:rsidR="00250BE6" w:rsidRDefault="00724BFF">
            <w:r>
              <w:rPr>
                <w:b/>
                <w:bCs/>
                <w:sz w:val="18"/>
                <w:szCs w:val="18"/>
              </w:rPr>
              <w:t>Korea</w:t>
            </w:r>
          </w:p>
        </w:tc>
        <w:tc>
          <w:tcPr>
            <w:tcW w:w="13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AE63D" w14:textId="77777777" w:rsidR="00250BE6" w:rsidRDefault="00724BFF">
            <w:r>
              <w:rPr>
                <w:sz w:val="18"/>
                <w:szCs w:val="18"/>
              </w:rPr>
              <w:t>K-ISMS-P</w:t>
            </w:r>
          </w:p>
        </w:tc>
        <w:tc>
          <w:tcPr>
            <w:tcW w:w="7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F901F" w14:textId="77777777" w:rsidR="00250BE6" w:rsidRDefault="00724BFF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5 of 7 Fail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8C68F" w14:textId="77777777" w:rsidR="00250BE6" w:rsidRDefault="00724BFF">
            <w:r>
              <w:rPr>
                <w:sz w:val="18"/>
                <w:szCs w:val="18"/>
              </w:rPr>
              <w:t>Stricter length, complexity, history, lockout, and MFA requirements than the global policy provides.</w:t>
            </w:r>
          </w:p>
        </w:tc>
      </w:tr>
      <w:tr w:rsidR="00250BE6" w14:paraId="3425A3F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032C0" w14:textId="77777777" w:rsidR="00250BE6" w:rsidRDefault="00724BFF">
            <w:r>
              <w:rPr>
                <w:b/>
                <w:bCs/>
                <w:sz w:val="18"/>
                <w:szCs w:val="18"/>
              </w:rPr>
              <w:t>Europe</w:t>
            </w:r>
          </w:p>
        </w:tc>
        <w:tc>
          <w:tcPr>
            <w:tcW w:w="13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7DFFE" w14:textId="77777777" w:rsidR="00250BE6" w:rsidRDefault="00724BFF">
            <w:r>
              <w:rPr>
                <w:sz w:val="18"/>
                <w:szCs w:val="18"/>
              </w:rPr>
              <w:t>ISO 27001 / NIS2</w:t>
            </w:r>
          </w:p>
        </w:tc>
        <w:tc>
          <w:tcPr>
            <w:tcW w:w="7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F102" w14:textId="77777777" w:rsidR="00250BE6" w:rsidRDefault="00724BFF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3 of 7 Fail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2BC7C" w14:textId="77777777" w:rsidR="00250BE6" w:rsidRDefault="00724BFF">
            <w:r>
              <w:rPr>
                <w:sz w:val="18"/>
                <w:szCs w:val="18"/>
              </w:rPr>
              <w:t>MFA is legally required under NIS2 for in-scope entities; global policy leaves it optional.</w:t>
            </w:r>
          </w:p>
        </w:tc>
      </w:tr>
      <w:tr w:rsidR="00250BE6" w14:paraId="7896B3C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CFB6" w14:textId="77777777" w:rsidR="00250BE6" w:rsidRDefault="00724BFF">
            <w:r>
              <w:rPr>
                <w:b/>
                <w:bCs/>
                <w:sz w:val="18"/>
                <w:szCs w:val="18"/>
              </w:rPr>
              <w:t>United States</w:t>
            </w:r>
          </w:p>
        </w:tc>
        <w:tc>
          <w:tcPr>
            <w:tcW w:w="13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4D90" w14:textId="77777777" w:rsidR="00250BE6" w:rsidRDefault="00724BFF">
            <w:r>
              <w:rPr>
                <w:sz w:val="18"/>
                <w:szCs w:val="18"/>
              </w:rPr>
              <w:t>NIST 800-63B</w:t>
            </w:r>
          </w:p>
        </w:tc>
        <w:tc>
          <w:tcPr>
            <w:tcW w:w="7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C5BFE" w14:textId="77777777" w:rsidR="00250BE6" w:rsidRDefault="00724BFF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 of 7 Fail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C81D" w14:textId="77777777" w:rsidR="00250BE6" w:rsidRDefault="00724BFF">
            <w:r>
              <w:rPr>
                <w:sz w:val="18"/>
                <w:szCs w:val="18"/>
              </w:rPr>
              <w:t>MFA gap, plus the 90-day forced rotation actually contradicts current NIST guidance.</w:t>
            </w:r>
          </w:p>
        </w:tc>
      </w:tr>
      <w:tr w:rsidR="00250BE6" w14:paraId="7436574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C0926" w14:textId="77777777" w:rsidR="00250BE6" w:rsidRDefault="00724BFF">
            <w:r>
              <w:rPr>
                <w:b/>
                <w:bCs/>
                <w:sz w:val="18"/>
                <w:szCs w:val="18"/>
              </w:rPr>
              <w:t>Latin America</w:t>
            </w:r>
          </w:p>
        </w:tc>
        <w:tc>
          <w:tcPr>
            <w:tcW w:w="13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7DCA2" w14:textId="77777777" w:rsidR="00250BE6" w:rsidRDefault="00724BFF">
            <w:r>
              <w:rPr>
                <w:sz w:val="18"/>
                <w:szCs w:val="18"/>
              </w:rPr>
              <w:t>LGPD</w:t>
            </w:r>
          </w:p>
        </w:tc>
        <w:tc>
          <w:tcPr>
            <w:tcW w:w="750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806EB" w14:textId="77777777" w:rsidR="00250BE6" w:rsidRDefault="00724BFF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2 of 7 Fail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E5DEE" w14:textId="77777777" w:rsidR="00250BE6" w:rsidRDefault="00724BFF">
            <w:r>
              <w:rPr>
                <w:sz w:val="18"/>
                <w:szCs w:val="18"/>
              </w:rPr>
              <w:t>MFA and complexity gaps against LGPD's “appropriate measures” standard.</w:t>
            </w:r>
          </w:p>
        </w:tc>
      </w:tr>
    </w:tbl>
    <w:p w14:paraId="63BEA371" w14:textId="77777777" w:rsidR="00250BE6" w:rsidRDefault="00724BFF">
      <w:pPr>
        <w:pStyle w:val="Heading1"/>
        <w:spacing w:before="200" w:after="120"/>
      </w:pPr>
      <w:r>
        <w:rPr>
          <w:b/>
          <w:bCs/>
          <w:color w:val="1F3864"/>
          <w:sz w:val="26"/>
          <w:szCs w:val="26"/>
        </w:rPr>
        <w:t>The Decision</w:t>
      </w:r>
    </w:p>
    <w:p w14:paraId="23911ADE" w14:textId="77777777" w:rsidR="00250BE6" w:rsidRDefault="00724BFF">
      <w:pPr>
        <w:spacing w:after="100"/>
      </w:pPr>
      <w:r>
        <w:t>Two paths close the gap. Each has a real trade-off — this is a governance choice, not a technical fix:</w:t>
      </w:r>
    </w:p>
    <w:p w14:paraId="10C070F2" w14:textId="77777777" w:rsidR="00250BE6" w:rsidRDefault="00724BFF">
      <w:pPr>
        <w:pStyle w:val="ListParagraph"/>
        <w:numPr>
          <w:ilvl w:val="0"/>
          <w:numId w:val="1"/>
        </w:numPr>
        <w:spacing w:after="60"/>
      </w:pPr>
      <w:r>
        <w:t>Option A — One strict global baseline: Adopt the toughest regional requirement (Korea's) everywhere. Simplest to govern and audit. Higher upfront cost; some regions end up more tightly controlled than their own law requires.</w:t>
      </w:r>
    </w:p>
    <w:p w14:paraId="41B9B387" w14:textId="77777777" w:rsidR="00250BE6" w:rsidRDefault="00724BFF">
      <w:pPr>
        <w:pStyle w:val="ListParagraph"/>
        <w:numPr>
          <w:ilvl w:val="0"/>
          <w:numId w:val="1"/>
        </w:numPr>
        <w:spacing w:after="60"/>
      </w:pPr>
      <w:r>
        <w:t>Option B — Region-specific poli</w:t>
      </w:r>
      <w:r>
        <w:t>cies: Right-size each region to its own framework. Lower cost, less over-control, but more configurations for IT to maintain and audit going forward.</w:t>
      </w:r>
    </w:p>
    <w:p w14:paraId="0C29240D" w14:textId="77777777" w:rsidR="00250BE6" w:rsidRDefault="00724BFF">
      <w:pPr>
        <w:spacing w:after="100"/>
      </w:pPr>
      <w:r>
        <w:t>Recommendation: Close the shared, low-cost, low-risk items everywhere immediately (MFA enforcement, listed</w:t>
      </w:r>
      <w:r>
        <w:t xml:space="preserve"> at $115K/20 days total but the single highest-leverage fix across all four regions). Defer the region-specific tightening (Korea's length/complexity/history settings) to Option B, since a global standard sized to Korea's requirement is not necessary anywh</w:t>
      </w:r>
      <w:r>
        <w:t>ere else and would increase user friction in the US and EU without a compliance benefit.</w:t>
      </w:r>
    </w:p>
    <w:p w14:paraId="2158D0AE" w14:textId="77777777" w:rsidR="00250BE6" w:rsidRDefault="00724BFF">
      <w:pPr>
        <w:spacing w:before="160" w:after="80"/>
      </w:pPr>
      <w:r>
        <w:rPr>
          <w:b/>
          <w:bCs/>
          <w:color w:val="1F3864"/>
          <w:sz w:val="22"/>
          <w:szCs w:val="22"/>
        </w:rPr>
        <w:t>Progress Since Baseline (Q1 → Q2 2026)</w:t>
      </w:r>
    </w:p>
    <w:p w14:paraId="674A6166" w14:textId="77777777" w:rsidR="00250BE6" w:rsidRDefault="00724BFF">
      <w:pPr>
        <w:spacing w:after="100"/>
      </w:pPr>
      <w:r>
        <w:t>20 of 28 control tests moved from Fail/Partial to Pass after the MFA rollout and Korea-specific remediation. One item remains op</w:t>
      </w:r>
      <w:r>
        <w:t>en: removing the fixed 90-day rotation requirement in the US, currently pending change-control approval, targeted for Q3 2026.</w:t>
      </w:r>
    </w:p>
    <w:p w14:paraId="2B877D1E" w14:textId="77777777" w:rsidR="00250BE6" w:rsidRDefault="00724BFF">
      <w:pPr>
        <w:pBdr>
          <w:top w:val="single" w:sz="4" w:space="6" w:color="D9D9D9"/>
        </w:pBdr>
        <w:spacing w:before="300"/>
      </w:pPr>
      <w:r>
        <w:rPr>
          <w:i/>
          <w:iCs/>
          <w:color w:val="595959"/>
          <w:sz w:val="15"/>
          <w:szCs w:val="15"/>
        </w:rPr>
        <w:t xml:space="preserve">Note: </w:t>
      </w:r>
      <w:proofErr w:type="spellStart"/>
      <w:r>
        <w:rPr>
          <w:i/>
          <w:iCs/>
          <w:color w:val="595959"/>
          <w:sz w:val="15"/>
          <w:szCs w:val="15"/>
        </w:rPr>
        <w:t>Novantek</w:t>
      </w:r>
      <w:proofErr w:type="spellEnd"/>
      <w:r>
        <w:rPr>
          <w:i/>
          <w:iCs/>
          <w:color w:val="595959"/>
          <w:sz w:val="15"/>
          <w:szCs w:val="15"/>
        </w:rPr>
        <w:t xml:space="preserve"> Global is a fictional company built for portfolio demonstration. Regions, frameworks (K-ISMS-P, ISO/IEC 27001, NIS2, NIST SP 800-63B, LGPD), and their general public requirements are real; test results, costs, and dates are illustrative.</w:t>
      </w:r>
    </w:p>
    <w:sectPr w:rsidR="00250BE6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9B01A6"/>
    <w:multiLevelType w:val="hybridMultilevel"/>
    <w:tmpl w:val="EB42D026"/>
    <w:lvl w:ilvl="0" w:tplc="DB4448A8">
      <w:start w:val="1"/>
      <w:numFmt w:val="bullet"/>
      <w:lvlText w:val="●"/>
      <w:lvlJc w:val="left"/>
      <w:pPr>
        <w:ind w:left="720" w:hanging="360"/>
      </w:pPr>
    </w:lvl>
    <w:lvl w:ilvl="1" w:tplc="A16C4688">
      <w:start w:val="1"/>
      <w:numFmt w:val="bullet"/>
      <w:lvlText w:val="○"/>
      <w:lvlJc w:val="left"/>
      <w:pPr>
        <w:ind w:left="1440" w:hanging="360"/>
      </w:pPr>
    </w:lvl>
    <w:lvl w:ilvl="2" w:tplc="331894E8">
      <w:start w:val="1"/>
      <w:numFmt w:val="bullet"/>
      <w:lvlText w:val="■"/>
      <w:lvlJc w:val="left"/>
      <w:pPr>
        <w:ind w:left="2160" w:hanging="360"/>
      </w:pPr>
    </w:lvl>
    <w:lvl w:ilvl="3" w:tplc="1F1E3D02">
      <w:start w:val="1"/>
      <w:numFmt w:val="bullet"/>
      <w:lvlText w:val="●"/>
      <w:lvlJc w:val="left"/>
      <w:pPr>
        <w:ind w:left="2880" w:hanging="360"/>
      </w:pPr>
    </w:lvl>
    <w:lvl w:ilvl="4" w:tplc="E828D5EE">
      <w:start w:val="1"/>
      <w:numFmt w:val="bullet"/>
      <w:lvlText w:val="○"/>
      <w:lvlJc w:val="left"/>
      <w:pPr>
        <w:ind w:left="3600" w:hanging="360"/>
      </w:pPr>
    </w:lvl>
    <w:lvl w:ilvl="5" w:tplc="9F04CCC8">
      <w:start w:val="1"/>
      <w:numFmt w:val="bullet"/>
      <w:lvlText w:val="■"/>
      <w:lvlJc w:val="left"/>
      <w:pPr>
        <w:ind w:left="4320" w:hanging="360"/>
      </w:pPr>
    </w:lvl>
    <w:lvl w:ilvl="6" w:tplc="B9C8C55A">
      <w:start w:val="1"/>
      <w:numFmt w:val="bullet"/>
      <w:lvlText w:val="●"/>
      <w:lvlJc w:val="left"/>
      <w:pPr>
        <w:ind w:left="5040" w:hanging="360"/>
      </w:pPr>
    </w:lvl>
    <w:lvl w:ilvl="7" w:tplc="8A9A9CE0">
      <w:start w:val="1"/>
      <w:numFmt w:val="bullet"/>
      <w:lvlText w:val="●"/>
      <w:lvlJc w:val="left"/>
      <w:pPr>
        <w:ind w:left="5760" w:hanging="360"/>
      </w:pPr>
    </w:lvl>
    <w:lvl w:ilvl="8" w:tplc="CF0EFB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BE6"/>
    <w:rsid w:val="00250BE6"/>
    <w:rsid w:val="0072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3A08"/>
  <w15:docId w15:val="{02A371D7-6B0F-4F32-8345-6B8AA288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Evaelyn Carrion Reyes</cp:lastModifiedBy>
  <cp:revision>2</cp:revision>
  <dcterms:created xsi:type="dcterms:W3CDTF">2026-08-19T06:48:00Z</dcterms:created>
  <dcterms:modified xsi:type="dcterms:W3CDTF">2026-08-19T06:48:00Z</dcterms:modified>
</cp:coreProperties>
</file>