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980000" cy="68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us_logo_master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8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/>
      </w:pPr>
    </w:p>
    <w:p>
      <w:r>
        <w:rPr>
          <w:rFonts w:ascii="Fagun Black" w:hAnsi="Fagun Black" w:eastAsia="Fagun Black" w:cs="Fagun Black"/>
          <w:b/>
          <w:i w:val="0"/>
          <w:color w:val="410F37"/>
          <w:sz w:val="52"/>
        </w:rPr>
        <w:t>Forecast Report — October 2026 to June 2027</w:t>
      </w:r>
    </w:p>
    <w:p>
      <w:r>
        <w:rPr>
          <w:rFonts w:ascii="Fagun" w:hAnsi="Fagun" w:eastAsia="Fagun" w:cs="Fagun"/>
          <w:b w:val="0"/>
          <w:i w:val="0"/>
          <w:color w:val="410F37"/>
          <w:sz w:val="26"/>
        </w:rPr>
        <w:t>2026 full-year outturn and nine-month cash forecast</w:t>
      </w:r>
    </w:p>
    <w:p>
      <w:pPr>
        <w:spacing w:after="480"/>
      </w:pPr>
    </w:p>
    <w:p>
      <w:pPr>
        <w:pBdr>
          <w:bottom w:val="single" w:sz="12" w:color="410F37"/>
        </w:pBdr>
      </w:pP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</w:rPr>
        <w:t xml:space="preserve">Board meeting  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29 October 2026 (virtual)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</w:rPr>
        <w:t xml:space="preserve">Opening position  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Xero 30 September 2026; cash checked live 12 October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</w:rPr>
        <w:t xml:space="preserve">Prepared by  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Stacy McGill, Finance Manager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</w:rPr>
        <w:t xml:space="preserve">Currency  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USD; GBP and EUR converted at Xero rates of late Sep / early Oct 2026</w:t>
      </w:r>
    </w:p>
    <w:p>
      <w:pPr>
        <w:spacing w:after="40"/>
      </w:pPr>
      <w:r>
        <w:rPr>
          <w:rFonts w:ascii="Fagun ExtraBold" w:hAnsi="Fagun ExtraBold" w:eastAsia="Fagun ExtraBold" w:cs="Fagun ExtraBold"/>
          <w:b/>
          <w:i w:val="0"/>
          <w:color w:val="410F37"/>
          <w:sz w:val="18"/>
        </w:rPr>
        <w:t xml:space="preserve">Companion paper  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Board Finance Report, Q3 2026</w:t>
      </w:r>
    </w:p>
    <w:p>
      <w:r>
        <w:br w:type="page"/>
      </w: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1. Headline</w:t>
      </w:r>
    </w:p>
    <w:p>
      <w:pPr>
        <w:spacing w:after="80"/>
      </w:pPr>
      <w:r>
        <w:rPr>
          <w:rFonts w:ascii="Fagun" w:hAnsi="Fagun" w:eastAsia="Fagun" w:cs="Fagun"/>
          <w:b/>
          <w:i w:val="0"/>
          <w:color w:val="410F37"/>
          <w:sz w:val="20"/>
        </w:rPr>
        <w:t>The 2026 deficit comes from income timing and SDC co-funding, not overspending.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Core (OSF) activity runs a surplus of about USD 30,431. Even so, </w:t>
      </w:r>
      <w:r>
        <w:rPr>
          <w:rFonts w:ascii="Fagun" w:hAnsi="Fagun" w:eastAsia="Fagun" w:cs="Fagun"/>
          <w:b/>
          <w:i w:val="0"/>
          <w:color w:val="410F37"/>
          <w:sz w:val="20"/>
        </w:rPr>
        <w:t>cash runs short twice before the OSF Year-3 tranche arrives in January 2027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>: at the 28 October payment run, and in December.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2026 outturn (central):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expenditure USD 509,568, which is 4.3% over the working budget (USD 488,450) and 19% under the board-approved budget (USD 631,450). Income USD 468,581. Reported deficit USD 40,987.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What drives the deficit: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SDC co-funding USD 45,660; grant income earned in 2026 but claimable only in 2027, USD 33,614. These are partly offset by the core surplus.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Cash, central case: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USD (6,101) at end-October, USD 13,202 at end-November (after the FCDO claim), USD (21,230) at end-December, then USD 269,219 at end-January once OSF pays.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Even with a complete spending freeze, cash is short: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USD (1,101) in October and USD (6,230) in December. Cutting costs alone cannot fix this; the receipts have to come earlier.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What fixes it: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OSF releasing the January tranche in December (it paid in December in 2024) </w:t>
      </w:r>
      <w:r>
        <w:rPr>
          <w:rFonts w:ascii="Fagun" w:hAnsi="Fagun" w:eastAsia="Fagun" w:cs="Fagun"/>
          <w:b/>
          <w:i w:val="0"/>
          <w:color w:val="410F37"/>
          <w:sz w:val="20"/>
        </w:rPr>
        <w:t>or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Stimson paying the FCDO claim on receipt and Swiss tranche 2 in December, together with a freeze on discretionary spending.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96FF14"/>
          </w:tcPr>
          <w:p>
            <w:r/>
            <w:r>
              <w:rPr>
                <w:rFonts w:ascii="Fagun ExtraBold" w:hAnsi="Fagun ExtraBold" w:eastAsia="Fagun ExtraBold" w:cs="Fagun ExtraBold"/>
                <w:b/>
                <w:i w:val="0"/>
                <w:color w:val="410F37"/>
                <w:sz w:val="22"/>
              </w:rPr>
              <w:t>Decisions needed (D2–D4 in the Board Finance Report)</w:t>
            </w:r>
          </w:p>
          <w:p>
            <w:pPr>
              <w:spacing w:after="40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19"/>
              </w:rPr>
              <w:t>Freeze</w:t>
            </w:r>
            <w:r>
              <w:rPr>
                <w:rFonts w:ascii="Fagun" w:hAnsi="Fagun" w:eastAsia="Fagun" w:cs="Fagun"/>
                <w:b w:val="0"/>
                <w:i w:val="0"/>
                <w:color w:val="410F37"/>
                <w:sz w:val="19"/>
              </w:rPr>
              <w:t xml:space="preserve"> discretionary spending (travel, meetings, partner grants, new consultancy) until the OSF tranche is received. FCDO-reimbursable activity is exempt.</w:t>
            </w:r>
          </w:p>
          <w:p>
            <w:pPr>
              <w:spacing w:after="40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19"/>
              </w:rPr>
              <w:t>Authorise the ED</w:t>
            </w:r>
            <w:r>
              <w:rPr>
                <w:rFonts w:ascii="Fagun" w:hAnsi="Fagun" w:eastAsia="Fagun" w:cs="Fagun"/>
                <w:b w:val="0"/>
                <w:i w:val="0"/>
                <w:color w:val="410F37"/>
                <w:sz w:val="19"/>
              </w:rPr>
              <w:t xml:space="preserve"> to ask OSF in writing to release the Year-3 tranche in early December 2026, and to ask Stimson to pay FCDO claim 1 on receipt and Swiss Myanmar tranche 2 in December.</w:t>
            </w:r>
          </w:p>
          <w:p>
            <w:pPr>
              <w:spacing w:after="40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19"/>
              </w:rPr>
              <w:t>Agree a payment order for the 28 October run</w:t>
            </w:r>
            <w:r>
              <w:rPr>
                <w:rFonts w:ascii="Fagun" w:hAnsi="Fagun" w:eastAsia="Fagun" w:cs="Fagun"/>
                <w:b w:val="0"/>
                <w:i w:val="0"/>
                <w:color w:val="410F37"/>
                <w:sz w:val="19"/>
              </w:rPr>
              <w:t xml:space="preserve"> if the shortfall is not covered by then. Proposed: the Chair's stipend and other non-staff bills are deferred to November.</w:t>
            </w:r>
          </w:p>
          <w:p>
            <w:pPr>
              <w:spacing w:after="40"/>
            </w:pPr>
            <w:r>
              <w:rPr>
                <w:rFonts w:ascii="Fagun" w:hAnsi="Fagun" w:eastAsia="Fagun" w:cs="Fagun"/>
                <w:b/>
                <w:i w:val="0"/>
                <w:color w:val="410F37"/>
                <w:sz w:val="19"/>
              </w:rPr>
              <w:t>Mandate the ED and Chair to arrange a standby bridge of up to USD 75,000</w:t>
            </w:r>
            <w:r>
              <w:rPr>
                <w:rFonts w:ascii="Fagun" w:hAnsi="Fagun" w:eastAsia="Fagun" w:cs="Fagun"/>
                <w:b w:val="0"/>
                <w:i w:val="0"/>
                <w:color w:val="410F37"/>
                <w:sz w:val="19"/>
              </w:rPr>
              <w:t xml:space="preserve"> (enough to cover the FCDO claim slipping to January). Use it only if neither OSF nor Stimson confirms by 20 November.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2. 2026 full-year outturn</w:t>
      </w:r>
    </w:p>
    <w:p>
      <w:pPr>
        <w:spacing w:after="80"/>
      </w:pPr>
      <w:r>
        <w:rPr>
          <w:rFonts w:ascii="Fagun" w:hAnsi="Fagun" w:eastAsia="Fagun" w:cs="Fagun"/>
          <w:b w:val="0"/>
          <w:i/>
          <w:color w:val="410F37"/>
          <w:sz w:val="17"/>
        </w:rPr>
        <w:t>Accrual basis, central case. Q4 is built from committed costs (repeating invoice templates, approved bills, the Communications Advisor's monthly invoice) plus USD 5,000 a month of programme and travel spending.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3175"/>
        <w:gridCol w:w="1304"/>
        <w:gridCol w:w="1190"/>
        <w:gridCol w:w="1360"/>
        <w:gridCol w:w="1247"/>
        <w:gridCol w:w="1247"/>
      </w:tblGrid>
      <w:tr>
        <w:tc>
          <w:tcPr>
            <w:tcW w:type="dxa" w:w="3175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USD</w:t>
            </w:r>
          </w:p>
        </w:tc>
        <w:tc>
          <w:tcPr>
            <w:tcW w:type="dxa" w:w="1304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Actual YTD (9 mo)</w:t>
            </w:r>
          </w:p>
        </w:tc>
        <w:tc>
          <w:tcPr>
            <w:tcW w:type="dxa" w:w="1191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Forecast Q4</w:t>
            </w:r>
          </w:p>
        </w:tc>
        <w:tc>
          <w:tcPr>
            <w:tcW w:type="dxa" w:w="1361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Forecast FY 2026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Working budget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Board budget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Income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415,681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52,900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468,581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488,450†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631,450†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Expenditure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401,897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107,671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509,568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488,450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631,450</w:t>
            </w:r>
          </w:p>
        </w:tc>
      </w:tr>
      <w:tr>
        <w:tc>
          <w:tcPr>
            <w:tcW w:type="dxa" w:w="3175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Net surplus / (deficit)</w:t>
            </w:r>
          </w:p>
        </w:tc>
        <w:tc>
          <w:tcPr>
            <w:tcW w:type="dxa" w:w="1304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13,783</w:t>
            </w:r>
          </w:p>
        </w:tc>
        <w:tc>
          <w:tcPr>
            <w:tcW w:type="dxa" w:w="1191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(54,771)</w:t>
            </w:r>
          </w:p>
        </w:tc>
        <w:tc>
          <w:tcPr>
            <w:tcW w:type="dxa" w:w="1361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E12D64"/>
                <w:sz w:val="17"/>
              </w:rPr>
              <w:t>(40,987)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–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–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Net assets at year-end (Xero basis)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7"/>
              </w:rPr>
              <w:t>(17,194)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Add: earned grant income to accrue (FCDO II Nov–Dec, Swiss Myanmar)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33,614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</w:r>
          </w:p>
        </w:tc>
      </w:tr>
      <w:tr>
        <w:tc>
          <w:tcPr>
            <w:tcW w:type="dxa" w:w="3175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Adjusted net assets at 31 Dec 2026</w:t>
            </w:r>
          </w:p>
        </w:tc>
        <w:tc>
          <w:tcPr>
            <w:tcW w:type="dxa" w:w="1304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</w:r>
          </w:p>
        </w:tc>
        <w:tc>
          <w:tcPr>
            <w:tcW w:type="dxa" w:w="1191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</w:r>
          </w:p>
        </w:tc>
        <w:tc>
          <w:tcPr>
            <w:tcW w:type="dxa" w:w="1361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16,420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</w:r>
          </w:p>
        </w:tc>
      </w:tr>
    </w:tbl>
    <w:p>
      <w:pPr>
        <w:spacing w:after="120"/>
      </w:pPr>
      <w:r>
        <w:rPr>
          <w:rFonts w:ascii="Fagun" w:hAnsi="Fagun" w:eastAsia="Fagun" w:cs="Fagun"/>
          <w:b w:val="0"/>
          <w:i/>
          <w:color w:val="410F37"/>
          <w:sz w:val="16"/>
        </w:rPr>
        <w:t>† Both budgets were set as balanced plans: the funding columns equal planned spend. Income includes FCDO Phase II claim 1 (Jun–Oct, about USD 52,800) on the basis that it is invoiced in October.</w:t>
      </w:r>
    </w:p>
    <w:p>
      <w:pPr>
        <w:spacing w:before="160" w:after="40"/>
      </w:pPr>
      <w:r>
        <w:rPr>
          <w:rFonts w:ascii="Fagun Bold" w:hAnsi="Fagun Bold" w:eastAsia="Fagun Bold" w:cs="Fagun Bold"/>
          <w:b/>
          <w:i w:val="0"/>
          <w:color w:val="410F37"/>
          <w:sz w:val="24"/>
        </w:rPr>
        <w:t>Where the deficit comes from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7654"/>
        <w:gridCol w:w="1871"/>
      </w:tblGrid>
      <w:tr>
        <w:tc>
          <w:tcPr>
            <w:tcW w:type="dxa" w:w="7654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Driver</w:t>
            </w:r>
          </w:p>
        </w:tc>
        <w:tc>
          <w:tcPr>
            <w:tcW w:type="dxa" w:w="1871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7"/>
              </w:rPr>
              <w:t>USD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SDC final-year co-funding (Art. 1.2 — FDFA covers max 50%)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(45,660)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Restricted timing — spent in 2026, claimable in 2027 (FCDO II Nov–Dec + Swiss Myanmar)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(33,614)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FCDO Phase I — 2026 receipts covering 2025 spend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8,133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FCDO Phase II Jun–Oct — claim matched to spend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–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Core (OSF #4 + interest) — income less core spend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30,431</w:t>
            </w:r>
          </w:p>
        </w:tc>
      </w:tr>
      <w:tr>
        <w:tc>
          <w:tcPr>
            <w:tcW w:type="dxa" w:w="765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FX revaluation and legacy codes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7"/>
              </w:rPr>
              <w:t>(277)</w:t>
            </w:r>
          </w:p>
        </w:tc>
      </w:tr>
      <w:tr>
        <w:tc>
          <w:tcPr>
            <w:tcW w:type="dxa" w:w="7654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Reported 2026 deficit (central)</w:t>
            </w:r>
          </w:p>
        </w:tc>
        <w:tc>
          <w:tcPr>
            <w:tcW w:type="dxa" w:w="1871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7"/>
              </w:rPr>
              <w:t>(40,987)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SDC co-funding is a one-off.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SDC closed on 30 April and is fully drawn, so this does not recur in 2027.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The timing items reverse in 2027.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FCDO Phase II Nov–Dec costs are claimed in the April 2027 report, and the Swiss Myanmar costs are covered by tranches 2 and 3.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Core is in surplus.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OSF-funded spending of about USD 271,268 is below the USD 286,635 working-budget allocation and inside the USD 300,000 tranche.</w:t>
      </w:r>
    </w:p>
    <w:p>
      <w:pPr>
        <w:spacing w:before="160" w:after="40"/>
      </w:pPr>
      <w:r>
        <w:rPr>
          <w:rFonts w:ascii="Fagun Bold" w:hAnsi="Fagun Bold" w:eastAsia="Fagun Bold" w:cs="Fagun Bold"/>
          <w:b/>
          <w:i w:val="0"/>
          <w:color w:val="410F37"/>
          <w:sz w:val="24"/>
        </w:rPr>
        <w:t>Expenditure by budget line — full-year forecast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3288"/>
        <w:gridCol w:w="1247"/>
        <w:gridCol w:w="1247"/>
        <w:gridCol w:w="1247"/>
        <w:gridCol w:w="1247"/>
        <w:gridCol w:w="1247"/>
      </w:tblGrid>
      <w:tr>
        <w:tc>
          <w:tcPr>
            <w:tcW w:type="dxa" w:w="3288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Budget line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Working budget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Board budget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Actual YTD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Forecast FY</w:t>
            </w:r>
          </w:p>
        </w:tc>
        <w:tc>
          <w:tcPr>
            <w:tcW w:type="dxa" w:w="124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4"/>
              </w:rPr>
              <w:t>FY vs working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Executive Director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170,400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170,400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127,800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170,400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COLA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21,600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21,600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16,931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22,499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899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Senior Legal Advisor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120,000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Programme Manager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44,500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2,500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Project Manager (Rohingya Manager)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31,250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31,250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22,500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30,000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(1,250)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Communications Advisor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64,800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64,800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48,462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64,612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(188)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Communication Support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14,400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14,400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11,867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13,815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(585)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Finance Manager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18,000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(2,000)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Operations Support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18,000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18,000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6,267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7,195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(10,805)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Vehicle Hire &amp; Sundry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2,286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2,886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(3,114)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Volunteer Stipends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12,334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12,334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334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Partner Expenses (Azadi)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30,000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30,000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18,000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(12,000)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Lawyer Fees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12,000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4,363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4,363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(7,637)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Audit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2,822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2,822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(178)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Board Meetings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8,936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8,936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4,936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Technology &amp; Software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5,469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6,527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1,527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Travel Expenses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25,000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36,000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39,178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47,578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22,578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Fees (bank)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5,000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511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678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(4,322)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Unbudgeted — Confidence Building Measures (FCDO I funded)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14,598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14,598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14,598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Unbudgeted — Meeting Expenses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8,930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10,930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10,930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Unbudgeted — Project Consultants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2,294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4,545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4"/>
              </w:rPr>
              <w:t>4,545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Unbudgeted — Depreciation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114</w:t>
            </w:r>
          </w:p>
        </w:tc>
      </w:tr>
      <w:tr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FX revaluation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–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4"/>
              </w:rPr>
              <w:t>235</w:t>
            </w:r>
          </w:p>
        </w:tc>
      </w:tr>
      <w:tr>
        <w:tc>
          <w:tcPr>
            <w:tcW w:type="dxa" w:w="3288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Total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488,450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631,450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401,897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509,568</w:t>
            </w:r>
          </w:p>
        </w:tc>
        <w:tc>
          <w:tcPr>
            <w:tcW w:type="dxa" w:w="1247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4"/>
              </w:rPr>
              <w:t>21,118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3. Cash forecast — October 2026 to June 2027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Fagun" w:hAnsi="Fagun" w:eastAsia="Fagun" w:cs="Fagun"/>
          <w:b w:val="0"/>
          <w:i/>
          <w:color w:val="410F37"/>
          <w:sz w:val="17"/>
        </w:rPr>
        <w:t>Month-end closing cash, USD. Central case below. Every column is one month of cash in and cash out.</w:t>
      </w:r>
    </w:p>
    <w:tbl>
      <w:tblPr>
        <w:tblW w:type="dxa" w:w="9650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2608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2608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USD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Oct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Nov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Dec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Jan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Feb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Mar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Apr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May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Jun 27</w:t>
            </w:r>
          </w:p>
        </w:tc>
      </w:tr>
      <w:tr>
        <w:tc>
          <w:tcPr>
            <w:tcW w:type="dxa" w:w="2608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Opening cash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33,679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(6,101)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13,202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(21,230)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175,230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Executive Director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14,200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Communication Advisor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5,383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Advocate / Programme Manager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3,500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Rohingya Manager (cash)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2,435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2,500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Cost of Living Allowance (GBP 1,400)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1,856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Finance Manager (SK Das)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1,000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Communication Support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649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IT &amp; software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353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Bank charges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56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One-off committed bills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5,283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Programme &amp; travel (central)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5,000</w:t>
            </w:r>
          </w:p>
        </w:tc>
      </w:tr>
      <w:tr>
        <w:tc>
          <w:tcPr>
            <w:tcW w:type="dxa" w:w="2608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Total cash out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39,780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33,497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34,432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34,497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34,497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34,497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37,497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34,497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31,997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FCDO Phase II claim Jun–Oct 2026 (Schedule 2, ind. Nov 2026)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52,800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OSF #4 Year-3 tranche (contract: January 2027)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300,000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Swiss Myanmar tranche 2 (§3.3: 31 Jan 2027)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24,947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FCDO Phase II final claim Nov 26–Mar 27 (ind. May 2027)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47,000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Swiss Myanmar tranche 3 (§3.3: 30 Jun 2027)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–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24,947</w:t>
            </w:r>
          </w:p>
        </w:tc>
      </w:tr>
      <w:tr>
        <w:tc>
          <w:tcPr>
            <w:tcW w:type="dxa" w:w="2608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Closing cash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E12D64"/>
                <w:sz w:val="12"/>
              </w:rPr>
              <w:t>(6,101)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13,202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E12D64"/>
                <w:sz w:val="12"/>
              </w:rPr>
              <w:t>(21,230)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175,230</w:t>
            </w:r>
          </w:p>
        </w:tc>
        <w:tc>
          <w:tcPr>
            <w:tcW w:type="dxa" w:w="782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2"/>
              </w:rPr>
              <w:t>168,180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Fagun Bold" w:hAnsi="Fagun Bold" w:eastAsia="Fagun Bold" w:cs="Fagun Bold"/>
          <w:b/>
          <w:i w:val="0"/>
          <w:color w:val="410F37"/>
          <w:sz w:val="24"/>
        </w:rPr>
        <w:t>Scenarios — month-end closing cash (USD)</w:t>
      </w:r>
    </w:p>
    <w:tbl>
      <w:tblPr>
        <w:tblW w:type="dxa" w:w="9650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2608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2608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Scenario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Oct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Nov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Dec 26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Jan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Feb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Mar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Apr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May 27</w:t>
            </w:r>
          </w:p>
        </w:tc>
        <w:tc>
          <w:tcPr>
            <w:tcW w:type="dxa" w:w="782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2"/>
              </w:rPr>
              <w:t>Jun 27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A. Central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(6,101)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13,202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(21,230)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175,230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168,180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B. Freeze (committed only)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(1,101)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23,202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(6,230)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289,219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259,722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230,225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197,728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215,230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213,180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C. Q3 run-rate continues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(11,737)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1,930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(38,138)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246,675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206,542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166,409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123,276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130,142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117,456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D. Central, FCDO claim slips to Jan 27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(6,101)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(39,598)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(74,030)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175,230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168,180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E. Central + OSF released early Dec 26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(6,101)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13,202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278,770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175,230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168,180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F. Central + Swiss T2 pulled to Dec 26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E12D64"/>
                <w:sz w:val="12"/>
              </w:rPr>
              <w:t>(6,101)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13,202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3,717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269,219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234,722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200,225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162,728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175,230</w:t>
            </w:r>
          </w:p>
        </w:tc>
        <w:tc>
          <w:tcPr>
            <w:tcW w:type="dxa" w:w="782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2"/>
              </w:rPr>
              <w:t>168,180</w:t>
            </w:r>
          </w:p>
        </w:tc>
      </w:tr>
    </w:tbl>
    <w:p>
      <w:pPr>
        <w:spacing w:after="120"/>
      </w:pPr>
      <w:r>
        <w:rPr>
          <w:rFonts w:ascii="Fagun" w:hAnsi="Fagun" w:eastAsia="Fagun" w:cs="Fagun"/>
          <w:b w:val="0"/>
          <w:i/>
          <w:color w:val="410F37"/>
          <w:sz w:val="16"/>
        </w:rPr>
        <w:t>A: USD 5,000/month programme and travel. B: committed costs only. C: Q3's average variable spend continues (USD 10,636/month). D: as A, but FCDO claim 1 slips to January. E: as A, with OSF paying in early December. F: as A, with Swiss Myanmar tranche 2 pulled into December.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Every scenario is short in October.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This is the 28 October payment run; no scenario brings receipts in before it.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December is short unless one receipt moves earlier.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Freeze + Swiss tranche 2 in December closes at about USD 18,717; OSF in December closes at about USD 278,770.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If the FCDO claim slips to January, the low point is USD (74,030) at end-December.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That is why the standby bridge is sized at USD 75,000.</w:t>
      </w:r>
    </w:p>
    <w:p>
      <w:pPr>
        <w:pStyle w:val="ListBullet"/>
        <w:spacing w:after="40"/>
      </w:pPr>
      <w:r>
        <w:rPr>
          <w:rFonts w:ascii="Fagun" w:hAnsi="Fagun" w:eastAsia="Fagun" w:cs="Fagun"/>
          <w:b/>
          <w:i w:val="0"/>
          <w:color w:val="410F37"/>
          <w:sz w:val="20"/>
        </w:rPr>
        <w:t>After January, cash recovers to about USD 269,219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and stays above three months of the floor through June 2027 in cases A and B. In case C it falls to about USD 117,456 by June, which is the warning for the 2027 budget.</w:t>
      </w: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4. The October pinch point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6520"/>
        <w:gridCol w:w="1360"/>
        <w:gridCol w:w="1644"/>
      </w:tblGrid>
      <w:tr>
        <w:tc>
          <w:tcPr>
            <w:tcW w:type="dxa" w:w="6520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6"/>
              </w:rPr>
              <w:t>Item</w:t>
            </w:r>
          </w:p>
        </w:tc>
        <w:tc>
          <w:tcPr>
            <w:tcW w:type="dxa" w:w="1361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6"/>
              </w:rPr>
              <w:t>Date</w:t>
            </w:r>
          </w:p>
        </w:tc>
        <w:tc>
          <w:tcPr>
            <w:tcW w:type="dxa" w:w="1644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6"/>
              </w:rPr>
              <w:t>USD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Cash at 12 October (Wise USD 2,456 + EUR 28,872)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12 Oct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31,329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Chair stipend Q3 — EUR 2,000 (awaiting approval)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due 15 Oct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(2,251)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Free Thought Ltd — GBP 700, speech support (awaiting approval)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due 15 Oct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(928)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Payment run: ED 14,200; Comms Advisor ~5,383; Programme Mgr 3,500; Finance Mgr 2,000; COLA GBP 1,400; Rohingya Mgr 1,500 (net of advance); comms support, IT, bank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25 → 28 Oct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6"/>
              </w:rPr>
              <w:t>(29,497)</w:t>
            </w:r>
          </w:p>
        </w:tc>
      </w:tr>
      <w:tr>
        <w:tc>
          <w:tcPr>
            <w:tcW w:type="dxa" w:w="6520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6"/>
              </w:rPr>
              <w:t>Position after the run, before any programme or travel spend</w:t>
            </w:r>
          </w:p>
        </w:tc>
        <w:tc>
          <w:tcPr>
            <w:tcW w:type="dxa" w:w="1361"/>
            <w:shd w:val="clear" w:color="auto" w:fill="EFE8EE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410F37"/>
                <w:sz w:val="16"/>
              </w:rPr>
              <w:t>28 Oct</w:t>
            </w:r>
          </w:p>
        </w:tc>
        <w:tc>
          <w:tcPr>
            <w:tcW w:type="dxa" w:w="1644"/>
            <w:shd w:val="clear" w:color="auto" w:fill="EFE8EE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E12D64"/>
                <w:sz w:val="16"/>
              </w:rPr>
              <w:t>(1,347)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Fagun" w:hAnsi="Fagun" w:eastAsia="Fagun" w:cs="Fagun"/>
          <w:b/>
          <w:i w:val="0"/>
          <w:color w:val="410F37"/>
          <w:sz w:val="20"/>
        </w:rPr>
        <w:t>Options before 28 October, in order of preference:</w:t>
      </w:r>
      <w:r>
        <w:rPr>
          <w:rFonts w:ascii="Fagun" w:hAnsi="Fagun" w:eastAsia="Fagun" w:cs="Fagun"/>
          <w:b w:val="0"/>
          <w:i w:val="0"/>
          <w:color w:val="410F37"/>
          <w:sz w:val="20"/>
        </w:rPr>
        <w:t xml:space="preserve"> (1) re-state FCDO claim 1 in GBP from ledger actuals and submit it early, asking Stimson to pay on receipt (cl. 6.5 rules out advances, but claim 1 covers costs already incurred); (2) defer the two non-staff bills (about USD 3,180) to November; (3) if still short, the board agrees which roster payment is delayed and for how long. Any deferral of the ED's fee is a related-party matter for the board, and Legal should advise first.</w:t>
      </w:r>
    </w:p>
    <w:p>
      <w:pPr>
        <w:spacing w:after="80"/>
      </w:pPr>
      <w:r>
        <w:rPr>
          <w:rFonts w:ascii="Fagun" w:hAnsi="Fagun" w:eastAsia="Fagun" w:cs="Fagun"/>
          <w:b/>
          <w:i/>
          <w:color w:val="410F37"/>
          <w:sz w:val="17"/>
        </w:rPr>
        <w:t>Correction to the 12 October dashboard note (CAP-520):</w:t>
      </w:r>
      <w:r>
        <w:rPr>
          <w:rFonts w:ascii="Fagun" w:hAnsi="Fagun" w:eastAsia="Fagun" w:cs="Fagun"/>
          <w:b w:val="0"/>
          <w:i/>
          <w:color w:val="410F37"/>
          <w:sz w:val="17"/>
        </w:rPr>
        <w:t xml:space="preserve"> that note put end-October cash at about USD 5,100. It left out the Communications Advisor's monthly invoice (about USD 5,383), which is raised by hand and not from a template, and Communication Support (about USD 649). The correct figure is shown above.</w:t>
      </w: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5. Change since the August cash plan</w:t>
      </w:r>
    </w:p>
    <w:p>
      <w:pPr>
        <w:spacing w:after="80"/>
      </w:pPr>
      <w:r>
        <w:rPr>
          <w:rFonts w:ascii="Fagun" w:hAnsi="Fagun" w:eastAsia="Fagun" w:cs="Fagun"/>
          <w:b w:val="0"/>
          <w:i w:val="0"/>
          <w:color w:val="410F37"/>
          <w:sz w:val="18"/>
        </w:rPr>
        <w:t>The August cash ceiling (CAP-389, 18 August) projected September USD 50,800, October USD 21,650, November USD 29,700 and December USD 550.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1134"/>
        <w:gridCol w:w="1077"/>
        <w:gridCol w:w="1417"/>
        <w:gridCol w:w="1020"/>
        <w:gridCol w:w="4876"/>
      </w:tblGrid>
      <w:tr>
        <w:tc>
          <w:tcPr>
            <w:tcW w:type="dxa" w:w="1134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Month-end</w:t>
            </w:r>
          </w:p>
        </w:tc>
        <w:tc>
          <w:tcPr>
            <w:tcW w:type="dxa" w:w="107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August plan</w:t>
            </w:r>
          </w:p>
        </w:tc>
        <w:tc>
          <w:tcPr>
            <w:tcW w:type="dxa" w:w="1417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Now (freeze case B)</w:t>
            </w:r>
          </w:p>
        </w:tc>
        <w:tc>
          <w:tcPr>
            <w:tcW w:type="dxa" w:w="1020"/>
            <w:shd w:val="clear" w:color="auto" w:fill="410F3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Change</w:t>
            </w:r>
          </w:p>
        </w:tc>
        <w:tc>
          <w:tcPr>
            <w:tcW w:type="dxa" w:w="4876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Why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Sep 2026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50,800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33,679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(17,121)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Aug closed USD 3,837 below plan. Sep net cash decline was USD 42,433 against a USD 29,150 ceiling: Tavy Cussinel F-2026-002 GBP 4,000 (USD 5,303), New York accommodation USD 4,759 and Pennyhill Park balance GBP 1,888 (USD 2,525); other lines net USD 696 over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Oct 2026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21,650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(1,101)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(22,751)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Sep shortfall carried forward (USD 17,121); Oct bills not in the plan (Chair stipend, Free Thought, SK Das Sep fee paid 1 Oct) USD 5,283; floor USD 347 above ceiling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Nov 2026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29,700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23,202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(6,498)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October shortfall carried forward (USD 22,751), partly offset by a larger FCDO claim (+USD 15,600): about USD 52,800, not USD 37,200, because Schedule 2's first period runs June–October, not June–September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Dec 2026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550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(6,230)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(6,780)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November shortfall carried forward (USD 6,498); December floor USD 282 above the ceiling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Fagun ExtraBold" w:hAnsi="Fagun ExtraBold" w:eastAsia="Fagun ExtraBold" w:cs="Fagun ExtraBold"/>
          <w:b/>
          <w:i w:val="0"/>
          <w:color w:val="410F37"/>
          <w:sz w:val="32"/>
        </w:rPr>
        <w:t>6. Assumptions</w:t>
      </w:r>
    </w:p>
    <w:tbl>
      <w:tblPr>
        <w:tblW w:type="dxa" w:w="9525"/>
        <w:jc w:val="center"/>
        <w:tblLayout w:type="fixed"/>
        <w:tblLook w:firstColumn="1" w:firstRow="1" w:lastColumn="0" w:lastRow="0" w:noHBand="0" w:noVBand="1" w:val="04A0"/>
        <w:tblBorders>
          <w:top w:val="single" w:sz="4" w:color="D9CFD6"/>
          <w:left w:val="single" w:sz="4" w:color="D9CFD6"/>
          <w:bottom w:val="single" w:sz="4" w:color="D9CFD6"/>
          <w:right w:val="single" w:sz="4" w:color="D9CFD6"/>
          <w:insideH w:val="single" w:sz="4" w:color="D9CFD6"/>
          <w:insideV w:val="single" w:sz="4" w:color="D9CFD6"/>
        </w:tblBorders>
      </w:tblPr>
      <w:tblGrid>
        <w:gridCol w:w="1587"/>
        <w:gridCol w:w="5216"/>
        <w:gridCol w:w="2721"/>
      </w:tblGrid>
      <w:tr>
        <w:tc>
          <w:tcPr>
            <w:tcW w:type="dxa" w:w="1587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Area</w:t>
            </w:r>
          </w:p>
        </w:tc>
        <w:tc>
          <w:tcPr>
            <w:tcW w:type="dxa" w:w="5216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Assumption</w:t>
            </w:r>
          </w:p>
        </w:tc>
        <w:tc>
          <w:tcPr>
            <w:tcW w:type="dxa" w:w="2721"/>
            <w:shd w:val="clear" w:color="auto" w:fill="410F3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/>
                <w:i w:val="0"/>
                <w:color w:val="96FF14"/>
                <w:sz w:val="15"/>
              </w:rPr>
              <w:t>Source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Opening cash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USD 33,679.30 at 30 Sep 2026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Xero Balance Sheet `052baafa`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Roster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ED USD 14,200; Programme Mgr 3,500; Rohingya Mgr 2,500 (cash 1,500 until the advance clears in Dec); COLA GBP 1,400; SK Das 2,000 in Oct, 1,000 from Nov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Xero repeating templates; CAP-485 fee decision (effective date to confirm)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Communications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Advisor USD 5,383/month and Support USD 649/month (Q3 averages); the Advisor's invoice is raised by hand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Xero P&amp;L Q3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Overheads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IT USD 353, bank USD 56 per month (Q3 averages)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Xero P&amp;L Q3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Programme &amp; travel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Central USD 5,000/month; Freeze nil; Q3 run-rate USD 10,636/month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Q3 spend above the committed floor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FCDO Phase II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Claim 1 (Jun–Oct) about USD 52,800 in late Nov; claim 2 (Nov–Mar) about USD 47,000 in May 2027; both within the £80,884.70 ceiling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Sub-grant Sched. 2; ledger USD 43,847.67 to 30 Sep + Oct roster share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OSF #4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USD 300,000 on about 22 Jan 2027 (the 2026 tranche landed 22 Jan)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Award letter p.1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Swiss Myanmar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USD 24,946.67 on 31 Jan 2027; USD 24,946.66 on 30 Jun 2027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Partnership Agreement §3.3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Rohingya Manager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Template and Swiss Myanmar term end May 2027; no cost from June 2027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§17; Xero template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Audit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2026 audit about USD 3,000, paid April 2027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Deferred per ED, May 2026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Excluded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Any new grant, the Q4 Chair stipend (paid in arrears, Jan 2027), FX movements, interest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Prudence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FX</w:t>
            </w:r>
          </w:p>
        </w:tc>
        <w:tc>
          <w:tcPr>
            <w:tcW w:type="dxa" w:w="5216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GBP/USD 1.3258; EUR/USD 1.1255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Fagun" w:hAnsi="Fagun" w:eastAsia="Fagun" w:cs="Fagun"/>
                <w:b w:val="0"/>
                <w:i w:val="0"/>
                <w:color w:val="410F37"/>
                <w:sz w:val="15"/>
              </w:rPr>
              <w:t>Xero rates on late-Sep / early-Oct transactions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Fagun Bold" w:hAnsi="Fagun Bold" w:eastAsia="Fagun Bold" w:cs="Fagun Bold"/>
          <w:b/>
          <w:i w:val="0"/>
          <w:color w:val="410F37"/>
          <w:sz w:val="24"/>
        </w:rPr>
        <w:t>Proposed year-end accrual (draft, for auditor agreement)</w:t>
      </w:r>
    </w:p>
    <w:p>
      <w:pPr>
        <w:spacing w:after="80"/>
      </w:pPr>
      <w:r>
        <w:rPr>
          <w:rFonts w:ascii="Fagun" w:hAnsi="Fagun" w:eastAsia="Fagun" w:cs="Fagun"/>
          <w:b w:val="0"/>
          <w:i w:val="0"/>
          <w:color w:val="410F37"/>
          <w:sz w:val="18"/>
        </w:rPr>
        <w:t>Assets increase with a debit; income increases with a credit. FCDO Phase II and Swiss Myanmar costs incurred in 2026 have earned the grant income, but it is invoiced in 2027, so we recognise an accrued-income asset and the matching restricted income:</w:t>
      </w:r>
    </w:p>
    <w:p>
      <w:pPr>
        <w:spacing w:after="80"/>
      </w:pPr>
      <w:r>
        <w:rPr>
          <w:rFonts w:ascii="Fagun" w:hAnsi="Fagun" w:eastAsia="Fagun" w:cs="Fagun"/>
          <w:b w:val="0"/>
          <w:i w:val="0"/>
          <w:color w:val="410F37"/>
          <w:sz w:val="17"/>
        </w:rPr>
        <w:t>Dr  Accrued income — grants (current asset)            USD 33,614.00</w:t>
        <w:br/>
        <w:t xml:space="preserve">      Cr  Grant income — FCDO Phase II (restricted)        USD 17,260.00</w:t>
        <w:br/>
        <w:t xml:space="preserve">      Cr  Grant income — Swiss Myanmar (restricted)        USD 16,354.00</w:t>
      </w:r>
    </w:p>
    <w:p>
      <w:pPr>
        <w:spacing w:after="80"/>
      </w:pPr>
      <w:r>
        <w:rPr>
          <w:rFonts w:ascii="Fagun" w:hAnsi="Fagun" w:eastAsia="Fagun" w:cs="Fagun"/>
          <w:b w:val="0"/>
          <w:i/>
          <w:color w:val="410F37"/>
          <w:sz w:val="17"/>
        </w:rPr>
        <w:t>Debits USD 33,614.00 = credits USD 33,614.00. The entry is balanced. This would be a draft manual journal at 31 December 2026 and is reversed when the invoices are raised.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hAnsi="Fagun" w:eastAsia="Fagun" w:cs="Fagun"/>
        <w:b w:val="0"/>
        <w:i w:val="0"/>
        <w:color w:val="410F37"/>
        <w:sz w:val="15"/>
      </w:rPr>
      <w:t>hūmānus  ·  Stichting hūmānus international  ·  KvK 77641981  ·  Board finance pack Q3 2026  ·  Confidential — board use only  ·  [TBD: registered-charity footer boilerplate]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gun" w:hAnsi="Fagun" w:eastAsia="Fagun"/>
      <w:color w:val="410F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