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200"/>
      </w:pPr>
      <w:r>
        <w:rPr>
          <w:rFonts w:ascii="Fagun" w:hAnsi="Fagun" w:eastAsia="Fagun" w:cs="Fagun"/>
          <w:b w:val="0"/>
          <w:i/>
          <w:color w:val="410F37"/>
          <w:sz w:val="20"/>
        </w:rPr>
        <w:t>Board pack — contents</w:t>
      </w:r>
    </w:p>
    <w:p>
      <w:pPr>
        <w:spacing w:after="240"/>
      </w:pPr>
      <w:r>
        <w:rPr>
          <w:rFonts w:ascii="Fagun" w:hAnsi="Fagun" w:eastAsia="Fagun" w:cs="Fagun"/>
          <w:b w:val="0"/>
          <w:i w:val="0"/>
          <w:color w:val="410F37"/>
          <w:sz w:val="36"/>
        </w:rPr>
        <w:t>hūmānus  ·  Q2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Meeting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Monday 29 June 2026, virtual, 1 hour 30 minutes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Board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Els Niehaus (Chair), Ross Youngman, Beena Pallical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In attendance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Eva Buzo (Executive Director)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  <w:caps/>
        </w:rPr>
        <w:t>Circulation deadline</w:t>
      </w:r>
    </w:p>
    <w:p>
      <w:pPr>
        <w:spacing w:after="12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Monday 1 June 2026</w:t>
      </w:r>
    </w:p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Contents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008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#</w:t>
            </w:r>
          </w:p>
        </w:tc>
        <w:tc>
          <w:tcPr>
            <w:tcW w:type="dxa" w:w="5472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Document</w:t>
            </w:r>
          </w:p>
        </w:tc>
        <w:tc>
          <w:tcPr>
            <w:tcW w:type="dxa" w:w="6480"/>
            <w:shd w:val="clear" w:color="auto" w:fill="410F37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Fagun ExtraBold" w:hAnsi="Fagun ExtraBold" w:eastAsia="Fagun ExtraBold" w:cs="Fagun ExtraBold"/>
                <w:b/>
                <w:i w:val="0"/>
                <w:color w:val="FFFFFF"/>
                <w:sz w:val="20"/>
                <w:caps/>
              </w:rPr>
              <w:t>Purpose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01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01-Agenda.docx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Board agenda (9 items, 90 minutes)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02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02-Q1-2026-Minutes.docx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Prior minutes — for approval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03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03-Action-Register.docx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Carry-over actions from Q1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04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04-Reserves-Prognosis.docx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Months of reserves per quarter end + full-year prognosis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05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05-2026-YTD-Grant-Spend.docx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2026 spend vs budget at grant level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06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06-2024-Audit-Report.pdf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  <w:shd w:val="clear" w:color="auto" w:fill="F5EEF1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2024 audited financials (for reference)</w:t>
            </w:r>
          </w:p>
        </w:tc>
      </w:tr>
      <w:tr>
        <w:tc>
          <w:tcPr>
            <w:tcW w:type="dxa" w:w="1008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center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07</w:t>
            </w:r>
          </w:p>
        </w:tc>
        <w:tc>
          <w:tcPr>
            <w:tcW w:type="dxa" w:w="5472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07-Q4-2025-Minutes.docx</w:t>
            </w:r>
          </w:p>
        </w:tc>
        <w:tc>
          <w:tcPr>
            <w:tcW w:type="dxa" w:w="6480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top"/>
          </w:tcPr>
          <w:p>
            <w:pPr>
              <w:spacing w:before="60" w:after="60" w:line="260" w:lineRule="auto"/>
              <w:jc w:val="left"/>
            </w:pPr>
            <w:r>
              <w:rPr>
                <w:rFonts w:ascii="Fagun" w:hAnsi="Fagun" w:eastAsia="Fagun" w:cs="Fagun"/>
                <w:b w:val="0"/>
                <w:i w:val="0"/>
                <w:color w:val="410F37"/>
                <w:sz w:val="20"/>
              </w:rPr>
              <w:t>Q4 2025 minutes (background reference)</w:t>
            </w:r>
          </w:p>
        </w:tc>
      </w:tr>
    </w:tbl>
    <w:p>
      <w:pPr>
        <w:spacing w:before="240" w:after="60"/>
      </w:pPr>
      <w:r>
        <w:rPr>
          <w:rFonts w:ascii="Fagun ExtraBold" w:hAnsi="Fagun ExtraBold" w:eastAsia="Fagun ExtraBold" w:cs="Fagun ExtraBold"/>
          <w:b/>
          <w:i w:val="0"/>
          <w:color w:val="410F37"/>
          <w:sz w:val="28"/>
        </w:rPr>
        <w:t>Outstanding — to add before circulation</w:t>
      </w:r>
    </w:p>
    <w:p>
      <w:pPr>
        <w:pStyle w:val="ListBullet"/>
        <w:spacing w:after="8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2025 financial statements (draft) and 2025 income/expenditure with mission-aligned split — with Stacy (CAP-174), due 1 June 2026.</w:t>
      </w:r>
    </w:p>
    <w:p>
      <w:pPr>
        <w:pStyle w:val="ListBullet"/>
        <w:spacing w:after="80" w:line="260" w:lineRule="auto"/>
      </w:pPr>
      <w:r>
        <w:rPr>
          <w:rFonts w:ascii="Fagun" w:hAnsi="Fagun" w:eastAsia="Fagun" w:cs="Fagun"/>
          <w:b w:val="0"/>
          <w:i w:val="0"/>
          <w:color w:val="410F37"/>
          <w:sz w:val="22"/>
        </w:rPr>
        <w:t>Executive Director operations &amp; impact report and strategic-continuity paper — with Eva (CAP-175), due 1 June 2026.</w:t>
      </w:r>
    </w:p>
    <w:p>
      <w:pPr>
        <w:spacing w:after="120" w:line="280" w:lineRule="auto"/>
      </w:pPr>
      <w:r>
        <w:rPr>
          <w:rFonts w:ascii="Fagun" w:hAnsi="Fagun" w:eastAsia="Fagun" w:cs="Fagun"/>
          <w:b w:val="0"/>
          <w:i/>
          <w:color w:val="410F37"/>
          <w:sz w:val="22"/>
        </w:rPr>
        <w:t>Once those papers land they slot in as 08-, 09-, 10- in this pack.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/>
        <w:color w:val="410F37"/>
        <w:sz w:val="16"/>
      </w:rPr>
      <w:t>hūmānus  ·  Board secretariat  ·  Q2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