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410F37"/>
        </w:pBdr>
        <w:spacing w:after="200"/>
      </w:pPr>
      <w:r>
        <w:rPr>
          <w:rFonts w:ascii="Fagun" w:hAnsi="Fagun" w:eastAsia="Fagun" w:cs="Fagun"/>
          <w:b w:val="0"/>
          <w:i/>
          <w:color w:val="410F37"/>
          <w:sz w:val="20"/>
        </w:rPr>
        <w:t>Board Meeting — Agenda</w:t>
      </w:r>
    </w:p>
    <w:p>
      <w:pPr>
        <w:spacing w:after="240"/>
      </w:pPr>
      <w:r>
        <w:rPr>
          <w:rFonts w:ascii="Fagun" w:hAnsi="Fagun" w:eastAsia="Fagun" w:cs="Fagun"/>
          <w:b w:val="0"/>
          <w:i w:val="0"/>
          <w:color w:val="410F37"/>
          <w:sz w:val="36"/>
        </w:rPr>
        <w:t>hūmānus  ·  Q2 2026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Meeting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Stichting hūmānus — Board of Directors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Date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Monday, 29 June 2026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Format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Virtual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Duration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1 hour 30 minutes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Chair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Els Niehaus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Attendees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Els Niehaus (Chair), Ross Youngman, Beena Pallical; Eva Buzo (Executive Director, in attendance); Kristy Thomas (secretariat).</w:t>
      </w:r>
    </w:p>
    <w:p>
      <w:pPr>
        <w:spacing w:before="240" w:after="60"/>
      </w:pPr>
      <w:r>
        <w:rPr>
          <w:rFonts w:ascii="Fagun ExtraBold" w:hAnsi="Fagun ExtraBold" w:eastAsia="Fagun ExtraBold" w:cs="Fagun ExtraBold"/>
          <w:b/>
          <w:i w:val="0"/>
          <w:color w:val="410F37"/>
          <w:sz w:val="28"/>
        </w:rPr>
        <w:t>Agenda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2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#</w:t>
            </w:r>
          </w:p>
        </w:tc>
        <w:tc>
          <w:tcPr>
            <w:tcW w:type="dxa" w:w="648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Item</w:t>
            </w:r>
          </w:p>
        </w:tc>
        <w:tc>
          <w:tcPr>
            <w:tcW w:type="dxa" w:w="216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Sponsor</w:t>
            </w:r>
          </w:p>
        </w:tc>
        <w:tc>
          <w:tcPr>
            <w:tcW w:type="dxa" w:w="1152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Time</w:t>
            </w:r>
          </w:p>
        </w:tc>
        <w:tc>
          <w:tcPr>
            <w:tcW w:type="dxa" w:w="2448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Type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Introduction — quorum, agenda adoption, virtual-meeting protocol, conflicts of interest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Chair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5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Note / Decision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2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Chair's context — transition from advisory to supervisory board, AoA amendments, KvK, board composition, three meetings/year (Feb / Jun / Oct)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Chair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10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Discussion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Approval of prior minutes (Q1 2026) and action register review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Kristy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5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Decision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4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Operations &amp; Impact update — key activities, outputs, impact since Jan 2025; brief staffing update; strategic developments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15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Discussion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5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Financials — discussion and approval of 2025 financials; 2026 update; reserves prognosis and Nov/Dec cash-flow tension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 / Stacy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20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Decision + Discussion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6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/>
                <w:i w:val="0"/>
                <w:color w:val="410F37"/>
                <w:sz w:val="20"/>
              </w:rPr>
              <w:t>Strategic discussion — progress against strategy; matching ambition to minimal fundraising; continuity beyond 2029 (post-OSF)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Chair / Eva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25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Discussion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7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Summary of decisions and action items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Kristy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5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Note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8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Any other business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All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—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9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Next meeting and close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Chair</w:t>
            </w:r>
          </w:p>
        </w:tc>
        <w:tc>
          <w:tcPr>
            <w:tcW w:type="dxa" w:w="115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2 min</w:t>
            </w:r>
          </w:p>
        </w:tc>
        <w:tc>
          <w:tcPr>
            <w:tcW w:type="dxa" w:w="244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Decision</w:t>
            </w:r>
          </w:p>
        </w:tc>
      </w:tr>
    </w:tbl>
    <w:p>
      <w:pPr>
        <w:spacing w:after="120" w:line="280" w:lineRule="auto"/>
      </w:pPr>
      <w:r>
        <w:rPr>
          <w:rFonts w:ascii="Fagun" w:hAnsi="Fagun" w:eastAsia="Fagun" w:cs="Fagun"/>
          <w:b/>
          <w:i w:val="0"/>
          <w:color w:val="410F37"/>
          <w:sz w:val="22"/>
        </w:rPr>
        <w:t xml:space="preserve">Total: </w:t>
      </w:r>
      <w:r>
        <w:rPr>
          <w:rFonts w:ascii="Fagun" w:hAnsi="Fagun" w:eastAsia="Fagun" w:cs="Fagun"/>
          <w:b w:val="0"/>
          <w:i w:val="0"/>
          <w:color w:val="410F37"/>
          <w:sz w:val="22"/>
        </w:rPr>
        <w:t>90 minutes. Item 6 (strategic discussion) is ring-fenced — if items run over, item 5 will be compressed before item 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gun" w:hAnsi="Fagun" w:eastAsia="Fagun" w:cs="Fagun"/>
        <w:b w:val="0"/>
        <w:i/>
        <w:color w:val="410F37"/>
        <w:sz w:val="16"/>
      </w:rPr>
      <w:t>hūmānus  ·  Board secretariat  ·  Q2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3726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umanus_logo_master_co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7265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gun" w:eastAsia="Fagun" w:hAnsi="Fagun" w:cs="Fagun"/>
        <w:color w:val="410F37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