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4" w:color="410F37"/>
        </w:pBdr>
        <w:spacing w:after="200"/>
      </w:pPr>
      <w:r>
        <w:rPr>
          <w:rFonts w:ascii="Fagun" w:hAnsi="Fagun" w:eastAsia="Fagun" w:cs="Fagun"/>
          <w:b w:val="0"/>
          <w:i/>
          <w:color w:val="410F37"/>
          <w:sz w:val="20"/>
        </w:rPr>
        <w:t>Reserves prognosis — 2026</w:t>
      </w:r>
    </w:p>
    <w:p>
      <w:pPr>
        <w:spacing w:after="240"/>
      </w:pPr>
      <w:r>
        <w:rPr>
          <w:rFonts w:ascii="Fagun" w:hAnsi="Fagun" w:eastAsia="Fagun" w:cs="Fagun"/>
          <w:b w:val="0"/>
          <w:i w:val="0"/>
          <w:color w:val="410F37"/>
          <w:sz w:val="36"/>
        </w:rPr>
        <w:t>hūmānus  ·  Q2 2026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  <w:caps/>
        </w:rPr>
        <w:t>Source</w:t>
      </w:r>
    </w:p>
    <w:p>
      <w:pPr>
        <w:spacing w:after="12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12_Months_Cash_Flow_2026.xlsx (governance repo root)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  <w:caps/>
        </w:rPr>
        <w:t>Burn-rate assumption</w:t>
      </w:r>
    </w:p>
    <w:p>
      <w:pPr>
        <w:spacing w:after="12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approximately USD 42,621 per month</w:t>
      </w:r>
    </w:p>
    <w:p>
      <w:pPr>
        <w:spacing w:before="240" w:after="60"/>
      </w:pPr>
      <w:r>
        <w:rPr>
          <w:rFonts w:ascii="Fagun ExtraBold" w:hAnsi="Fagun ExtraBold" w:eastAsia="Fagun ExtraBold" w:cs="Fagun ExtraBold"/>
          <w:b/>
          <w:i w:val="0"/>
          <w:color w:val="410F37"/>
          <w:sz w:val="28"/>
        </w:rPr>
        <w:t>Months of reserves by quarter end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4608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Quarter end</w:t>
            </w:r>
          </w:p>
        </w:tc>
        <w:tc>
          <w:tcPr>
            <w:tcW w:type="dxa" w:w="4896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Projected closing cash (USD)</w:t>
            </w:r>
          </w:p>
        </w:tc>
        <w:tc>
          <w:tcPr>
            <w:tcW w:type="dxa" w:w="4320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Months of reserves</w:t>
            </w:r>
          </w:p>
        </w:tc>
      </w:tr>
      <w:tr>
        <w:tc>
          <w:tcPr>
            <w:tcW w:type="dxa" w:w="460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31 March 2026</w:t>
            </w:r>
          </w:p>
        </w:tc>
        <w:tc>
          <w:tcPr>
            <w:tcW w:type="dxa" w:w="4896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287,938</w:t>
            </w:r>
          </w:p>
        </w:tc>
        <w:tc>
          <w:tcPr>
            <w:tcW w:type="dxa" w:w="43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6.8</w:t>
            </w:r>
          </w:p>
        </w:tc>
      </w:tr>
      <w:tr>
        <w:tc>
          <w:tcPr>
            <w:tcW w:type="dxa" w:w="460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30 June 2026</w:t>
            </w:r>
          </w:p>
        </w:tc>
        <w:tc>
          <w:tcPr>
            <w:tcW w:type="dxa" w:w="4896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160,075</w:t>
            </w:r>
          </w:p>
        </w:tc>
        <w:tc>
          <w:tcPr>
            <w:tcW w:type="dxa" w:w="43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3.8</w:t>
            </w:r>
          </w:p>
        </w:tc>
      </w:tr>
      <w:tr>
        <w:tc>
          <w:tcPr>
            <w:tcW w:type="dxa" w:w="460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30 September 2026</w:t>
            </w:r>
          </w:p>
        </w:tc>
        <w:tc>
          <w:tcPr>
            <w:tcW w:type="dxa" w:w="4896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60,470</w:t>
            </w:r>
          </w:p>
        </w:tc>
        <w:tc>
          <w:tcPr>
            <w:tcW w:type="dxa" w:w="43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1.4</w:t>
            </w:r>
          </w:p>
        </w:tc>
      </w:tr>
      <w:tr>
        <w:tc>
          <w:tcPr>
            <w:tcW w:type="dxa" w:w="460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31 December 2026</w:t>
            </w:r>
          </w:p>
        </w:tc>
        <w:tc>
          <w:tcPr>
            <w:tcW w:type="dxa" w:w="4896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(67,393)</w:t>
            </w:r>
          </w:p>
        </w:tc>
        <w:tc>
          <w:tcPr>
            <w:tcW w:type="dxa" w:w="432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righ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negative — projected shortfall</w:t>
            </w:r>
          </w:p>
        </w:tc>
      </w:tr>
    </w:tbl>
    <w:p>
      <w:pPr>
        <w:spacing w:after="120" w:line="280" w:lineRule="auto"/>
      </w:pPr>
      <w:r>
        <w:rPr>
          <w:rFonts w:ascii="Fagun" w:hAnsi="Fagun" w:eastAsia="Fagun" w:cs="Fagun"/>
          <w:b/>
          <w:i w:val="0"/>
          <w:color w:val="410F37"/>
          <w:sz w:val="22"/>
        </w:rPr>
        <w:t xml:space="preserve">Cash-flow inflection: </w:t>
      </w:r>
      <w:r>
        <w:rPr>
          <w:rFonts w:ascii="Fagun" w:hAnsi="Fagun" w:eastAsia="Fagun" w:cs="Fagun"/>
          <w:b w:val="0"/>
          <w:i w:val="0"/>
          <w:color w:val="410F37"/>
          <w:sz w:val="22"/>
        </w:rPr>
        <w:t>projected balance turns negative in November 2026 (closing −USD 24,772).</w:t>
      </w:r>
    </w:p>
    <w:p>
      <w:pPr>
        <w:spacing w:after="120" w:line="280" w:lineRule="auto"/>
      </w:pPr>
      <w:r>
        <w:rPr>
          <w:rFonts w:ascii="Fagun" w:hAnsi="Fagun" w:eastAsia="Fagun" w:cs="Fagun"/>
          <w:b/>
          <w:i w:val="0"/>
          <w:color w:val="410F37"/>
          <w:sz w:val="22"/>
        </w:rPr>
        <w:t xml:space="preserve">Gap: </w:t>
      </w:r>
      <w:r>
        <w:rPr>
          <w:rFonts w:ascii="Fagun" w:hAnsi="Fagun" w:eastAsia="Fagun" w:cs="Fagun"/>
          <w:b w:val="0"/>
          <w:i w:val="0"/>
          <w:color w:val="410F37"/>
          <w:sz w:val="22"/>
        </w:rPr>
        <w:t>the 2026 budget shows total expenditure of USD 511,450 against committed grant income of USD 439,057 — a gap of approximately USD 72,400 absent further fundraising.</w:t>
      </w:r>
    </w:p>
    <w:p>
      <w:pPr>
        <w:spacing w:before="240" w:after="60"/>
      </w:pPr>
      <w:r>
        <w:rPr>
          <w:rFonts w:ascii="Fagun ExtraBold" w:hAnsi="Fagun ExtraBold" w:eastAsia="Fagun ExtraBold" w:cs="Fagun ExtraBold"/>
          <w:b/>
          <w:i w:val="0"/>
          <w:color w:val="410F37"/>
          <w:sz w:val="28"/>
        </w:rPr>
        <w:t>Mitigations in flight</w:t>
      </w:r>
    </w:p>
    <w:p>
      <w:pPr>
        <w:pStyle w:val="ListBullet"/>
        <w:spacing w:after="8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Stimson Swiss Y2-mid tranche (USD 24,947) — pull-forward request lodged to land on or before 14 December 2026 (contractual date 31 January 2027) to bridge into OSF Y3.</w:t>
      </w:r>
    </w:p>
    <w:p>
      <w:pPr>
        <w:pStyle w:val="ListBullet"/>
        <w:spacing w:after="8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OSF Y3 tranche USD 300,000 due January 2027 (subject to prior-grant reporting).</w:t>
      </w:r>
    </w:p>
    <w:p>
      <w:pPr>
        <w:pStyle w:val="ListBullet"/>
        <w:spacing w:after="8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FCDO Phase II (~USD 107,761 working) — sub-grant unsigned; slippage here is the largest single 2026 cash-flow risk.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agun" w:hAnsi="Fagun" w:eastAsia="Fagun" w:cs="Fagun"/>
        <w:b w:val="0"/>
        <w:i/>
        <w:color w:val="410F37"/>
        <w:sz w:val="16"/>
      </w:rPr>
      <w:t>hūmānus  ·  Board secretariat  ·  Q2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80000" cy="37265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umanus_logo_master_co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37265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Fagun" w:eastAsia="Fagun" w:hAnsi="Fagun" w:cs="Fagun"/>
        <w:color w:val="410F37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