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4" w:color="410F37"/>
        </w:pBdr>
        <w:spacing w:after="200"/>
      </w:pPr>
      <w:r>
        <w:rPr>
          <w:rFonts w:ascii="Fagun" w:hAnsi="Fagun" w:eastAsia="Fagun" w:cs="Fagun"/>
          <w:b w:val="0"/>
          <w:i/>
          <w:color w:val="410F37"/>
          <w:sz w:val="20"/>
        </w:rPr>
        <w:t>2026 year-to-date spend vs budget — grant level</w:t>
      </w:r>
    </w:p>
    <w:p>
      <w:pPr>
        <w:spacing w:after="240"/>
      </w:pPr>
      <w:r>
        <w:rPr>
          <w:rFonts w:ascii="Fagun" w:hAnsi="Fagun" w:eastAsia="Fagun" w:cs="Fagun"/>
          <w:b w:val="0"/>
          <w:i w:val="0"/>
          <w:color w:val="410F37"/>
          <w:sz w:val="36"/>
        </w:rPr>
        <w:t>hūmānus  ·  Q2 2026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  <w:caps/>
        </w:rPr>
        <w:t>Source</w:t>
      </w:r>
    </w:p>
    <w:p>
      <w:pPr>
        <w:spacing w:after="12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Stacy's grants dashboard, 21 May 2026 cut (finance-docs/dashboards/grants_for_board.html)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  <w:caps/>
        </w:rPr>
        <w:t>Calendar progress</w:t>
      </w:r>
    </w:p>
    <w:p>
      <w:pPr>
        <w:spacing w:after="12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39% of 2026 elapsed at date of cut</w:t>
      </w:r>
    </w:p>
    <w:p>
      <w:pPr>
        <w:spacing w:before="240" w:after="60"/>
      </w:pPr>
      <w:r>
        <w:rPr>
          <w:rFonts w:ascii="Fagun ExtraBold" w:hAnsi="Fagun ExtraBold" w:eastAsia="Fagun ExtraBold" w:cs="Fagun ExtraBold"/>
          <w:b/>
          <w:i w:val="0"/>
          <w:color w:val="410F37"/>
          <w:sz w:val="28"/>
        </w:rPr>
        <w:t>Spend by grant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3600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Grant</w:t>
            </w:r>
          </w:p>
        </w:tc>
        <w:tc>
          <w:tcPr>
            <w:tcW w:type="dxa" w:w="2160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Contracted (USD)</w:t>
            </w:r>
          </w:p>
        </w:tc>
        <w:tc>
          <w:tcPr>
            <w:tcW w:type="dxa" w:w="2448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Received to date</w:t>
            </w:r>
          </w:p>
        </w:tc>
        <w:tc>
          <w:tcPr>
            <w:tcW w:type="dxa" w:w="2016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Lifetime spend</w:t>
            </w:r>
          </w:p>
        </w:tc>
        <w:tc>
          <w:tcPr>
            <w:tcW w:type="dxa" w:w="2304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2026 YTD vs 2026 allocation</w:t>
            </w:r>
          </w:p>
        </w:tc>
        <w:tc>
          <w:tcPr>
            <w:tcW w:type="dxa" w:w="2880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Status</w:t>
            </w:r>
          </w:p>
        </w:tc>
      </w:tr>
      <w:tr>
        <w:tc>
          <w:tcPr>
            <w:tcW w:type="dxa" w:w="360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OSF #4 (Jan 25 – Dec 29)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1,500,000</w:t>
            </w:r>
          </w:p>
        </w:tc>
        <w:tc>
          <w:tcPr>
            <w:tcW w:type="dxa" w:w="244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600,024</w:t>
            </w:r>
          </w:p>
        </w:tc>
        <w:tc>
          <w:tcPr>
            <w:tcW w:type="dxa" w:w="2016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317,654 (21.2%)</w:t>
            </w:r>
          </w:p>
        </w:tc>
        <w:tc>
          <w:tcPr>
            <w:tcW w:type="dxa" w:w="2304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65,932 vs 286,635 = 23%</w:t>
            </w:r>
          </w:p>
        </w:tc>
        <w:tc>
          <w:tcPr>
            <w:tcW w:type="dxa" w:w="28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On track; building carryover.</w:t>
            </w:r>
          </w:p>
        </w:tc>
      </w:tr>
      <w:tr>
        <w:tc>
          <w:tcPr>
            <w:tcW w:type="dxa" w:w="360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Stimson Swiss (Dec 25 – Jun 27)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74,840</w:t>
            </w:r>
          </w:p>
        </w:tc>
        <w:tc>
          <w:tcPr>
            <w:tcW w:type="dxa" w:w="244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0 (Y1 tranche due 30 Jun 26)</w:t>
            </w:r>
          </w:p>
        </w:tc>
        <w:tc>
          <w:tcPr>
            <w:tcW w:type="dxa" w:w="2016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4,260 (5.7%)</w:t>
            </w:r>
          </w:p>
        </w:tc>
        <w:tc>
          <w:tcPr>
            <w:tcW w:type="dxa" w:w="2304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n/a — project ramps Q3</w:t>
            </w:r>
          </w:p>
        </w:tc>
        <w:tc>
          <w:tcPr>
            <w:tcW w:type="dxa" w:w="28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Risk of underspend (timing).</w:t>
            </w:r>
          </w:p>
        </w:tc>
      </w:tr>
      <w:tr>
        <w:tc>
          <w:tcPr>
            <w:tcW w:type="dxa" w:w="360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FCDO Phase II (Jun 26 – Mar 27)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107,761 (working)</w:t>
            </w:r>
          </w:p>
        </w:tc>
        <w:tc>
          <w:tcPr>
            <w:tcW w:type="dxa" w:w="244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0</w:t>
            </w:r>
          </w:p>
        </w:tc>
        <w:tc>
          <w:tcPr>
            <w:tcW w:type="dxa" w:w="2016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0</w:t>
            </w:r>
          </w:p>
        </w:tc>
        <w:tc>
          <w:tcPr>
            <w:tcW w:type="dxa" w:w="2304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n/a — sub-grant unsigned</w:t>
            </w:r>
          </w:p>
        </w:tc>
        <w:tc>
          <w:tcPr>
            <w:tcW w:type="dxa" w:w="28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/>
                <w:i w:val="0"/>
                <w:color w:val="410F37"/>
                <w:sz w:val="20"/>
              </w:rPr>
              <w:t>Largest 2026 cash-flow risk.</w:t>
            </w:r>
          </w:p>
        </w:tc>
      </w:tr>
      <w:tr>
        <w:tc>
          <w:tcPr>
            <w:tcW w:type="dxa" w:w="360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FCDO Phase I (Nov 25 – Mar 26)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~58,000</w:t>
            </w:r>
          </w:p>
        </w:tc>
        <w:tc>
          <w:tcPr>
            <w:tcW w:type="dxa" w:w="244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57,005</w:t>
            </w:r>
          </w:p>
        </w:tc>
        <w:tc>
          <w:tcPr>
            <w:tcW w:type="dxa" w:w="2016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60,994</w:t>
            </w:r>
          </w:p>
        </w:tc>
        <w:tc>
          <w:tcPr>
            <w:tcW w:type="dxa" w:w="2304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n/a — closed Mar 2026</w:t>
            </w:r>
          </w:p>
        </w:tc>
        <w:tc>
          <w:tcPr>
            <w:tcW w:type="dxa" w:w="28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Closed; small overspend absorbed.</w:t>
            </w:r>
          </w:p>
        </w:tc>
      </w:tr>
      <w:tr>
        <w:tc>
          <w:tcPr>
            <w:tcW w:type="dxa" w:w="360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SDC Swiss Dhaka (Nov 24 – Apr 26)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CHF 182,788 cap</w:t>
            </w:r>
          </w:p>
        </w:tc>
        <w:tc>
          <w:tcPr>
            <w:tcW w:type="dxa" w:w="244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USD 193,538 (CHF 160,000)</w:t>
            </w:r>
          </w:p>
        </w:tc>
        <w:tc>
          <w:tcPr>
            <w:tcW w:type="dxa" w:w="2016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—</w:t>
            </w:r>
          </w:p>
        </w:tc>
        <w:tc>
          <w:tcPr>
            <w:tcW w:type="dxa" w:w="2304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n/a — close-out in progress</w:t>
            </w:r>
          </w:p>
        </w:tc>
        <w:tc>
          <w:tcPr>
            <w:tcW w:type="dxa" w:w="28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Final reports 30 Jun; final tranche ≤ CHF 22,788.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agun" w:hAnsi="Fagun" w:eastAsia="Fagun" w:cs="Fagun"/>
        <w:b w:val="0"/>
        <w:i/>
        <w:color w:val="410F37"/>
        <w:sz w:val="16"/>
      </w:rPr>
      <w:t>hūmānus  ·  Board secretariat  ·  Q2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80000" cy="37265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umanus_logo_master_co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37265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Fagun" w:eastAsia="Fagun" w:hAnsi="Fagun" w:cs="Fagun"/>
        <w:color w:val="410F37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