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56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us_logo_master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6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Inter" w:hAnsi="Inter"/>
          <w:b/>
          <w:color w:val="410F37"/>
          <w:sz w:val="36"/>
        </w:rPr>
        <w:t>2026 Budget Variance Report (YTD 25 May 2026)</w:t>
      </w:r>
    </w:p>
    <w:p>
      <w:pPr>
        <w:spacing w:after="80"/>
      </w:pPr>
      <w:r>
        <w:rPr>
          <w:rFonts w:ascii="Inter" w:hAnsi="Inter"/>
          <w:b w:val="0"/>
          <w:i/>
          <w:sz w:val="19"/>
        </w:rPr>
        <w:t>P-06e  ·  Prepared by Stacy McGill (Finance Manager)  ·  As-of 26 May 2026  ·  Currency: USD unless stated</w:t>
      </w:r>
    </w:p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Headline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1"/>
        </w:rPr>
        <w:t>YTD spend USD 228,745 on an annual budget of USD 488,450 = 47% consumed at 40% of the year elapsed — running ~9 points ahead of straight-line pace on aggregate. The over-pace is driven by unbudgeted Operating Expense lines (General Expenses, Branding &amp; Communications, Confidence Building Measures) rather than core programme run-rate.</w:t>
      </w:r>
    </w:p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Variance by donor (funding source)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Annualised YTD spend, by 2026 budget column.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Donor / source</w:t>
            </w:r>
          </w:p>
        </w:tc>
        <w:tc>
          <w:tcPr>
            <w:tcW w:type="dxa" w:w="1417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2026 Budget</w:t>
            </w:r>
          </w:p>
        </w:tc>
        <w:tc>
          <w:tcPr>
            <w:tcW w:type="dxa" w:w="2268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YTD spend (annualised)</w:t>
            </w:r>
          </w:p>
        </w:tc>
        <w:tc>
          <w:tcPr>
            <w:tcW w:type="dxa" w:w="1417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Variance vs budget</w:t>
            </w:r>
          </w:p>
        </w:tc>
        <w:tc>
          <w:tcPr>
            <w:tcW w:type="dxa" w:w="2835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Commentary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OSF #4 (unrestricted)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286,635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168,725 (annualised; YTD ~$66k)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(41%) underspent</w:t>
            </w:r>
          </w:p>
        </w:tc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Healthy headroom; ~USD 62k headroom before SDC re-tag (CAP-158)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Swiss Dhaka (SDC)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35,560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~269k (YTD ~$105k; coding error — see flag)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+658%</w:t>
            </w:r>
          </w:p>
        </w:tc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Over-coded to SDC tracking; re-tag pass scheduled before §3.1 30 Jun 2026 final report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Swiss Myanmar (Stimson)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48,312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10,883 (annualised; YTD ~$4.3k)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(78%) underspent</w:t>
            </w:r>
          </w:p>
        </w:tc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Underspent — first tranche due 30 Jun 2026 will bring spend forward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FCDO Phase I (closed)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42,519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135,029 (annualised; YTD ~$53k)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+218%</w:t>
            </w:r>
          </w:p>
        </w:tc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Includes unbudgeted Confidence Building Measures $14,598; Phase I closed Mar 2026</w:t>
            </w:r>
          </w:p>
        </w:tc>
      </w:tr>
      <w:tr>
        <w:tc>
          <w:tcPr>
            <w:tcW w:type="dxa" w:w="198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FCDO Phase II (unsigned)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75,424</w:t>
            </w:r>
          </w:p>
        </w:tc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(100%)</w:t>
            </w:r>
          </w:p>
        </w:tc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No grant agreement signed; budget worksheet only</w:t>
            </w:r>
          </w:p>
        </w:tc>
      </w:tr>
    </w:tbl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Variance by line item (top 10 movers, USD)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1417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Annual budget</w:t>
            </w:r>
          </w:p>
        </w:tc>
        <w:tc>
          <w:tcPr>
            <w:tcW w:type="dxa" w:w="1417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YTD pace budget</w:t>
            </w:r>
          </w:p>
        </w:tc>
        <w:tc>
          <w:tcPr>
            <w:tcW w:type="dxa" w:w="1417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YTD actual</w:t>
            </w:r>
          </w:p>
        </w:tc>
        <w:tc>
          <w:tcPr>
            <w:tcW w:type="dxa" w:w="1417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Variance</w:t>
            </w:r>
          </w:p>
        </w:tc>
        <w:tc>
          <w:tcPr>
            <w:tcW w:type="dxa" w:w="1134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Variance 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Board Meetings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4,000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1,600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8,936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+7,337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+459%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Audit Fees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3,000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1,200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3,651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+2,451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+204%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Volunteer Stipends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12,000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4,800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12,066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+7,266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+151%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Vehicle Hire &amp; Sundry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6,000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2,400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-2,400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-100%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IT &amp; Software Expenses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5,000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2,000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3,517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+1,517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+76%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Legal Fees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12,000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4,800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1,359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USD -3,441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E12D64"/>
                <w:sz w:val="20"/>
              </w:rPr>
              <w:t>-72%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Partner Grants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30,000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11,999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6,000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-5,999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-50%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Communication Advisor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64,800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25,918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12,987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-12,932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-50%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Travel Expenses (Accommodation/Flights/Transport/Per diem)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25,000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9,999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14,180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+4,181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+42%</w:t>
            </w:r>
          </w:p>
        </w:tc>
      </w:tr>
      <w:tr>
        <w:tc>
          <w:tcPr>
            <w:tcW w:type="dxa" w:w="2835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Rohingya Manager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31,250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12,499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10,000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-2,499</w:t>
            </w:r>
          </w:p>
        </w:tc>
        <w:tc>
          <w:tcPr>
            <w:tcW w:type="dxa" w:w="1134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-20%</w:t>
            </w:r>
          </w:p>
        </w:tc>
      </w:tr>
    </w:tbl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Unbudgeted lines (not in original 2026 plan)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1417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YTD actual</w:t>
            </w:r>
          </w:p>
        </w:tc>
        <w:tc>
          <w:tcPr>
            <w:tcW w:type="dxa" w:w="5386"/>
            <w:shd w:val="clear" w:color="auto" w:fill="410F37"/>
          </w:tcPr>
          <w:p>
            <w:r>
              <w:rPr>
                <w:rFonts w:ascii="Inter" w:hAnsi="Inter"/>
                <w:b/>
                <w:color w:val="FFFFFF"/>
                <w:sz w:val="20"/>
              </w:rPr>
              <w:t>Commentary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General Expenses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29,194</w:t>
            </w:r>
          </w:p>
        </w:tc>
        <w:tc>
          <w:tcPr>
            <w:tcW w:type="dxa" w:w="5386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Largely sitting on SDC tracking — possible coding error; investigate before SDC final report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Branding &amp; Communications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9,807</w:t>
            </w:r>
          </w:p>
        </w:tc>
        <w:tc>
          <w:tcPr>
            <w:tcW w:type="dxa" w:w="5386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Rebrand pulse VAI → hūmānus; one-off but to be reclassified or rebudgeted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Confidence Building Measures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14,598</w:t>
            </w:r>
          </w:p>
        </w:tc>
        <w:tc>
          <w:tcPr>
            <w:tcW w:type="dxa" w:w="5386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Q1 programme activity not separately budgeted; eligible against FCDO Phase I</w:t>
            </w:r>
          </w:p>
        </w:tc>
      </w:tr>
      <w:tr>
        <w:tc>
          <w:tcPr>
            <w:tcW w:type="dxa" w:w="2268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Foreign Currency Gains and Losses</w:t>
            </w:r>
          </w:p>
        </w:tc>
        <w:tc>
          <w:tcPr>
            <w:tcW w:type="dxa" w:w="1417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USD 215</w:t>
            </w:r>
          </w:p>
        </w:tc>
        <w:tc>
          <w:tcPr>
            <w:tcW w:type="dxa" w:w="5386"/>
          </w:tcPr>
          <w:p>
            <w:r>
              <w:rPr>
                <w:rFonts w:ascii="Inter" w:hAnsi="Inter"/>
                <w:b w:val="0"/>
                <w:color w:val="410F37"/>
                <w:sz w:val="20"/>
              </w:rPr>
              <w:t>Wise revaluations on EUR/GBP wallets; immaterial</w:t>
            </w:r>
          </w:p>
        </w:tc>
      </w:tr>
      <w:tr>
        <w:tc>
          <w:tcPr>
            <w:tcW w:type="dxa" w:w="2268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Total unbudgeted YTD</w:t>
            </w:r>
          </w:p>
        </w:tc>
        <w:tc>
          <w:tcPr>
            <w:tcW w:type="dxa" w:w="1417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  <w:t>USD 53,813</w:t>
            </w:r>
          </w:p>
        </w:tc>
        <w:tc>
          <w:tcPr>
            <w:tcW w:type="dxa" w:w="5386"/>
            <w:shd w:val="clear" w:color="auto" w:fill="F5E9F0"/>
          </w:tcPr>
          <w:p>
            <w:r>
              <w:rPr>
                <w:rFonts w:ascii="Inter" w:hAnsi="Inter"/>
                <w:b/>
                <w:color w:val="410F37"/>
                <w:sz w:val="20"/>
              </w:rPr>
            </w:r>
          </w:p>
        </w:tc>
      </w:tr>
    </w:tbl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Drivers &amp; commentary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2"/>
        </w:rPr>
        <w:t>Expense side is broadly on plan after stripping one-offs.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Core programme staff (ED + Programme Manager + Communication Advisor) is running on contract; quarterly burn ~USD 45k/month is consistent with the annual budget once unbudgeted Q1 lines are recognised as one-offs.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2"/>
        </w:rPr>
        <w:t>Income side carries the structural risk.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USD 75,424 of 2026 budgeted spend is funded by FCDO Phase II, which is not yet signed. SDC restricted is over-coded and will absorb unrestricted reserves unless re-tagged.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2"/>
        </w:rPr>
        <w:t>Restricted / unrestricted segregation needs a re-tag pass.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SDC YTD-tagged spend (~USD 105k) far exceeds the contract residual (max CHF 22,788.10 ≈ USD 25k). The Finance Manager will run a re-coding pass before the SDC §3.1 final report (due 30 Jun 2026) — material amounts will move back to OSF #4 (unrestricted) tracking.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2"/>
        </w:rPr>
        <w:t>Closed projects with outstanding obligations.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SDC and FCDO Phase I are closed (per portfolio.md, last updated 2026-05-01) but both carry residual receivables and reporting deadlines. Stimson INV-0007 (FCDO I, USD 57,005) cleared 12 May 2026.</w:t>
      </w:r>
    </w:p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Recommended actions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1"/>
        </w:rPr>
        <w:t>·  Finance Manager — complete SDC tracking re-tag pass before 15 Jun 2026.</w:t>
      </w:r>
    </w:p>
    <w:p>
      <w:pPr>
        <w:spacing w:after="80"/>
      </w:pPr>
      <w:r>
        <w:rPr>
          <w:rFonts w:ascii="Inter" w:hAnsi="Inter"/>
          <w:b w:val="0"/>
          <w:i/>
          <w:sz w:val="20"/>
        </w:rPr>
        <w:t xml:space="preserve">    Required for SDC §3.1 final financial report (due 30 Jun 2026).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1"/>
        </w:rPr>
        <w:t>·  ED — confirm FCDO Phase II signature window with Stimson by 31 Jul 2026.</w:t>
      </w:r>
    </w:p>
    <w:p>
      <w:pPr>
        <w:spacing w:after="80"/>
      </w:pPr>
      <w:r>
        <w:rPr>
          <w:rFonts w:ascii="Inter" w:hAnsi="Inter"/>
          <w:b w:val="0"/>
          <w:i/>
          <w:sz w:val="20"/>
        </w:rPr>
        <w:t xml:space="preserve">    Drives whether downside cashflow scenario triggers (see P-06d).</w:t>
      </w:r>
    </w:p>
    <w:p>
      <w:pPr>
        <w:spacing w:after="80"/>
      </w:pPr>
      <w:r>
        <w:rPr>
          <w:rFonts w:ascii="Inter" w:hAnsi="Inter"/>
          <w:b/>
          <w:i w:val="0"/>
          <w:color w:val="410F37"/>
          <w:sz w:val="21"/>
        </w:rPr>
        <w:t>·  Board — note recommendation to rebudget at H1 close.</w:t>
      </w:r>
    </w:p>
    <w:p>
      <w:pPr>
        <w:spacing w:after="80"/>
      </w:pPr>
      <w:r>
        <w:rPr>
          <w:rFonts w:ascii="Inter" w:hAnsi="Inter"/>
          <w:b w:val="0"/>
          <w:i/>
          <w:sz w:val="20"/>
        </w:rPr>
        <w:t xml:space="preserve">    Move unbudgeted Branding &amp; General Expense lines into a formal mid-year plan; decide whether to fund from OSF carryover or programme reclassification.</w:t>
      </w:r>
    </w:p>
    <w:p>
      <w:pPr>
        <w:spacing w:before="120" w:after="80"/>
      </w:pPr>
      <w:r>
        <w:rPr>
          <w:rFonts w:ascii="Inter" w:hAnsi="Inter"/>
          <w:b/>
          <w:color w:val="410F37"/>
          <w:sz w:val="28"/>
        </w:rPr>
        <w:t>Assumptions &amp; data sources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YTD P&amp;L 1 Jan – 25 May 2026 — Xero report ID b1fc6fb0-af72-4308-99f6-f34b08bc6206, pulled 26 May 2026.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Annual budget per finance-docs/budgets/2026 Budget-2.xlsx (Sheet1), total USD 488,450.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Donor-tracked YTD spend annualised from CAP-157 Xero P&amp;L by Donors tracking option (21 May 2026 pull); refresh by close of Q2.</w:t>
      </w:r>
    </w:p>
    <w:p>
      <w:pPr>
        <w:spacing w:after="80"/>
      </w:pPr>
      <w:r>
        <w:rPr>
          <w:rFonts w:ascii="Inter" w:hAnsi="Inter"/>
          <w:b w:val="0"/>
          <w:i w:val="0"/>
          <w:sz w:val="21"/>
        </w:rPr>
        <w:t>·  Months elapsed: 4.80 (1 Jan – 25 May 2026 ÷ 30.42).</w:t>
      </w:r>
    </w:p>
    <w:sectPr w:rsidR="00FC693F" w:rsidRPr="0006063C" w:rsidSect="00034616"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410F37"/>
        <w:sz w:val="14"/>
      </w:rPr>
      <w:t>hūmānus — Stichting Victim Advocates International (NL chamber 77641981) | P-06e | Q2 2026 board paper | [TBD: registered office / ANBI / disclaimer footer]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