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5920" cy="56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us_logo_master_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6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Inter" w:hAnsi="Inter"/>
          <w:b/>
          <w:color w:val="410F37"/>
          <w:sz w:val="36"/>
        </w:rPr>
        <w:t>Q1 2026 Management Accounts (unaudited)</w:t>
      </w:r>
    </w:p>
    <w:p>
      <w:pPr>
        <w:spacing w:after="80"/>
      </w:pPr>
      <w:r>
        <w:rPr>
          <w:rFonts w:ascii="Inter" w:hAnsi="Inter"/>
          <w:b w:val="0"/>
          <w:i/>
          <w:sz w:val="19"/>
        </w:rPr>
        <w:t>P-06c  ·  Prepared by Stacy McGill (Finance Manager)  ·  As-of 26 May 2026  ·  Currency: USD unless stated</w:t>
      </w:r>
    </w:p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Summary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Q1 closed with a USD 173,099 surplus, driven entirely by the OSF #4 Year-2 tranche of USD 300,000 received in January (timing — not a sustainable run-rate). FY2025 Q1 comparative was a USD (175,899) loss because the equivalent OSF tranche landed in December 2024.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Cash closed Q1 at USD 197,591 (USD 177,863 + EUR 19,728 + GBP 0) — within the Amber band of the proposed reserves policy.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Programme spend (Cost of Sales) ran on budget pace at USD 90,229; operating overhead at USD 37,144 ran below pace, before the April overhead spike (see BvA paper P-06e).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No external debt; payables and accruals total USD 2,031 — clean balance sheet at quarter-end.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Live position (25 May 2026): cash USD 182,801; AR cleared after Stimson INV-0007 receipt 12 May.</w:t>
      </w:r>
    </w:p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1. Statement of activities — Q1 2026 vs Q1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1814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Q1 2026</w:t>
            </w:r>
          </w:p>
        </w:tc>
        <w:tc>
          <w:tcPr>
            <w:tcW w:type="dxa" w:w="1814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Q1 2025</w:t>
            </w:r>
          </w:p>
        </w:tc>
        <w:tc>
          <w:tcPr>
            <w:tcW w:type="dxa" w:w="3685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Commentary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Total Income</w:t>
            </w:r>
          </w:p>
        </w:tc>
        <w:tc>
          <w:tcPr>
            <w:tcW w:type="dxa" w:w="181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300,472</w:t>
            </w:r>
          </w:p>
        </w:tc>
        <w:tc>
          <w:tcPr>
            <w:tcW w:type="dxa" w:w="181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0</w:t>
            </w:r>
          </w:p>
        </w:tc>
        <w:tc>
          <w:tcPr>
            <w:tcW w:type="dxa" w:w="368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Q1 2025 OSF tranche landed Dec 2024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 xml:space="preserve">  Grant Income</w:t>
            </w:r>
          </w:p>
        </w:tc>
        <w:tc>
          <w:tcPr>
            <w:tcW w:type="dxa" w:w="181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300,000</w:t>
            </w:r>
          </w:p>
        </w:tc>
        <w:tc>
          <w:tcPr>
            <w:tcW w:type="dxa" w:w="181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OSF #4 Y2 (Jan 2026)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 xml:space="preserve">  Interest Income</w:t>
            </w:r>
          </w:p>
        </w:tc>
        <w:tc>
          <w:tcPr>
            <w:tcW w:type="dxa" w:w="181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472</w:t>
            </w:r>
          </w:p>
        </w:tc>
        <w:tc>
          <w:tcPr>
            <w:tcW w:type="dxa" w:w="181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wallet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Cost of Sales (Programme)</w:t>
            </w:r>
          </w:p>
        </w:tc>
        <w:tc>
          <w:tcPr>
            <w:tcW w:type="dxa" w:w="181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90,229</w:t>
            </w:r>
          </w:p>
        </w:tc>
        <w:tc>
          <w:tcPr>
            <w:tcW w:type="dxa" w:w="181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Personnel-heavy; on budget pace</w:t>
            </w:r>
          </w:p>
        </w:tc>
      </w:tr>
      <w:tr>
        <w:tc>
          <w:tcPr>
            <w:tcW w:type="dxa" w:w="2835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Gross Surplus</w:t>
            </w:r>
          </w:p>
        </w:tc>
        <w:tc>
          <w:tcPr>
            <w:tcW w:type="dxa" w:w="181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210,243</w:t>
            </w:r>
          </w:p>
        </w:tc>
        <w:tc>
          <w:tcPr>
            <w:tcW w:type="dxa" w:w="181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—</w:t>
            </w:r>
          </w:p>
        </w:tc>
        <w:tc>
          <w:tcPr>
            <w:tcW w:type="dxa" w:w="3685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Operating Expenses (Overhead)</w:t>
            </w:r>
          </w:p>
        </w:tc>
        <w:tc>
          <w:tcPr>
            <w:tcW w:type="dxa" w:w="181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37,144</w:t>
            </w:r>
          </w:p>
        </w:tc>
        <w:tc>
          <w:tcPr>
            <w:tcW w:type="dxa" w:w="181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Confidence Building Measures $14,598 unbudgeted</w:t>
            </w:r>
          </w:p>
        </w:tc>
      </w:tr>
      <w:tr>
        <w:tc>
          <w:tcPr>
            <w:tcW w:type="dxa" w:w="2835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Net Surplus / (Deficit)</w:t>
            </w:r>
          </w:p>
        </w:tc>
        <w:tc>
          <w:tcPr>
            <w:tcW w:type="dxa" w:w="181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173,099</w:t>
            </w:r>
          </w:p>
        </w:tc>
        <w:tc>
          <w:tcPr>
            <w:tcW w:type="dxa" w:w="181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(USD 175,899)</w:t>
            </w:r>
          </w:p>
        </w:tc>
        <w:tc>
          <w:tcPr>
            <w:tcW w:type="dxa" w:w="3685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Comparative driven by tranche timing</w:t>
            </w:r>
          </w:p>
        </w:tc>
      </w:tr>
    </w:tbl>
    <w:p>
      <w:pPr>
        <w:spacing w:before="120" w:after="80"/>
      </w:pPr>
      <w:r>
        <w:rPr>
          <w:rFonts w:ascii="Inter" w:hAnsi="Inter"/>
          <w:b/>
          <w:color w:val="410F37"/>
          <w:sz w:val="24"/>
        </w:rPr>
        <w:t>Programme cost detail (Q1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2268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Q1 2026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Accommodation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1,715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Advocate / Programme Manager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13,000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Communication Advisor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12,987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Cost of Living Allowances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5,676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Executive Director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42,600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Local Transportation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1,071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Meeting Expenses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1,612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Partner Grants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2,000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Per diem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182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Rohingya Manager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7,500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Volunteer Stipends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1,887</w:t>
            </w:r>
          </w:p>
        </w:tc>
      </w:tr>
      <w:tr>
        <w:tc>
          <w:tcPr>
            <w:tcW w:type="dxa" w:w="5669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Total Programme</w:t>
            </w:r>
          </w:p>
        </w:tc>
        <w:tc>
          <w:tcPr>
            <w:tcW w:type="dxa" w:w="2268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90,229</w:t>
            </w:r>
          </w:p>
        </w:tc>
      </w:tr>
    </w:tbl>
    <w:p>
      <w:pPr>
        <w:spacing w:before="120" w:after="80"/>
      </w:pPr>
      <w:r>
        <w:rPr>
          <w:rFonts w:ascii="Inter" w:hAnsi="Inter"/>
          <w:b/>
          <w:color w:val="410F37"/>
          <w:sz w:val="24"/>
        </w:rPr>
        <w:t>Overhead detail (Q1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2268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Q1 2026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Accounting &amp; Bookkeeping Fees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6,000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Audit Fees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1,670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Bank Charges &amp; Merchant Fees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129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Communication Support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4,362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Confidence Building Measures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14,598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Depreciation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114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Foreign Currency Gains and Losses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387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Insurance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1,199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IT &amp; Software Expenses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1,775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Legal Fees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630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Operations Support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6,279</w:t>
            </w:r>
          </w:p>
        </w:tc>
      </w:tr>
      <w:tr>
        <w:tc>
          <w:tcPr>
            <w:tcW w:type="dxa" w:w="5669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Total Overhead</w:t>
            </w:r>
          </w:p>
        </w:tc>
        <w:tc>
          <w:tcPr>
            <w:tcW w:type="dxa" w:w="2268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37,144</w:t>
            </w:r>
          </w:p>
        </w:tc>
      </w:tr>
    </w:tbl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2. Balance Sheet — as at 31 Mar 2026 (with 31 Mar 2025 comparative)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1984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31 Mar 2026 (USD)</w:t>
            </w:r>
          </w:p>
        </w:tc>
        <w:tc>
          <w:tcPr>
            <w:tcW w:type="dxa" w:w="1984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31 Mar 2025 (USD)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Wise — USD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177,863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119,167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Wise — EUR (USD equiv)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19,728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134,122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Wise — GBP (USD equiv)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0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1,033</w:t>
            </w:r>
          </w:p>
        </w:tc>
      </w:tr>
      <w:tr>
        <w:tc>
          <w:tcPr>
            <w:tcW w:type="dxa" w:w="3969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Total Bank</w:t>
            </w:r>
          </w:p>
        </w:tc>
        <w:tc>
          <w:tcPr>
            <w:tcW w:type="dxa" w:w="198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197,591</w:t>
            </w:r>
          </w:p>
        </w:tc>
        <w:tc>
          <w:tcPr>
            <w:tcW w:type="dxa" w:w="198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254,322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Accounts Receivable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0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0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Prepayments &amp; Programme Advances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342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0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Fixed Assets (net)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1,620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1,217</w:t>
            </w:r>
          </w:p>
        </w:tc>
      </w:tr>
      <w:tr>
        <w:tc>
          <w:tcPr>
            <w:tcW w:type="dxa" w:w="3969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TOTAL ASSETS</w:t>
            </w:r>
          </w:p>
        </w:tc>
        <w:tc>
          <w:tcPr>
            <w:tcW w:type="dxa" w:w="198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199,553</w:t>
            </w:r>
          </w:p>
        </w:tc>
        <w:tc>
          <w:tcPr>
            <w:tcW w:type="dxa" w:w="198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255,539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Accounts Payable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1,198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13,043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Expenses Payable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829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0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Suspense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0</w:t>
            </w:r>
          </w:p>
        </w:tc>
      </w:tr>
      <w:tr>
        <w:tc>
          <w:tcPr>
            <w:tcW w:type="dxa" w:w="3969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TOTAL LIABILITIES</w:t>
            </w:r>
          </w:p>
        </w:tc>
        <w:tc>
          <w:tcPr>
            <w:tcW w:type="dxa" w:w="198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2,031</w:t>
            </w:r>
          </w:p>
        </w:tc>
        <w:tc>
          <w:tcPr>
            <w:tcW w:type="dxa" w:w="198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13,043</w:t>
            </w:r>
          </w:p>
        </w:tc>
      </w:tr>
      <w:tr>
        <w:tc>
          <w:tcPr>
            <w:tcW w:type="dxa" w:w="3969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NET ASSETS</w:t>
            </w:r>
          </w:p>
        </w:tc>
        <w:tc>
          <w:tcPr>
            <w:tcW w:type="dxa" w:w="198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197,522</w:t>
            </w:r>
          </w:p>
        </w:tc>
        <w:tc>
          <w:tcPr>
            <w:tcW w:type="dxa" w:w="1984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242,496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 xml:space="preserve">  Retained Earnings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24,423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418,395</w:t>
            </w:r>
          </w:p>
        </w:tc>
      </w:tr>
      <w:tr>
        <w:tc>
          <w:tcPr>
            <w:tcW w:type="dxa" w:w="39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 xml:space="preserve">  Current Year Earnings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173,099</w:t>
            </w:r>
          </w:p>
        </w:tc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(USD 175,899)</w:t>
            </w:r>
          </w:p>
        </w:tc>
      </w:tr>
    </w:tbl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3. Cash flow statement — Q1 2026 (direct method)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2268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Q1 2026 (USD)</w:t>
            </w:r>
          </w:p>
        </w:tc>
      </w:tr>
      <w:tr>
        <w:tc>
          <w:tcPr>
            <w:tcW w:type="dxa" w:w="5669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Opening cash (1 Jan 2026)</w:t>
            </w:r>
          </w:p>
        </w:tc>
        <w:tc>
          <w:tcPr>
            <w:tcW w:type="dxa" w:w="2268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23,787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 xml:space="preserve">  Cash received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300,534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 xml:space="preserve">  Cash spent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(USD 126,374)</w:t>
            </w:r>
          </w:p>
        </w:tc>
      </w:tr>
      <w:tr>
        <w:tc>
          <w:tcPr>
            <w:tcW w:type="dxa" w:w="5669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 xml:space="preserve">  FX impact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(USD 356)</w:t>
            </w:r>
          </w:p>
        </w:tc>
      </w:tr>
      <w:tr>
        <w:tc>
          <w:tcPr>
            <w:tcW w:type="dxa" w:w="5669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Closing cash (31 Mar 2026)</w:t>
            </w:r>
          </w:p>
        </w:tc>
        <w:tc>
          <w:tcPr>
            <w:tcW w:type="dxa" w:w="2268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197,591</w:t>
            </w:r>
          </w:p>
        </w:tc>
      </w:tr>
    </w:tbl>
    <w:p>
      <w:pPr>
        <w:spacing w:after="80"/>
      </w:pPr>
      <w:r>
        <w:rPr>
          <w:rFonts w:ascii="Inter" w:hAnsi="Inter"/>
          <w:b w:val="0"/>
          <w:i/>
          <w:sz w:val="19"/>
        </w:rPr>
        <w:t>Cash inflow drivers: OSF #4 Y2 tranche USD 300,000 (Jan 2026) plus FCDO Phase I Y2 mobilisation transfers. No restricted-grant disbursements were made out of the trust account in the quarter — all cash-spent is operational.</w:t>
      </w:r>
    </w:p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4. Income recognition by donor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Donor / tranche</w:t>
            </w:r>
          </w:p>
        </w:tc>
        <w:tc>
          <w:tcPr>
            <w:tcW w:type="dxa" w:w="1417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Q1 income</w:t>
            </w:r>
          </w:p>
        </w:tc>
        <w:tc>
          <w:tcPr>
            <w:tcW w:type="dxa" w:w="4252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268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Restriction / gate</w:t>
            </w:r>
          </w:p>
        </w:tc>
      </w:tr>
      <w:tr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OSF #4 (2025–29) Year-2 tranche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300,000.00</w:t>
            </w:r>
          </w:p>
        </w:tc>
        <w:tc>
          <w:tcPr>
            <w:tcW w:type="dxa" w:w="4252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Per OR2024-94840: "a grant in the amount of 1,500,000.00 USD for the period from January 1, 2025 through December 31, 2029 to provide general support."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Unrestricted (general support)</w:t>
            </w:r>
          </w:p>
        </w:tc>
      </w:tr>
      <w:tr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Interest Income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472.10</w:t>
            </w:r>
          </w:p>
        </w:tc>
        <w:tc>
          <w:tcPr>
            <w:tcW w:type="dxa" w:w="4252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Wise USD wallet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Unrestricted</w:t>
            </w:r>
          </w:p>
        </w:tc>
      </w:tr>
      <w:tr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Swiss Dhaka (SDC) final tranche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Per SDC Art 4.1: max CHF 22,788.10 final instalment after donor approval of final operational + financial reports.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Not yet invoiced — gated by §3.1 final report due 30 Jun 2026 + §3.3 audit</w:t>
            </w:r>
          </w:p>
        </w:tc>
      </w:tr>
      <w:tr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Stimson Swiss (Arakan Y1)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Per Stimson §3.3: USD 24,946.67 due June 30, 2026, conditional on FDFA disbursement to Stimson.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Not yet invoiced — Q2 expected</w:t>
            </w:r>
          </w:p>
        </w:tc>
      </w:tr>
      <w:tr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FCDO Phase I (closed)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INV-0007 USD 57,005 raised end-Q1, received 12 May 2026 (post-quarter)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Recognised in Q2; not in Q1 income</w:t>
            </w:r>
          </w:p>
        </w:tc>
      </w:tr>
    </w:tbl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5. Compliance / risk flags</w:t>
      </w:r>
    </w:p>
    <w:p>
      <w:pPr>
        <w:spacing w:after="80"/>
      </w:pPr>
      <w:r>
        <w:rPr>
          <w:rFonts w:ascii="Inter" w:hAnsi="Inter"/>
          <w:b/>
          <w:i w:val="0"/>
          <w:color w:val="E12D64"/>
          <w:sz w:val="22"/>
        </w:rPr>
        <w:t>SDC restricted tracking over-coded YTD</w:t>
      </w:r>
    </w:p>
    <w:p>
      <w:pPr>
        <w:spacing w:after="80"/>
      </w:pPr>
      <w:r>
        <w:rPr>
          <w:rFonts w:ascii="Inter" w:hAnsi="Inter"/>
          <w:b w:val="0"/>
          <w:i w:val="0"/>
          <w:sz w:val="20"/>
        </w:rPr>
        <w:t>YTD spend tagged to the SDC tracking option already exceeds the contract residual cap (max CHF 22,788.10 ≈ USD 25k) and the 2026 SDC budget column (USD 35,560). A re-tag pass is scheduled before the SDC final financial report (due 30 Jun 2026 per §3.1) — without it, the over-allocation falls back on unrestricted reserves.</w:t>
      </w:r>
    </w:p>
    <w:p>
      <w:pPr>
        <w:spacing w:after="80"/>
      </w:pPr>
      <w:r>
        <w:rPr>
          <w:rFonts w:ascii="Inter" w:hAnsi="Inter"/>
          <w:b/>
          <w:i w:val="0"/>
          <w:color w:val="E12D64"/>
          <w:sz w:val="22"/>
        </w:rPr>
        <w:t>FCDO Phase II not yet signed</w:t>
      </w:r>
    </w:p>
    <w:p>
      <w:pPr>
        <w:spacing w:after="80"/>
      </w:pPr>
      <w:r>
        <w:rPr>
          <w:rFonts w:ascii="Inter" w:hAnsi="Inter"/>
          <w:b w:val="0"/>
          <w:i w:val="0"/>
          <w:sz w:val="20"/>
        </w:rPr>
        <w:t>GBP-denominated proposal (~£80k, ~USD 106,400 at 1.33) is critical to 2026 cash closing (see P-06d). Target signature end-July 2026.</w:t>
      </w:r>
    </w:p>
    <w:p>
      <w:pPr>
        <w:spacing w:after="80"/>
      </w:pPr>
      <w:r>
        <w:rPr>
          <w:rFonts w:ascii="Inter" w:hAnsi="Inter"/>
          <w:b/>
          <w:i w:val="0"/>
          <w:color w:val="410F37"/>
          <w:sz w:val="22"/>
        </w:rPr>
        <w:t>Unbudgeted YTD overhead lines</w:t>
      </w:r>
    </w:p>
    <w:p>
      <w:pPr>
        <w:spacing w:after="80"/>
      </w:pPr>
      <w:r>
        <w:rPr>
          <w:rFonts w:ascii="Inter" w:hAnsi="Inter"/>
          <w:b w:val="0"/>
          <w:i w:val="0"/>
          <w:sz w:val="20"/>
        </w:rPr>
        <w:t>General Expenses USD 29,194, Branding &amp; Communications USD 9,807, Confidence Building Measures USD 14,598 — none budgeted in the original 2026 plan. Mid-year rebudget recommended (P-06e).</w:t>
      </w:r>
    </w:p>
    <w:p>
      <w:pPr>
        <w:spacing w:after="80"/>
      </w:pPr>
      <w:r>
        <w:rPr>
          <w:rFonts w:ascii="Inter" w:hAnsi="Inter"/>
          <w:b/>
          <w:i w:val="0"/>
          <w:color w:val="410F37"/>
          <w:sz w:val="22"/>
        </w:rPr>
        <w:t>Balance sheet — clean</w:t>
      </w:r>
    </w:p>
    <w:p>
      <w:pPr>
        <w:spacing w:after="80"/>
      </w:pPr>
      <w:r>
        <w:rPr>
          <w:rFonts w:ascii="Inter" w:hAnsi="Inter"/>
          <w:b w:val="0"/>
          <w:i w:val="0"/>
          <w:sz w:val="20"/>
        </w:rPr>
        <w:t>No external debt, no director loans outstanding, AR=0 at quarter-end. Suspense account USD 3.46 — immaterial.</w:t>
      </w:r>
    </w:p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6. Assumptions &amp; data sources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P&amp;L 1 Jan – 31 Mar 2026 — Xero report ID 9ec1519b-a7af-46ef-8d84-24a9877c6842, pulled 26 May 2026.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Balance Sheet at 31 Mar 2026 (with 31 Mar 2025 comparative) — Xero report ID 12c538a9-293f-4774-a41c-3cc6a6ed5179, pulled 26 May 2026.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Bank Summary 1 Jan – 31 Mar 2026 — Xero report ID bb9d409c-c9d4-46f1-9ba6-c9a5dd4d87de, pulled 26 May 2026.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Accrual basis; USD reporting; EUR / GBP balances translated by Xero at the applicable Wise revaluation rate. Period lock 31 Dec 2022.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Donor contracts cross-referenced verbatim: OSF (OR2024-94840), SDC (7F-03317.09.15 / 81082408), Stimson Swiss (Effective 1 Dec 2025).</w:t>
      </w:r>
    </w:p>
    <w:sectPr w:rsidR="00FC693F" w:rsidRPr="0006063C" w:rsidSect="00034616"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410F37"/>
        <w:sz w:val="14"/>
      </w:rPr>
      <w:t>hūmānus — Stichting Victim Advocates International (NL chamber 77641981) | P-06c | Q2 2026 board paper | [TBD: registered office / ANBI / disclaimer footer]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