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567920"/>
            <wp:docPr id="1" name="Picture 1"/>
            <wp:cNvGraphicFramePr>
              <a:graphicFrameLocks noChangeAspect="1"/>
            </wp:cNvGraphicFramePr>
            <a:graphic>
              <a:graphicData uri="http://schemas.openxmlformats.org/drawingml/2006/picture">
                <pic:pic>
                  <pic:nvPicPr>
                    <pic:cNvPr id="0" name="humanus_logo_master_core.png"/>
                    <pic:cNvPicPr/>
                  </pic:nvPicPr>
                  <pic:blipFill>
                    <a:blip r:embed="rId9"/>
                    <a:stretch>
                      <a:fillRect/>
                    </a:stretch>
                  </pic:blipFill>
                  <pic:spPr>
                    <a:xfrm>
                      <a:off x="0" y="0"/>
                      <a:ext cx="1645920" cy="567920"/>
                    </a:xfrm>
                    <a:prstGeom prst="rect"/>
                  </pic:spPr>
                </pic:pic>
              </a:graphicData>
            </a:graphic>
          </wp:inline>
        </w:drawing>
      </w:r>
    </w:p>
    <w:p>
      <w:pPr>
        <w:spacing w:before="120" w:after="80"/>
      </w:pPr>
      <w:r>
        <w:rPr>
          <w:rFonts w:ascii="Inter" w:hAnsi="Inter"/>
          <w:b/>
          <w:color w:val="410F37"/>
          <w:sz w:val="36"/>
        </w:rPr>
        <w:t>2025 Audit — Progress Note</w:t>
      </w:r>
    </w:p>
    <w:p>
      <w:pPr>
        <w:spacing w:after="80"/>
      </w:pPr>
      <w:r>
        <w:rPr>
          <w:rFonts w:ascii="Inter" w:hAnsi="Inter"/>
          <w:b w:val="0"/>
          <w:i/>
          <w:sz w:val="19"/>
        </w:rPr>
        <w:t>P-06b  ·  Prepared by Stacy McGill (Finance Manager)  ·  As-of 26 May 2026  ·  Currency: USD unless stated</w:t>
      </w:r>
    </w:p>
    <w:p>
      <w:pPr>
        <w:spacing w:before="120" w:after="80"/>
      </w:pPr>
      <w:r>
        <w:rPr>
          <w:rFonts w:ascii="Inter" w:hAnsi="Inter"/>
          <w:b/>
          <w:color w:val="410F37"/>
          <w:sz w:val="28"/>
        </w:rPr>
        <w:t>Headline</w:t>
      </w:r>
    </w:p>
    <w:p>
      <w:pPr>
        <w:spacing w:after="80"/>
      </w:pPr>
      <w:r>
        <w:rPr>
          <w:rFonts w:ascii="Inter" w:hAnsi="Inter"/>
          <w:b w:val="0"/>
          <w:i w:val="0"/>
          <w:sz w:val="21"/>
        </w:rPr>
        <w:t>2024 audit: complete; signed report on file as Audit Report VAI_2024.pdf (humanusGovernance/2026/Q1/). Up for formal board approval at this meeting. 2025 audit: fieldwork commencing now per Q1 minute §6; on track but tight against the 29 June meeting date — expect a status verbal at the meeting rather than a signed report in the pack.</w:t>
      </w:r>
    </w:p>
    <w:p>
      <w:pPr>
        <w:spacing w:before="120" w:after="80"/>
      </w:pPr>
      <w:r>
        <w:rPr>
          <w:rFonts w:ascii="Inter" w:hAnsi="Inter"/>
          <w:b/>
          <w:color w:val="410F37"/>
          <w:sz w:val="28"/>
        </w:rPr>
        <w:t>Status by audit cycle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410F37"/>
          </w:tcPr>
          <w:p>
            <w:r>
              <w:rPr>
                <w:rFonts w:ascii="Inter" w:hAnsi="Inter"/>
                <w:b/>
                <w:color w:val="FFFFFF"/>
                <w:sz w:val="20"/>
              </w:rPr>
              <w:t>Audit cycle</w:t>
            </w:r>
          </w:p>
        </w:tc>
        <w:tc>
          <w:tcPr>
            <w:tcW w:type="dxa" w:w="2493"/>
            <w:shd w:val="clear" w:color="auto" w:fill="410F37"/>
          </w:tcPr>
          <w:p>
            <w:r>
              <w:rPr>
                <w:rFonts w:ascii="Inter" w:hAnsi="Inter"/>
                <w:b/>
                <w:color w:val="FFFFFF"/>
                <w:sz w:val="20"/>
              </w:rPr>
              <w:t>Status</w:t>
            </w:r>
          </w:p>
        </w:tc>
        <w:tc>
          <w:tcPr>
            <w:tcW w:type="dxa" w:w="2493"/>
            <w:shd w:val="clear" w:color="auto" w:fill="410F37"/>
          </w:tcPr>
          <w:p>
            <w:r>
              <w:rPr>
                <w:rFonts w:ascii="Inter" w:hAnsi="Inter"/>
                <w:b/>
                <w:color w:val="FFFFFF"/>
                <w:sz w:val="20"/>
              </w:rPr>
              <w:t>Next milestone</w:t>
            </w:r>
          </w:p>
        </w:tc>
        <w:tc>
          <w:tcPr>
            <w:tcW w:type="dxa" w:w="2493"/>
            <w:shd w:val="clear" w:color="auto" w:fill="410F37"/>
          </w:tcPr>
          <w:p>
            <w:r>
              <w:rPr>
                <w:rFonts w:ascii="Inter" w:hAnsi="Inter"/>
                <w:b/>
                <w:color w:val="FFFFFF"/>
                <w:sz w:val="20"/>
              </w:rPr>
              <w:t>Risk flag</w:t>
            </w:r>
          </w:p>
        </w:tc>
      </w:tr>
      <w:tr>
        <w:tc>
          <w:tcPr>
            <w:tcW w:type="dxa" w:w="2493"/>
          </w:tcPr>
          <w:p>
            <w:r>
              <w:rPr>
                <w:rFonts w:ascii="Inter" w:hAnsi="Inter"/>
                <w:b w:val="0"/>
                <w:color w:val="410F37"/>
                <w:sz w:val="20"/>
              </w:rPr>
              <w:t>FY2024</w:t>
            </w:r>
          </w:p>
        </w:tc>
        <w:tc>
          <w:tcPr>
            <w:tcW w:type="dxa" w:w="2493"/>
          </w:tcPr>
          <w:p>
            <w:r>
              <w:rPr>
                <w:rFonts w:ascii="Inter" w:hAnsi="Inter"/>
                <w:b w:val="0"/>
                <w:color w:val="410F37"/>
                <w:sz w:val="20"/>
              </w:rPr>
              <w:t>Complete — auditor's report issued</w:t>
            </w:r>
          </w:p>
        </w:tc>
        <w:tc>
          <w:tcPr>
            <w:tcW w:type="dxa" w:w="2493"/>
          </w:tcPr>
          <w:p>
            <w:r>
              <w:rPr>
                <w:rFonts w:ascii="Inter" w:hAnsi="Inter"/>
                <w:b w:val="0"/>
                <w:color w:val="410F37"/>
                <w:sz w:val="20"/>
              </w:rPr>
              <w:t>Board approval at 29 Jun 2026 meeting (P-06a)</w:t>
            </w:r>
          </w:p>
        </w:tc>
        <w:tc>
          <w:tcPr>
            <w:tcW w:type="dxa" w:w="2493"/>
          </w:tcPr>
          <w:p>
            <w:r>
              <w:rPr>
                <w:rFonts w:ascii="Inter" w:hAnsi="Inter"/>
                <w:b w:val="0"/>
                <w:color w:val="410F37"/>
                <w:sz w:val="20"/>
              </w:rPr>
              <w:t>—</w:t>
            </w:r>
          </w:p>
        </w:tc>
      </w:tr>
      <w:tr>
        <w:tc>
          <w:tcPr>
            <w:tcW w:type="dxa" w:w="2493"/>
          </w:tcPr>
          <w:p>
            <w:r>
              <w:rPr>
                <w:rFonts w:ascii="Inter" w:hAnsi="Inter"/>
                <w:b w:val="0"/>
                <w:color w:val="410F37"/>
                <w:sz w:val="20"/>
              </w:rPr>
              <w:t>FY2025</w:t>
            </w:r>
          </w:p>
        </w:tc>
        <w:tc>
          <w:tcPr>
            <w:tcW w:type="dxa" w:w="2493"/>
          </w:tcPr>
          <w:p>
            <w:r>
              <w:rPr>
                <w:rFonts w:ascii="Inter" w:hAnsi="Inter"/>
                <w:b w:val="0"/>
                <w:color w:val="410F37"/>
                <w:sz w:val="20"/>
              </w:rPr>
              <w:t>Fieldwork commencing Q2 2026 per Q1 minute §6</w:t>
            </w:r>
          </w:p>
        </w:tc>
        <w:tc>
          <w:tcPr>
            <w:tcW w:type="dxa" w:w="2493"/>
          </w:tcPr>
          <w:p>
            <w:r>
              <w:rPr>
                <w:rFonts w:ascii="Inter" w:hAnsi="Inter"/>
                <w:b w:val="0"/>
                <w:color w:val="410F37"/>
                <w:sz w:val="20"/>
              </w:rPr>
              <w:t>Draft auditor's report targeted for next board meeting (Q3 2026); status verbal at 29 Jun</w:t>
            </w:r>
          </w:p>
        </w:tc>
        <w:tc>
          <w:tcPr>
            <w:tcW w:type="dxa" w:w="2493"/>
          </w:tcPr>
          <w:p>
            <w:r>
              <w:rPr>
                <w:rFonts w:ascii="Inter" w:hAnsi="Inter"/>
                <w:b w:val="0"/>
                <w:color w:val="410F37"/>
                <w:sz w:val="20"/>
              </w:rPr>
              <w:t>Tight against 29 Jun if planned for this meeting</w:t>
            </w:r>
          </w:p>
        </w:tc>
      </w:tr>
    </w:tbl>
    <w:p>
      <w:pPr>
        <w:spacing w:before="120" w:after="80"/>
      </w:pPr>
      <w:r>
        <w:rPr>
          <w:rFonts w:ascii="Inter" w:hAnsi="Inter"/>
          <w:b/>
          <w:color w:val="410F37"/>
          <w:sz w:val="28"/>
        </w:rPr>
        <w:t>Why earlier this year</w:t>
      </w:r>
    </w:p>
    <w:p>
      <w:pPr>
        <w:spacing w:after="80"/>
      </w:pPr>
      <w:r>
        <w:rPr>
          <w:rFonts w:ascii="Inter" w:hAnsi="Inter"/>
          <w:b w:val="0"/>
          <w:i w:val="0"/>
          <w:sz w:val="21"/>
        </w:rPr>
        <w:t>The Q1 minute records the Board's request to bring the 2025 audit forward in the year so that audited 2025 financials are available earlier in the 2026 cycle. Fieldwork is being scheduled accordingly. The standing item for Q3 will be the draft audited financials; Q2 papers carry the Q1 management accounts (unaudited) as an interim view.</w:t>
      </w:r>
    </w:p>
    <w:p>
      <w:pPr>
        <w:spacing w:before="120" w:after="80"/>
      </w:pPr>
      <w:r>
        <w:rPr>
          <w:rFonts w:ascii="Inter" w:hAnsi="Inter"/>
          <w:b/>
          <w:color w:val="410F37"/>
          <w:sz w:val="28"/>
        </w:rPr>
        <w:t>Dutch statutory context</w:t>
      </w:r>
    </w:p>
    <w:p>
      <w:pPr>
        <w:spacing w:after="80"/>
      </w:pPr>
      <w:r>
        <w:rPr>
          <w:rFonts w:ascii="Inter" w:hAnsi="Inter"/>
          <w:b w:val="0"/>
          <w:i w:val="0"/>
          <w:sz w:val="21"/>
        </w:rPr>
        <w:t>Per Q1 minute §6: the Dutch statutory requirement is approval of the audited accounts by the board of directors. hūmānus's 2024 budget sits below the Dutch statutory audit threshold; the external audit is conducted as good practice (donor- and reputation-driven). The advisory board reviews per internal governance policy; statutory approval remains with the board of directors (currently Eva Buzo as sole statutory director, with the Dutch Chair appointment in progress — see Q1 minute §7).</w:t>
      </w:r>
    </w:p>
    <w:p>
      <w:pPr>
        <w:spacing w:before="120" w:after="80"/>
      </w:pPr>
      <w:r>
        <w:rPr>
          <w:rFonts w:ascii="Inter" w:hAnsi="Inter"/>
          <w:b/>
          <w:color w:val="410F37"/>
          <w:sz w:val="28"/>
        </w:rPr>
        <w:t>Compliance / risk flags</w:t>
      </w:r>
    </w:p>
    <w:p>
      <w:pPr>
        <w:spacing w:after="80"/>
      </w:pPr>
      <w:r>
        <w:rPr>
          <w:rFonts w:ascii="Inter" w:hAnsi="Inter"/>
          <w:b w:val="0"/>
          <w:i w:val="0"/>
          <w:sz w:val="21"/>
        </w:rPr>
        <w:t>·  Donor reporting downstream: SDC final financial report (§3.1 of the SDC agreement) is due 30 June 2026 and must be audited by an SDC-approved independent auditor (§3.3). The 2025 audit timing supports this but does not directly satisfy §3.3 — a project-specific audit certification is also required on SDC reporting and is being scoped with the auditor.</w:t>
      </w:r>
    </w:p>
    <w:p>
      <w:pPr>
        <w:spacing w:after="80"/>
      </w:pPr>
      <w:r>
        <w:rPr>
          <w:rFonts w:ascii="Inter" w:hAnsi="Inter"/>
          <w:b w:val="0"/>
          <w:i w:val="0"/>
          <w:sz w:val="21"/>
        </w:rPr>
        <w:t>·  Period lock in Xero remains at 31 Dec 2022; year-end lock for 2025 to be applied on audit sign-off. No back-dated postings into 2024 or 2025 are open at Finance Manager level.</w:t>
      </w:r>
    </w:p>
    <w:p>
      <w:pPr>
        <w:spacing w:before="120" w:after="80"/>
      </w:pPr>
      <w:r>
        <w:rPr>
          <w:rFonts w:ascii="Inter" w:hAnsi="Inter"/>
          <w:b/>
          <w:color w:val="410F37"/>
          <w:sz w:val="28"/>
        </w:rPr>
        <w:t>Recommended board action</w:t>
      </w:r>
    </w:p>
    <w:p>
      <w:pPr>
        <w:spacing w:after="80"/>
      </w:pPr>
      <w:r>
        <w:rPr>
          <w:rFonts w:ascii="Inter" w:hAnsi="Inter"/>
          <w:b/>
          <w:i w:val="0"/>
          <w:color w:val="410F37"/>
          <w:sz w:val="21"/>
        </w:rPr>
        <w:t>·  Approve 2024 audited financials (P-06a) — board decision.</w:t>
      </w:r>
    </w:p>
    <w:p>
      <w:pPr>
        <w:spacing w:after="80"/>
      </w:pPr>
      <w:r>
        <w:rPr>
          <w:rFonts w:ascii="Inter" w:hAnsi="Inter"/>
          <w:b/>
          <w:i w:val="0"/>
          <w:color w:val="410F37"/>
          <w:sz w:val="21"/>
        </w:rPr>
        <w:t>·  Note 2025 audit timing and SDC §3.3 audit certification scope — for information.</w:t>
      </w:r>
    </w:p>
    <w:sectPr w:rsidR="00FC693F" w:rsidRPr="0006063C" w:rsidSect="00034616">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410F37"/>
        <w:sz w:val="14"/>
      </w:rPr>
      <w:t>hūmānus — Stichting Victim Advocates International (NL chamber 77641981) | P-06b | Q2 2026 board paper | [TBD: registered office / ANBI / disclaimer footer]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