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567920"/>
            <wp:docPr id="1" name="Picture 1"/>
            <wp:cNvGraphicFramePr>
              <a:graphicFrameLocks noChangeAspect="1"/>
            </wp:cNvGraphicFramePr>
            <a:graphic>
              <a:graphicData uri="http://schemas.openxmlformats.org/drawingml/2006/picture">
                <pic:pic>
                  <pic:nvPicPr>
                    <pic:cNvPr id="0" name="humanus_logo_master_core.png"/>
                    <pic:cNvPicPr/>
                  </pic:nvPicPr>
                  <pic:blipFill>
                    <a:blip r:embed="rId9"/>
                    <a:stretch>
                      <a:fillRect/>
                    </a:stretch>
                  </pic:blipFill>
                  <pic:spPr>
                    <a:xfrm>
                      <a:off x="0" y="0"/>
                      <a:ext cx="1645920" cy="567920"/>
                    </a:xfrm>
                    <a:prstGeom prst="rect"/>
                  </pic:spPr>
                </pic:pic>
              </a:graphicData>
            </a:graphic>
          </wp:inline>
        </w:drawing>
      </w:r>
    </w:p>
    <w:p>
      <w:pPr>
        <w:spacing w:before="120" w:after="80"/>
      </w:pPr>
      <w:r>
        <w:rPr>
          <w:rFonts w:ascii="Inter" w:hAnsi="Inter"/>
          <w:b/>
          <w:color w:val="410F37"/>
          <w:sz w:val="36"/>
        </w:rPr>
        <w:t>Reserves Position Note</w:t>
      </w:r>
    </w:p>
    <w:p>
      <w:pPr>
        <w:spacing w:after="80"/>
      </w:pPr>
      <w:r>
        <w:rPr>
          <w:rFonts w:ascii="Inter" w:hAnsi="Inter"/>
          <w:b w:val="0"/>
          <w:i/>
          <w:sz w:val="19"/>
        </w:rPr>
        <w:t>P-06f  ·  Prepared by Stacy McGill (Finance Manager)  ·  As-of 26 May 2026  ·  Currency: USD unless stated</w:t>
      </w:r>
    </w:p>
    <w:p>
      <w:pPr>
        <w:spacing w:before="120" w:after="80"/>
      </w:pPr>
      <w:r>
        <w:rPr>
          <w:rFonts w:ascii="Inter" w:hAnsi="Inter"/>
          <w:b/>
          <w:color w:val="410F37"/>
          <w:sz w:val="28"/>
        </w:rPr>
        <w:t>Headline</w:t>
      </w:r>
    </w:p>
    <w:p>
      <w:pPr>
        <w:spacing w:after="80"/>
      </w:pPr>
      <w:r>
        <w:rPr>
          <w:rFonts w:ascii="Inter" w:hAnsi="Inter"/>
          <w:b/>
          <w:i w:val="0"/>
          <w:color w:val="410F37"/>
          <w:sz w:val="21"/>
        </w:rPr>
        <w:t>At 25 May 2026, hūmānus held USD 182,796 cash (Wise USD 173,360 + EUR 9,436 + GBP 0). Net assets USD 182,597. This sits in the AMBER band of the proposed reserves policy (CAP-25, awaiting board sign-off) — equivalent to ~4.1 months of core unrestricted overhead. The 6-month Target (Green) requires a further ~USD 82k.</w:t>
      </w:r>
    </w:p>
    <w:p>
      <w:pPr>
        <w:spacing w:before="120" w:after="80"/>
      </w:pPr>
      <w:r>
        <w:rPr>
          <w:rFonts w:ascii="Inter" w:hAnsi="Inter"/>
          <w:b/>
          <w:color w:val="410F37"/>
          <w:sz w:val="28"/>
        </w:rPr>
        <w:t>Position vs proposed policy</w:t>
      </w:r>
    </w:p>
    <w:tbl>
      <w:tblPr>
        <w:tblStyle w:val="LightGrid-Accent1"/>
        <w:tblW w:type="auto" w:w="0"/>
        <w:tblLook w:firstColumn="1" w:firstRow="1" w:lastColumn="0" w:lastRow="0" w:noHBand="0" w:noVBand="1" w:val="04A0"/>
      </w:tblPr>
      <w:tblGrid>
        <w:gridCol w:w="3324"/>
        <w:gridCol w:w="3324"/>
        <w:gridCol w:w="3324"/>
      </w:tblGrid>
      <w:tr>
        <w:tc>
          <w:tcPr>
            <w:tcW w:type="dxa" w:w="3402"/>
            <w:shd w:val="clear" w:color="auto" w:fill="410F37"/>
          </w:tcPr>
          <w:p>
            <w:r>
              <w:rPr>
                <w:rFonts w:ascii="Inter" w:hAnsi="Inter"/>
                <w:b/>
                <w:color w:val="FFFFFF"/>
                <w:sz w:val="20"/>
              </w:rPr>
              <w:t>Band</w:t>
            </w:r>
          </w:p>
        </w:tc>
        <w:tc>
          <w:tcPr>
            <w:tcW w:type="dxa" w:w="2268"/>
            <w:shd w:val="clear" w:color="auto" w:fill="410F37"/>
          </w:tcPr>
          <w:p>
            <w:r>
              <w:rPr>
                <w:rFonts w:ascii="Inter" w:hAnsi="Inter"/>
                <w:b/>
                <w:color w:val="FFFFFF"/>
                <w:sz w:val="20"/>
              </w:rPr>
              <w:t>Threshold (USD)</w:t>
            </w:r>
          </w:p>
        </w:tc>
        <w:tc>
          <w:tcPr>
            <w:tcW w:type="dxa" w:w="3969"/>
            <w:shd w:val="clear" w:color="auto" w:fill="410F37"/>
          </w:tcPr>
          <w:p>
            <w:r>
              <w:rPr>
                <w:rFonts w:ascii="Inter" w:hAnsi="Inter"/>
                <w:b/>
                <w:color w:val="FFFFFF"/>
                <w:sz w:val="20"/>
              </w:rPr>
              <w:t>Status</w:t>
            </w:r>
          </w:p>
        </w:tc>
      </w:tr>
      <w:tr>
        <w:tc>
          <w:tcPr>
            <w:tcW w:type="dxa" w:w="3402"/>
          </w:tcPr>
          <w:p>
            <w:r>
              <w:rPr>
                <w:rFonts w:ascii="Inter" w:hAnsi="Inter"/>
                <w:b w:val="0"/>
                <w:color w:val="410F37"/>
                <w:sz w:val="20"/>
              </w:rPr>
              <w:t>Floor (Red) — 3 months core overhead</w:t>
            </w:r>
          </w:p>
        </w:tc>
        <w:tc>
          <w:tcPr>
            <w:tcW w:type="dxa" w:w="2268"/>
          </w:tcPr>
          <w:p>
            <w:r>
              <w:rPr>
                <w:rFonts w:ascii="Inter" w:hAnsi="Inter"/>
                <w:b w:val="0"/>
                <w:color w:val="410F37"/>
                <w:sz w:val="20"/>
              </w:rPr>
              <w:t>USD 132,527</w:t>
            </w:r>
          </w:p>
        </w:tc>
        <w:tc>
          <w:tcPr>
            <w:tcW w:type="dxa" w:w="3969"/>
          </w:tcPr>
          <w:p>
            <w:r>
              <w:rPr>
                <w:rFonts w:ascii="Inter" w:hAnsi="Inter"/>
                <w:b w:val="0"/>
                <w:color w:val="410F37"/>
                <w:sz w:val="20"/>
              </w:rPr>
              <w:t>Held</w:t>
            </w:r>
          </w:p>
        </w:tc>
      </w:tr>
      <w:tr>
        <w:tc>
          <w:tcPr>
            <w:tcW w:type="dxa" w:w="3402"/>
          </w:tcPr>
          <w:p>
            <w:r>
              <w:rPr>
                <w:rFonts w:ascii="Inter" w:hAnsi="Inter"/>
                <w:b w:val="0"/>
                <w:color w:val="410F37"/>
                <w:sz w:val="20"/>
              </w:rPr>
              <w:t>Amber band — 3 to 6 months</w:t>
            </w:r>
          </w:p>
        </w:tc>
        <w:tc>
          <w:tcPr>
            <w:tcW w:type="dxa" w:w="2268"/>
          </w:tcPr>
          <w:p>
            <w:r>
              <w:rPr>
                <w:rFonts w:ascii="Inter" w:hAnsi="Inter"/>
                <w:b w:val="0"/>
                <w:color w:val="410F37"/>
                <w:sz w:val="20"/>
              </w:rPr>
              <w:t>USD 132,527 – 265,054</w:t>
            </w:r>
          </w:p>
        </w:tc>
        <w:tc>
          <w:tcPr>
            <w:tcW w:type="dxa" w:w="3969"/>
          </w:tcPr>
          <w:p>
            <w:r>
              <w:rPr>
                <w:rFonts w:ascii="Inter" w:hAnsi="Inter"/>
                <w:b w:val="0"/>
                <w:color w:val="410F37"/>
                <w:sz w:val="20"/>
              </w:rPr>
              <w:t>Held — USD 182,796 sits inside band (4.1 months cover)</w:t>
            </w:r>
          </w:p>
        </w:tc>
      </w:tr>
      <w:tr>
        <w:tc>
          <w:tcPr>
            <w:tcW w:type="dxa" w:w="3402"/>
          </w:tcPr>
          <w:p>
            <w:r>
              <w:rPr>
                <w:rFonts w:ascii="Inter" w:hAnsi="Inter"/>
                <w:b w:val="0"/>
                <w:color w:val="410F37"/>
                <w:sz w:val="20"/>
              </w:rPr>
              <w:t>Target (Green) — 6 months core overhead</w:t>
            </w:r>
          </w:p>
        </w:tc>
        <w:tc>
          <w:tcPr>
            <w:tcW w:type="dxa" w:w="2268"/>
          </w:tcPr>
          <w:p>
            <w:r>
              <w:rPr>
                <w:rFonts w:ascii="Inter" w:hAnsi="Inter"/>
                <w:b w:val="0"/>
                <w:color w:val="410F37"/>
                <w:sz w:val="20"/>
              </w:rPr>
              <w:t>USD 265,054</w:t>
            </w:r>
          </w:p>
        </w:tc>
        <w:tc>
          <w:tcPr>
            <w:tcW w:type="dxa" w:w="3969"/>
          </w:tcPr>
          <w:p>
            <w:r>
              <w:rPr>
                <w:rFonts w:ascii="Inter" w:hAnsi="Inter"/>
                <w:b w:val="0"/>
                <w:color w:val="410F37"/>
                <w:sz w:val="20"/>
              </w:rPr>
              <w:t>Gap of USD 82,258 to reach</w:t>
            </w:r>
          </w:p>
        </w:tc>
      </w:tr>
    </w:tbl>
    <w:p>
      <w:pPr>
        <w:spacing w:before="120" w:after="80"/>
      </w:pPr>
      <w:r>
        <w:rPr>
          <w:rFonts w:ascii="Inter" w:hAnsi="Inter"/>
          <w:b/>
          <w:color w:val="410F37"/>
          <w:sz w:val="28"/>
        </w:rPr>
        <w:t>Policy basis</w:t>
      </w:r>
    </w:p>
    <w:p>
      <w:pPr>
        <w:spacing w:after="80"/>
      </w:pPr>
      <w:r>
        <w:rPr>
          <w:rFonts w:ascii="Inter" w:hAnsi="Inter"/>
          <w:b w:val="0"/>
          <w:i w:val="0"/>
          <w:sz w:val="21"/>
        </w:rPr>
        <w:t>Core unrestricted overhead = Operating Expenses (audit, accounting, board, IT, comms, ops support, FX, depreciation, insurance) — excluding Cost of Sales / programme staff, because programme spend is grant-restricted and matches restricted grant income.</w:t>
      </w:r>
    </w:p>
    <w:p>
      <w:pPr>
        <w:spacing w:after="80"/>
      </w:pPr>
      <w:r>
        <w:rPr>
          <w:rFonts w:ascii="Inter" w:hAnsi="Inter"/>
          <w:b w:val="0"/>
          <w:i w:val="0"/>
          <w:sz w:val="21"/>
        </w:rPr>
        <w:t>Base figure: USD 44,176 / month (Feb–Apr 2026 average). 3-month floor and 6-month target reflect standard practice for grant-funded charities with lumpy income (USD 300k OSF tranches land in January each year, not evenly through the year).</w:t>
      </w:r>
    </w:p>
    <w:p>
      <w:pPr>
        <w:spacing w:before="120" w:after="80"/>
      </w:pPr>
      <w:r>
        <w:rPr>
          <w:rFonts w:ascii="Inter" w:hAnsi="Inter"/>
          <w:b/>
          <w:color w:val="410F37"/>
          <w:sz w:val="28"/>
        </w:rPr>
        <w:t>Trend</w:t>
      </w:r>
    </w:p>
    <w:tbl>
      <w:tblPr>
        <w:tblStyle w:val="LightGrid-Accent1"/>
        <w:tblW w:type="auto" w:w="0"/>
        <w:tblLook w:firstColumn="1" w:firstRow="1" w:lastColumn="0" w:lastRow="0" w:noHBand="0" w:noVBand="1" w:val="04A0"/>
      </w:tblPr>
      <w:tblGrid>
        <w:gridCol w:w="3324"/>
        <w:gridCol w:w="3324"/>
        <w:gridCol w:w="3324"/>
      </w:tblGrid>
      <w:tr>
        <w:tc>
          <w:tcPr>
            <w:tcW w:type="dxa" w:w="2835"/>
            <w:shd w:val="clear" w:color="auto" w:fill="410F37"/>
          </w:tcPr>
          <w:p>
            <w:r>
              <w:rPr>
                <w:rFonts w:ascii="Inter" w:hAnsi="Inter"/>
                <w:b/>
                <w:color w:val="FFFFFF"/>
                <w:sz w:val="20"/>
              </w:rPr>
              <w:t>Date</w:t>
            </w:r>
          </w:p>
        </w:tc>
        <w:tc>
          <w:tcPr>
            <w:tcW w:type="dxa" w:w="3402"/>
            <w:shd w:val="clear" w:color="auto" w:fill="410F37"/>
          </w:tcPr>
          <w:p>
            <w:r>
              <w:rPr>
                <w:rFonts w:ascii="Inter" w:hAnsi="Inter"/>
                <w:b/>
                <w:color w:val="FFFFFF"/>
                <w:sz w:val="20"/>
              </w:rPr>
              <w:t>Total cash (USD equiv)</w:t>
            </w:r>
          </w:p>
        </w:tc>
        <w:tc>
          <w:tcPr>
            <w:tcW w:type="dxa" w:w="2835"/>
            <w:shd w:val="clear" w:color="auto" w:fill="410F37"/>
          </w:tcPr>
          <w:p>
            <w:r>
              <w:rPr>
                <w:rFonts w:ascii="Inter" w:hAnsi="Inter"/>
                <w:b/>
                <w:color w:val="FFFFFF"/>
                <w:sz w:val="20"/>
              </w:rPr>
              <w:t>Reserves band</w:t>
            </w:r>
          </w:p>
        </w:tc>
      </w:tr>
      <w:tr>
        <w:tc>
          <w:tcPr>
            <w:tcW w:type="dxa" w:w="2835"/>
          </w:tcPr>
          <w:p>
            <w:r>
              <w:rPr>
                <w:rFonts w:ascii="Inter" w:hAnsi="Inter"/>
                <w:b w:val="0"/>
                <w:color w:val="410F37"/>
                <w:sz w:val="20"/>
              </w:rPr>
              <w:t>31 Mar 2025 (Q1 closing, comparative)</w:t>
            </w:r>
          </w:p>
        </w:tc>
        <w:tc>
          <w:tcPr>
            <w:tcW w:type="dxa" w:w="3402"/>
          </w:tcPr>
          <w:p>
            <w:r>
              <w:rPr>
                <w:rFonts w:ascii="Inter" w:hAnsi="Inter"/>
                <w:b w:val="0"/>
                <w:color w:val="410F37"/>
                <w:sz w:val="20"/>
              </w:rPr>
              <w:t>USD 254,322</w:t>
            </w:r>
          </w:p>
        </w:tc>
        <w:tc>
          <w:tcPr>
            <w:tcW w:type="dxa" w:w="2835"/>
          </w:tcPr>
          <w:p>
            <w:r>
              <w:rPr>
                <w:rFonts w:ascii="Inter" w:hAnsi="Inter"/>
                <w:b w:val="0"/>
                <w:color w:val="410F37"/>
                <w:sz w:val="20"/>
              </w:rPr>
              <w:t>Green (above 6-mo)</w:t>
            </w:r>
          </w:p>
        </w:tc>
      </w:tr>
      <w:tr>
        <w:tc>
          <w:tcPr>
            <w:tcW w:type="dxa" w:w="2835"/>
          </w:tcPr>
          <w:p>
            <w:r>
              <w:rPr>
                <w:rFonts w:ascii="Inter" w:hAnsi="Inter"/>
                <w:b w:val="0"/>
                <w:color w:val="410F37"/>
                <w:sz w:val="20"/>
              </w:rPr>
              <w:t>31 Dec 2025 (year-end)</w:t>
            </w:r>
          </w:p>
        </w:tc>
        <w:tc>
          <w:tcPr>
            <w:tcW w:type="dxa" w:w="3402"/>
          </w:tcPr>
          <w:p>
            <w:r>
              <w:rPr>
                <w:rFonts w:ascii="Inter" w:hAnsi="Inter"/>
                <w:b w:val="0"/>
                <w:color w:val="410F37"/>
                <w:sz w:val="20"/>
              </w:rPr>
              <w:t>USD 23,787  (note: post-OSF Y1 tranche fully spent on Q4 2025 programme; OSF Y2 had not yet landed)</w:t>
            </w:r>
          </w:p>
        </w:tc>
        <w:tc>
          <w:tcPr>
            <w:tcW w:type="dxa" w:w="2835"/>
          </w:tcPr>
          <w:p>
            <w:r>
              <w:rPr>
                <w:rFonts w:ascii="Inter" w:hAnsi="Inter"/>
                <w:b w:val="0"/>
                <w:color w:val="410F37"/>
                <w:sz w:val="20"/>
              </w:rPr>
              <w:t>Red</w:t>
            </w:r>
          </w:p>
        </w:tc>
      </w:tr>
      <w:tr>
        <w:tc>
          <w:tcPr>
            <w:tcW w:type="dxa" w:w="2835"/>
          </w:tcPr>
          <w:p>
            <w:r>
              <w:rPr>
                <w:rFonts w:ascii="Inter" w:hAnsi="Inter"/>
                <w:b w:val="0"/>
                <w:color w:val="410F37"/>
                <w:sz w:val="20"/>
              </w:rPr>
              <w:t>31 Jan 2026 (post-OSF Y2 tranche)</w:t>
            </w:r>
          </w:p>
        </w:tc>
        <w:tc>
          <w:tcPr>
            <w:tcW w:type="dxa" w:w="3402"/>
          </w:tcPr>
          <w:p>
            <w:r>
              <w:rPr>
                <w:rFonts w:ascii="Inter" w:hAnsi="Inter"/>
                <w:b w:val="0"/>
                <w:color w:val="410F37"/>
                <w:sz w:val="20"/>
              </w:rPr>
              <w:t>USD ~300,000</w:t>
            </w:r>
          </w:p>
        </w:tc>
        <w:tc>
          <w:tcPr>
            <w:tcW w:type="dxa" w:w="2835"/>
          </w:tcPr>
          <w:p>
            <w:r>
              <w:rPr>
                <w:rFonts w:ascii="Inter" w:hAnsi="Inter"/>
                <w:b w:val="0"/>
                <w:color w:val="410F37"/>
                <w:sz w:val="20"/>
              </w:rPr>
              <w:t>Green</w:t>
            </w:r>
          </w:p>
        </w:tc>
      </w:tr>
      <w:tr>
        <w:tc>
          <w:tcPr>
            <w:tcW w:type="dxa" w:w="2835"/>
          </w:tcPr>
          <w:p>
            <w:r>
              <w:rPr>
                <w:rFonts w:ascii="Inter" w:hAnsi="Inter"/>
                <w:b w:val="0"/>
                <w:color w:val="410F37"/>
                <w:sz w:val="20"/>
              </w:rPr>
              <w:t>31 Mar 2026</w:t>
            </w:r>
          </w:p>
        </w:tc>
        <w:tc>
          <w:tcPr>
            <w:tcW w:type="dxa" w:w="3402"/>
          </w:tcPr>
          <w:p>
            <w:r>
              <w:rPr>
                <w:rFonts w:ascii="Inter" w:hAnsi="Inter"/>
                <w:b w:val="0"/>
                <w:color w:val="410F37"/>
                <w:sz w:val="20"/>
              </w:rPr>
              <w:t>USD 197,591</w:t>
            </w:r>
          </w:p>
        </w:tc>
        <w:tc>
          <w:tcPr>
            <w:tcW w:type="dxa" w:w="2835"/>
          </w:tcPr>
          <w:p>
            <w:r>
              <w:rPr>
                <w:rFonts w:ascii="Inter" w:hAnsi="Inter"/>
                <w:b w:val="0"/>
                <w:color w:val="410F37"/>
                <w:sz w:val="20"/>
              </w:rPr>
              <w:t>Amber/Green</w:t>
            </w:r>
          </w:p>
        </w:tc>
      </w:tr>
      <w:tr>
        <w:tc>
          <w:tcPr>
            <w:tcW w:type="dxa" w:w="2835"/>
          </w:tcPr>
          <w:p>
            <w:r>
              <w:rPr>
                <w:rFonts w:ascii="Inter" w:hAnsi="Inter"/>
                <w:b w:val="0"/>
                <w:color w:val="410F37"/>
                <w:sz w:val="20"/>
              </w:rPr>
              <w:t>30 Apr 2026</w:t>
            </w:r>
          </w:p>
        </w:tc>
        <w:tc>
          <w:tcPr>
            <w:tcW w:type="dxa" w:w="3402"/>
          </w:tcPr>
          <w:p>
            <w:r>
              <w:rPr>
                <w:rFonts w:ascii="Inter" w:hAnsi="Inter"/>
                <w:b w:val="0"/>
                <w:color w:val="410F37"/>
                <w:sz w:val="20"/>
              </w:rPr>
              <w:t>USD 140,146</w:t>
            </w:r>
          </w:p>
        </w:tc>
        <w:tc>
          <w:tcPr>
            <w:tcW w:type="dxa" w:w="2835"/>
          </w:tcPr>
          <w:p>
            <w:r>
              <w:rPr>
                <w:rFonts w:ascii="Inter" w:hAnsi="Inter"/>
                <w:b w:val="0"/>
                <w:color w:val="410F37"/>
                <w:sz w:val="20"/>
              </w:rPr>
              <w:t>Amber</w:t>
            </w:r>
          </w:p>
        </w:tc>
      </w:tr>
      <w:tr>
        <w:tc>
          <w:tcPr>
            <w:tcW w:type="dxa" w:w="2835"/>
          </w:tcPr>
          <w:p>
            <w:r>
              <w:rPr>
                <w:rFonts w:ascii="Inter" w:hAnsi="Inter"/>
                <w:b w:val="0"/>
                <w:color w:val="410F37"/>
                <w:sz w:val="20"/>
              </w:rPr>
              <w:t>25 May 2026 (current)</w:t>
            </w:r>
          </w:p>
        </w:tc>
        <w:tc>
          <w:tcPr>
            <w:tcW w:type="dxa" w:w="3402"/>
          </w:tcPr>
          <w:p>
            <w:r>
              <w:rPr>
                <w:rFonts w:ascii="Inter" w:hAnsi="Inter"/>
                <w:b w:val="0"/>
                <w:color w:val="410F37"/>
                <w:sz w:val="20"/>
              </w:rPr>
              <w:t>USD 182,796</w:t>
            </w:r>
          </w:p>
        </w:tc>
        <w:tc>
          <w:tcPr>
            <w:tcW w:type="dxa" w:w="2835"/>
          </w:tcPr>
          <w:p>
            <w:r>
              <w:rPr>
                <w:rFonts w:ascii="Inter" w:hAnsi="Inter"/>
                <w:b w:val="0"/>
                <w:color w:val="410F37"/>
                <w:sz w:val="20"/>
              </w:rPr>
              <w:t>Amber</w:t>
            </w:r>
          </w:p>
        </w:tc>
      </w:tr>
    </w:tbl>
    <w:p>
      <w:pPr>
        <w:spacing w:after="80"/>
      </w:pPr>
      <w:r>
        <w:rPr>
          <w:rFonts w:ascii="Inter" w:hAnsi="Inter"/>
          <w:b w:val="0"/>
          <w:i w:val="0"/>
          <w:sz w:val="20"/>
        </w:rPr>
        <w:t>The pattern is structural: cash peaks immediately post-OSF tranche, draws down through the year, troughs in Q4 before the next OSF tranche. The reserves policy is sized for the trough, not the peak. Without the OSF tranche cadence, the organisation would breach the Red floor at year-end.</w:t>
      </w:r>
    </w:p>
    <w:p>
      <w:pPr>
        <w:spacing w:before="120" w:after="80"/>
      </w:pPr>
      <w:r>
        <w:rPr>
          <w:rFonts w:ascii="Inter" w:hAnsi="Inter"/>
          <w:b/>
          <w:color w:val="410F37"/>
          <w:sz w:val="28"/>
        </w:rPr>
        <w:t>Forward view (per 12-month cash flow P-06d)</w:t>
      </w:r>
    </w:p>
    <w:p>
      <w:pPr>
        <w:spacing w:after="80"/>
      </w:pPr>
      <w:r>
        <w:rPr>
          <w:rFonts w:ascii="Inter" w:hAnsi="Inter"/>
          <w:b w:val="0"/>
          <w:i w:val="0"/>
          <w:color w:val="E12D64"/>
          <w:sz w:val="21"/>
        </w:rPr>
        <w:t>Central case (FCDO II signs end-July 2026): cash crosses below the 3-month Red floor at end-July 2026 (USD 118k vs USD 132,527 floor), troughs briefly negative at end-December 2026 (~USD (3k)) just before the OSF Year-3 tranche, and recovers to Green at end-January 2027 (USD 252k). Closes May 2027 at USD 151k (Amber). The Red floor is breached for ~6 months even under the central case — a structural feature of lumpy annual donor tranches, not a forecast error.</w:t>
      </w:r>
    </w:p>
    <w:p>
      <w:pPr>
        <w:spacing w:after="80"/>
      </w:pPr>
      <w:r>
        <w:rPr>
          <w:rFonts w:ascii="Inter" w:hAnsi="Inter"/>
          <w:b w:val="0"/>
          <w:i w:val="0"/>
          <w:color w:val="E12D64"/>
          <w:sz w:val="21"/>
        </w:rPr>
        <w:t>Downside case (FCDO Phase II not signed): cash exhausts mid-October 2026, troughs at ~USD (106k) end-December 2026, recovers to USD 174k end-January 2027 with OSF Year-3 tranche. Levers per P-06d must be triggered no later than 31 July 2026 in this scenario.</w:t>
      </w:r>
    </w:p>
    <w:p>
      <w:pPr>
        <w:spacing w:before="120" w:after="80"/>
      </w:pPr>
      <w:r>
        <w:rPr>
          <w:rFonts w:ascii="Inter" w:hAnsi="Inter"/>
          <w:b/>
          <w:color w:val="410F37"/>
          <w:sz w:val="28"/>
        </w:rPr>
        <w:t>Compliance / risk flags</w:t>
      </w:r>
    </w:p>
    <w:p>
      <w:pPr>
        <w:spacing w:after="80"/>
      </w:pPr>
      <w:r>
        <w:rPr>
          <w:rFonts w:ascii="Inter" w:hAnsi="Inter"/>
          <w:b w:val="0"/>
          <w:i w:val="0"/>
          <w:sz w:val="21"/>
        </w:rPr>
        <w:t>·  Restricted-vs-unrestricted: of the USD 182,801 cash, most is unrestricted (OSF tranches are general support). SDC restricted balance is being reconciled before the §3.1 final financial report (due 30 Jun 2026) — over-coded YTD spend on SDC tracking will move to OSF #4 on re-tag, which slightly increases pressure on unrestricted reserves but remains within the Amber band.</w:t>
      </w:r>
    </w:p>
    <w:p>
      <w:pPr>
        <w:spacing w:after="80"/>
      </w:pPr>
      <w:r>
        <w:rPr>
          <w:rFonts w:ascii="Inter" w:hAnsi="Inter"/>
          <w:b w:val="0"/>
          <w:i w:val="0"/>
          <w:sz w:val="21"/>
        </w:rPr>
        <w:t>·  Currency concentration: the GBP wallet is empty; EUR wallet has drawn down to USD 9k equivalent (Geneva trip + EUR contractors paid). USD wallet carries the bulk of the position. No hedging — natural offset only.</w:t>
      </w:r>
    </w:p>
    <w:p>
      <w:pPr>
        <w:spacing w:after="80"/>
      </w:pPr>
      <w:r>
        <w:rPr>
          <w:rFonts w:ascii="Inter" w:hAnsi="Inter"/>
          <w:b w:val="0"/>
          <w:i w:val="0"/>
          <w:color w:val="E12D64"/>
          <w:sz w:val="21"/>
        </w:rPr>
        <w:t>·  Sole-signatory model: FM (Stacy) is maker, ED (Eva) is approver per Finance Manual §4.7; no second-signatory control beyond ED. As the Dutch Chair onboards (Q1 minute §7), a dual-approval workflow on Wise for payments &gt; USD 10,000 is recommended.</w:t>
      </w:r>
    </w:p>
    <w:p>
      <w:pPr>
        <w:spacing w:before="120" w:after="80"/>
      </w:pPr>
      <w:r>
        <w:rPr>
          <w:rFonts w:ascii="Inter" w:hAnsi="Inter"/>
          <w:b/>
          <w:color w:val="410F37"/>
          <w:sz w:val="28"/>
        </w:rPr>
        <w:t>Recommended actions</w:t>
      </w:r>
    </w:p>
    <w:p>
      <w:pPr>
        <w:spacing w:after="80"/>
      </w:pPr>
      <w:r>
        <w:rPr>
          <w:rFonts w:ascii="Inter" w:hAnsi="Inter"/>
          <w:b/>
          <w:i w:val="0"/>
          <w:color w:val="410F37"/>
          <w:sz w:val="21"/>
        </w:rPr>
        <w:t>·  Note current position (Amber, 4.1 months cover).</w:t>
      </w:r>
    </w:p>
    <w:p>
      <w:pPr>
        <w:spacing w:after="80"/>
      </w:pPr>
      <w:r>
        <w:rPr>
          <w:rFonts w:ascii="Inter" w:hAnsi="Inter"/>
          <w:b/>
          <w:i w:val="0"/>
          <w:color w:val="410F37"/>
          <w:sz w:val="21"/>
        </w:rPr>
        <w:t>·  Approve the proposed reserves policy (CAP-25) — floor USD 132,527, target USD 265,054 — for board adoption.</w:t>
      </w:r>
    </w:p>
    <w:p>
      <w:pPr>
        <w:spacing w:after="80"/>
      </w:pPr>
      <w:r>
        <w:rPr>
          <w:rFonts w:ascii="Inter" w:hAnsi="Inter"/>
          <w:b/>
          <w:i w:val="0"/>
          <w:color w:val="410F37"/>
          <w:sz w:val="21"/>
        </w:rPr>
        <w:t>·  Direct ED to provide a Red-floor breach mitigation plan if the downside cashflow scenario emerges (i.e., FCDO Phase II unsigned by 31 Jul 2026).</w:t>
      </w:r>
    </w:p>
    <w:p>
      <w:pPr>
        <w:spacing w:before="120" w:after="80"/>
      </w:pPr>
      <w:r>
        <w:rPr>
          <w:rFonts w:ascii="Inter" w:hAnsi="Inter"/>
          <w:b/>
          <w:color w:val="410F37"/>
          <w:sz w:val="28"/>
        </w:rPr>
        <w:t>Sources</w:t>
      </w:r>
    </w:p>
    <w:p>
      <w:pPr>
        <w:spacing w:after="80"/>
      </w:pPr>
      <w:r>
        <w:rPr>
          <w:rFonts w:ascii="Inter" w:hAnsi="Inter"/>
          <w:b w:val="0"/>
          <w:i w:val="0"/>
          <w:sz w:val="19"/>
        </w:rPr>
        <w:t>Xero BS @ 31 May 2026 (live, returned 26 May), report ID 231fb4e1-827a-4d3b-b83d-fc1179fa085b. Proposed reserves policy: CAP-25 memo (8 May 2026).</w:t>
      </w:r>
    </w:p>
    <w:sectPr w:rsidR="00FC693F" w:rsidRPr="0006063C" w:rsidSect="00034616">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410F37"/>
        <w:sz w:val="14"/>
      </w:rPr>
      <w:t>hūmānus — Stichting Victim Advocates International (NL chamber 77641981) | P-06f | Q2 2026 board paper | [TBD: registered office / ANBI / disclaimer footer]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