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980000" cy="6831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umanus_logo_master_co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683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0"/>
      </w:pPr>
    </w:p>
    <w:p>
      <w:r>
        <w:rPr>
          <w:rFonts w:ascii="Fagun Black" w:hAnsi="Fagun Black" w:eastAsia="Fagun Black" w:cs="Fagun Black"/>
          <w:b/>
          <w:i w:val="0"/>
          <w:color w:val="410F37"/>
          <w:sz w:val="52"/>
        </w:rPr>
        <w:t>Forecast Report — October 2026 to June 2027</w:t>
      </w:r>
    </w:p>
    <w:p>
      <w:r>
        <w:rPr>
          <w:rFonts w:ascii="Fagun" w:hAnsi="Fagun" w:eastAsia="Fagun" w:cs="Fagun"/>
          <w:b w:val="0"/>
          <w:i w:val="0"/>
          <w:color w:val="410F37"/>
          <w:sz w:val="26"/>
        </w:rPr>
        <w:t>2026 full-year outturn and nine-month cash forecast</w:t>
      </w:r>
    </w:p>
    <w:p>
      <w:pPr>
        <w:spacing w:after="480"/>
      </w:pPr>
    </w:p>
    <w:p>
      <w:pPr>
        <w:pBdr>
          <w:bottom w:val="single" w:sz="12" w:color="410F37"/>
        </w:pBdr>
      </w:pPr>
    </w:p>
    <w:p>
      <w:pPr>
        <w:spacing w:after="40"/>
      </w:pPr>
      <w:r>
        <w:rPr>
          <w:rFonts w:ascii="Fagun ExtraBold" w:hAnsi="Fagun ExtraBold" w:eastAsia="Fagun ExtraBold" w:cs="Fagun ExtraBold"/>
          <w:b/>
          <w:i w:val="0"/>
          <w:color w:val="410F37"/>
          <w:sz w:val="18"/>
        </w:rPr>
        <w:t xml:space="preserve">Board meeting  </w:t>
      </w:r>
      <w:r>
        <w:rPr>
          <w:rFonts w:ascii="Fagun" w:hAnsi="Fagun" w:eastAsia="Fagun" w:cs="Fagun"/>
          <w:b w:val="0"/>
          <w:i w:val="0"/>
          <w:color w:val="410F37"/>
          <w:sz w:val="20"/>
        </w:rPr>
        <w:t>29 October 2026 (virtual)</w:t>
      </w:r>
    </w:p>
    <w:p>
      <w:pPr>
        <w:spacing w:after="40"/>
      </w:pPr>
      <w:r>
        <w:rPr>
          <w:rFonts w:ascii="Fagun ExtraBold" w:hAnsi="Fagun ExtraBold" w:eastAsia="Fagun ExtraBold" w:cs="Fagun ExtraBold"/>
          <w:b/>
          <w:i w:val="0"/>
          <w:color w:val="410F37"/>
          <w:sz w:val="18"/>
        </w:rPr>
        <w:t xml:space="preserve">Opening position  </w:t>
      </w:r>
      <w:r>
        <w:rPr>
          <w:rFonts w:ascii="Fagun" w:hAnsi="Fagun" w:eastAsia="Fagun" w:cs="Fagun"/>
          <w:b w:val="0"/>
          <w:i w:val="0"/>
          <w:color w:val="410F37"/>
          <w:sz w:val="20"/>
        </w:rPr>
        <w:t>Xero 30 September 2026; cash checked live 12 October 2026</w:t>
      </w:r>
    </w:p>
    <w:p>
      <w:pPr>
        <w:spacing w:after="40"/>
      </w:pPr>
      <w:r>
        <w:rPr>
          <w:rFonts w:ascii="Fagun ExtraBold" w:hAnsi="Fagun ExtraBold" w:eastAsia="Fagun ExtraBold" w:cs="Fagun ExtraBold"/>
          <w:b/>
          <w:i w:val="0"/>
          <w:color w:val="410F37"/>
          <w:sz w:val="18"/>
        </w:rPr>
        <w:t xml:space="preserve">Currency  </w:t>
      </w:r>
      <w:r>
        <w:rPr>
          <w:rFonts w:ascii="Fagun" w:hAnsi="Fagun" w:eastAsia="Fagun" w:cs="Fagun"/>
          <w:b w:val="0"/>
          <w:i w:val="0"/>
          <w:color w:val="410F37"/>
          <w:sz w:val="20"/>
        </w:rPr>
        <w:t>USD; GBP and EUR converted at Xero rates of late Sep / early Oct 2026</w:t>
      </w:r>
    </w:p>
    <w:p>
      <w:pPr>
        <w:spacing w:after="40"/>
      </w:pPr>
      <w:r>
        <w:rPr>
          <w:rFonts w:ascii="Fagun ExtraBold" w:hAnsi="Fagun ExtraBold" w:eastAsia="Fagun ExtraBold" w:cs="Fagun ExtraBold"/>
          <w:b/>
          <w:i w:val="0"/>
          <w:color w:val="410F37"/>
          <w:sz w:val="18"/>
        </w:rPr>
        <w:t xml:space="preserve">Companion paper  </w:t>
      </w:r>
      <w:r>
        <w:rPr>
          <w:rFonts w:ascii="Fagun" w:hAnsi="Fagun" w:eastAsia="Fagun" w:cs="Fagun"/>
          <w:b w:val="0"/>
          <w:i w:val="0"/>
          <w:color w:val="410F37"/>
          <w:sz w:val="20"/>
        </w:rPr>
        <w:t>Board Finance Report, Q3 2026</w:t>
      </w:r>
    </w:p>
    <w:p>
      <w:r>
        <w:br w:type="page"/>
      </w:r>
    </w:p>
    <w:p>
      <w:pPr>
        <w:spacing w:before="200" w:after="80"/>
      </w:pPr>
      <w:r>
        <w:rPr>
          <w:rFonts w:ascii="Fagun ExtraBold" w:hAnsi="Fagun ExtraBold" w:eastAsia="Fagun ExtraBold" w:cs="Fagun ExtraBold"/>
          <w:b/>
          <w:i w:val="0"/>
          <w:color w:val="410F37"/>
          <w:sz w:val="32"/>
        </w:rPr>
        <w:t>1. Headline</w:t>
      </w:r>
    </w:p>
    <w:p>
      <w:pPr>
        <w:spacing w:after="80"/>
      </w:pPr>
      <w:r>
        <w:rPr>
          <w:rFonts w:ascii="Fagun" w:hAnsi="Fagun" w:eastAsia="Fagun" w:cs="Fagun"/>
          <w:b/>
          <w:i w:val="0"/>
          <w:color w:val="410F37"/>
          <w:sz w:val="20"/>
        </w:rPr>
        <w:t>The 2026 deficit comes from grant-claim timing and our planned co-funding of the SDC project, not overspending.</w:t>
      </w:r>
      <w:r>
        <w:rPr>
          <w:rFonts w:ascii="Fagun" w:hAnsi="Fagun" w:eastAsia="Fagun" w:cs="Fagun"/>
          <w:b w:val="0"/>
          <w:i w:val="0"/>
          <w:color w:val="410F37"/>
          <w:sz w:val="20"/>
        </w:rPr>
        <w:t xml:space="preserve"> Core (OSF) activity runs a surplus of about USD 30,431. Even so, </w:t>
      </w:r>
      <w:r>
        <w:rPr>
          <w:rFonts w:ascii="Fagun" w:hAnsi="Fagun" w:eastAsia="Fagun" w:cs="Fagun"/>
          <w:b/>
          <w:i w:val="0"/>
          <w:color w:val="410F37"/>
          <w:sz w:val="20"/>
        </w:rPr>
        <w:t>cash runs short twice before the OSF Year-3 tranche arrives in January 2027</w:t>
      </w:r>
      <w:r>
        <w:rPr>
          <w:rFonts w:ascii="Fagun" w:hAnsi="Fagun" w:eastAsia="Fagun" w:cs="Fagun"/>
          <w:b w:val="0"/>
          <w:i w:val="0"/>
          <w:color w:val="410F37"/>
          <w:sz w:val="20"/>
        </w:rPr>
        <w:t>: at the 28 October payment run, and in December.</w:t>
      </w:r>
    </w:p>
    <w:p>
      <w:pPr>
        <w:pStyle w:val="ListBullet"/>
        <w:spacing w:after="40"/>
      </w:pPr>
      <w:r>
        <w:rPr>
          <w:rFonts w:ascii="Fagun" w:hAnsi="Fagun" w:eastAsia="Fagun" w:cs="Fagun"/>
          <w:b/>
          <w:i w:val="0"/>
          <w:color w:val="410F37"/>
          <w:sz w:val="20"/>
        </w:rPr>
        <w:t>2026 outturn (central):</w:t>
      </w:r>
      <w:r>
        <w:rPr>
          <w:rFonts w:ascii="Fagun" w:hAnsi="Fagun" w:eastAsia="Fagun" w:cs="Fagun"/>
          <w:b w:val="0"/>
          <w:i w:val="0"/>
          <w:color w:val="410F37"/>
          <w:sz w:val="20"/>
        </w:rPr>
        <w:t xml:space="preserve"> expenditure USD 509,568, which is 4.3% over the working budget (USD 488,450) and 19% under the board-approved budget (USD 631,450). Income USD 468,581. Reported deficit USD 40,987.</w:t>
      </w:r>
    </w:p>
    <w:p>
      <w:pPr>
        <w:pStyle w:val="ListBullet"/>
        <w:spacing w:after="40"/>
      </w:pPr>
      <w:r>
        <w:rPr>
          <w:rFonts w:ascii="Fagun" w:hAnsi="Fagun" w:eastAsia="Fagun" w:cs="Fagun"/>
          <w:b/>
          <w:i w:val="0"/>
          <w:color w:val="410F37"/>
          <w:sz w:val="20"/>
        </w:rPr>
        <w:t>What drives the deficit:</w:t>
      </w:r>
      <w:r>
        <w:rPr>
          <w:rFonts w:ascii="Fagun" w:hAnsi="Fagun" w:eastAsia="Fagun" w:cs="Fagun"/>
          <w:b w:val="0"/>
          <w:i w:val="0"/>
          <w:color w:val="410F37"/>
          <w:sz w:val="20"/>
        </w:rPr>
        <w:t xml:space="preserve"> our planned matched share of the SDC project's final year, USD 45,660; grant income earned in 2026 but claimable only in 2027, USD 33,614. These are partly offset by the core surplus.</w:t>
      </w:r>
    </w:p>
    <w:p>
      <w:pPr>
        <w:pStyle w:val="ListBullet"/>
        <w:spacing w:after="40"/>
      </w:pPr>
      <w:r>
        <w:rPr>
          <w:rFonts w:ascii="Fagun" w:hAnsi="Fagun" w:eastAsia="Fagun" w:cs="Fagun"/>
          <w:b/>
          <w:i w:val="0"/>
          <w:color w:val="410F37"/>
          <w:sz w:val="20"/>
        </w:rPr>
        <w:t>Cash, central case:</w:t>
      </w:r>
      <w:r>
        <w:rPr>
          <w:rFonts w:ascii="Fagun" w:hAnsi="Fagun" w:eastAsia="Fagun" w:cs="Fagun"/>
          <w:b w:val="0"/>
          <w:i w:val="0"/>
          <w:color w:val="410F37"/>
          <w:sz w:val="20"/>
        </w:rPr>
        <w:t xml:space="preserve"> USD (6,101) at end-October, USD 13,202 at end-November (after the FCDO claim), USD (21,230) at end-December, then USD 269,219 at end-January once OSF pays.</w:t>
      </w:r>
    </w:p>
    <w:p>
      <w:pPr>
        <w:pStyle w:val="ListBullet"/>
        <w:spacing w:after="40"/>
      </w:pPr>
      <w:r>
        <w:rPr>
          <w:rFonts w:ascii="Fagun" w:hAnsi="Fagun" w:eastAsia="Fagun" w:cs="Fagun"/>
          <w:b/>
          <w:i w:val="0"/>
          <w:color w:val="410F37"/>
          <w:sz w:val="20"/>
        </w:rPr>
        <w:t>Even with a complete spending freeze, cash is short:</w:t>
      </w:r>
      <w:r>
        <w:rPr>
          <w:rFonts w:ascii="Fagun" w:hAnsi="Fagun" w:eastAsia="Fagun" w:cs="Fagun"/>
          <w:b w:val="0"/>
          <w:i w:val="0"/>
          <w:color w:val="410F37"/>
          <w:sz w:val="20"/>
        </w:rPr>
        <w:t xml:space="preserve"> USD (1,101) in October and USD (6,230) in December. Cutting costs alone cannot fix this; the receipts have to come earlier.</w:t>
      </w:r>
    </w:p>
    <w:p>
      <w:pPr>
        <w:pStyle w:val="ListBullet"/>
        <w:spacing w:after="40"/>
      </w:pPr>
      <w:r>
        <w:rPr>
          <w:rFonts w:ascii="Fagun" w:hAnsi="Fagun" w:eastAsia="Fagun" w:cs="Fagun"/>
          <w:b/>
          <w:i w:val="0"/>
          <w:color w:val="410F37"/>
          <w:sz w:val="20"/>
        </w:rPr>
        <w:t>What fixes it:</w:t>
      </w:r>
      <w:r>
        <w:rPr>
          <w:rFonts w:ascii="Fagun" w:hAnsi="Fagun" w:eastAsia="Fagun" w:cs="Fagun"/>
          <w:b w:val="0"/>
          <w:i w:val="0"/>
          <w:color w:val="410F37"/>
          <w:sz w:val="20"/>
        </w:rPr>
        <w:t xml:space="preserve"> OSF releasing the January tranche in December (it paid in December in 2024) </w:t>
      </w:r>
      <w:r>
        <w:rPr>
          <w:rFonts w:ascii="Fagun" w:hAnsi="Fagun" w:eastAsia="Fagun" w:cs="Fagun"/>
          <w:b/>
          <w:i w:val="0"/>
          <w:color w:val="410F37"/>
          <w:sz w:val="20"/>
        </w:rPr>
        <w:t>or</w:t>
      </w:r>
      <w:r>
        <w:rPr>
          <w:rFonts w:ascii="Fagun" w:hAnsi="Fagun" w:eastAsia="Fagun" w:cs="Fagun"/>
          <w:b w:val="0"/>
          <w:i w:val="0"/>
          <w:color w:val="410F37"/>
          <w:sz w:val="20"/>
        </w:rPr>
        <w:t xml:space="preserve"> Stimson paying the FCDO claim on receipt and Swiss tranche 2 in December, together with a freeze on discretionary spending.</w:t>
      </w:r>
    </w:p>
    <w:p>
      <w:pPr>
        <w:spacing w:before="200" w:after="80"/>
      </w:pPr>
      <w:r>
        <w:rPr>
          <w:rFonts w:ascii="Fagun ExtraBold" w:hAnsi="Fagun ExtraBold" w:eastAsia="Fagun ExtraBold" w:cs="Fagun ExtraBold"/>
          <w:b/>
          <w:i w:val="0"/>
          <w:color w:val="410F37"/>
          <w:sz w:val="32"/>
        </w:rPr>
        <w:t>2. 2026 full-year outturn</w:t>
      </w:r>
    </w:p>
    <w:p>
      <w:pPr>
        <w:spacing w:after="80"/>
      </w:pPr>
      <w:r>
        <w:rPr>
          <w:rFonts w:ascii="Fagun" w:hAnsi="Fagun" w:eastAsia="Fagun" w:cs="Fagun"/>
          <w:b w:val="0"/>
          <w:i/>
          <w:color w:val="410F37"/>
          <w:sz w:val="17"/>
        </w:rPr>
        <w:t>Accrual basis, central case. Q4 is built from committed costs (repeating invoice templates, approved bills, the Communications Advisor's monthly invoice) plus USD 5,000 a month of programme and travel spending.</w:t>
      </w:r>
    </w:p>
    <w:tbl>
      <w:tblPr>
        <w:tblW w:type="dxa" w:w="9525"/>
        <w:jc w:val="center"/>
        <w:tblLayout w:type="fixed"/>
        <w:tblLook w:firstColumn="1" w:firstRow="1" w:lastColumn="0" w:lastRow="0" w:noHBand="0" w:noVBand="1" w:val="04A0"/>
        <w:tblBorders>
          <w:top w:val="single" w:sz="4" w:color="D9CFD6"/>
          <w:left w:val="single" w:sz="4" w:color="D9CFD6"/>
          <w:bottom w:val="single" w:sz="4" w:color="D9CFD6"/>
          <w:right w:val="single" w:sz="4" w:color="D9CFD6"/>
          <w:insideH w:val="single" w:sz="4" w:color="D9CFD6"/>
          <w:insideV w:val="single" w:sz="4" w:color="D9CFD6"/>
        </w:tblBorders>
      </w:tblPr>
      <w:tblGrid>
        <w:gridCol w:w="3175"/>
        <w:gridCol w:w="1304"/>
        <w:gridCol w:w="1190"/>
        <w:gridCol w:w="1360"/>
        <w:gridCol w:w="1247"/>
        <w:gridCol w:w="1247"/>
      </w:tblGrid>
      <w:tr>
        <w:tc>
          <w:tcPr>
            <w:tcW w:type="dxa" w:w="3175"/>
            <w:shd w:val="clear" w:color="auto" w:fill="410F37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/>
                <w:i w:val="0"/>
                <w:color w:val="96FF14"/>
                <w:sz w:val="17"/>
              </w:rPr>
              <w:t>USD</w:t>
            </w:r>
          </w:p>
        </w:tc>
        <w:tc>
          <w:tcPr>
            <w:tcW w:type="dxa" w:w="1304"/>
            <w:shd w:val="clear" w:color="auto" w:fill="410F3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96FF14"/>
                <w:sz w:val="17"/>
              </w:rPr>
              <w:t>Actual YTD (9 mo)</w:t>
            </w:r>
          </w:p>
        </w:tc>
        <w:tc>
          <w:tcPr>
            <w:tcW w:type="dxa" w:w="1191"/>
            <w:shd w:val="clear" w:color="auto" w:fill="410F3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96FF14"/>
                <w:sz w:val="17"/>
              </w:rPr>
              <w:t>Forecast Q4</w:t>
            </w:r>
          </w:p>
        </w:tc>
        <w:tc>
          <w:tcPr>
            <w:tcW w:type="dxa" w:w="1361"/>
            <w:shd w:val="clear" w:color="auto" w:fill="410F3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96FF14"/>
                <w:sz w:val="17"/>
              </w:rPr>
              <w:t>Forecast FY 2026</w:t>
            </w:r>
          </w:p>
        </w:tc>
        <w:tc>
          <w:tcPr>
            <w:tcW w:type="dxa" w:w="1247"/>
            <w:shd w:val="clear" w:color="auto" w:fill="410F3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96FF14"/>
                <w:sz w:val="17"/>
              </w:rPr>
              <w:t>Working budget</w:t>
            </w:r>
          </w:p>
        </w:tc>
        <w:tc>
          <w:tcPr>
            <w:tcW w:type="dxa" w:w="1247"/>
            <w:shd w:val="clear" w:color="auto" w:fill="410F3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96FF14"/>
                <w:sz w:val="17"/>
              </w:rPr>
              <w:t>Board budget</w:t>
            </w:r>
          </w:p>
        </w:tc>
      </w:tr>
      <w:tr>
        <w:tc>
          <w:tcPr>
            <w:tcW w:type="dxa" w:w="3175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7"/>
              </w:rPr>
              <w:t>Income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7"/>
              </w:rPr>
              <w:t>415,681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7"/>
              </w:rPr>
              <w:t>52,900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7"/>
              </w:rPr>
              <w:t>468,581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7"/>
              </w:rPr>
              <w:t>488,450†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7"/>
              </w:rPr>
              <w:t>631,450†</w:t>
            </w:r>
          </w:p>
        </w:tc>
      </w:tr>
      <w:tr>
        <w:tc>
          <w:tcPr>
            <w:tcW w:type="dxa" w:w="3175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7"/>
              </w:rPr>
              <w:t>Expenditure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7"/>
              </w:rPr>
              <w:t>401,897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7"/>
              </w:rPr>
              <w:t>107,671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7"/>
              </w:rPr>
              <w:t>509,568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7"/>
              </w:rPr>
              <w:t>488,450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7"/>
              </w:rPr>
              <w:t>631,450</w:t>
            </w:r>
          </w:p>
        </w:tc>
      </w:tr>
      <w:tr>
        <w:tc>
          <w:tcPr>
            <w:tcW w:type="dxa" w:w="3175"/>
            <w:shd w:val="clear" w:color="auto" w:fill="EFE8EE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/>
                <w:i w:val="0"/>
                <w:color w:val="410F37"/>
                <w:sz w:val="17"/>
              </w:rPr>
              <w:t>Net surplus / (deficit)</w:t>
            </w:r>
          </w:p>
        </w:tc>
        <w:tc>
          <w:tcPr>
            <w:tcW w:type="dxa" w:w="1304"/>
            <w:shd w:val="clear" w:color="auto" w:fill="EFE8EE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410F37"/>
                <w:sz w:val="17"/>
              </w:rPr>
              <w:t>13,783</w:t>
            </w:r>
          </w:p>
        </w:tc>
        <w:tc>
          <w:tcPr>
            <w:tcW w:type="dxa" w:w="1191"/>
            <w:shd w:val="clear" w:color="auto" w:fill="EFE8EE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410F37"/>
                <w:sz w:val="17"/>
              </w:rPr>
              <w:t>(54,771)</w:t>
            </w:r>
          </w:p>
        </w:tc>
        <w:tc>
          <w:tcPr>
            <w:tcW w:type="dxa" w:w="1361"/>
            <w:shd w:val="clear" w:color="auto" w:fill="EFE8EE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E12D64"/>
                <w:sz w:val="17"/>
              </w:rPr>
              <w:t>(40,987)</w:t>
            </w:r>
          </w:p>
        </w:tc>
        <w:tc>
          <w:tcPr>
            <w:tcW w:type="dxa" w:w="1247"/>
            <w:shd w:val="clear" w:color="auto" w:fill="EFE8EE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410F37"/>
                <w:sz w:val="17"/>
              </w:rPr>
              <w:t>–</w:t>
            </w:r>
          </w:p>
        </w:tc>
        <w:tc>
          <w:tcPr>
            <w:tcW w:type="dxa" w:w="1247"/>
            <w:shd w:val="clear" w:color="auto" w:fill="EFE8EE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410F37"/>
                <w:sz w:val="17"/>
              </w:rPr>
              <w:t>–</w:t>
            </w:r>
          </w:p>
        </w:tc>
      </w:tr>
      <w:tr>
        <w:tc>
          <w:tcPr>
            <w:tcW w:type="dxa" w:w="3175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7"/>
              </w:rPr>
              <w:t>Net assets at year-end (Xero basis)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7"/>
              </w:rPr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7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E12D64"/>
                <w:sz w:val="17"/>
              </w:rPr>
              <w:t>(17,194)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7"/>
              </w:rPr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7"/>
              </w:rPr>
            </w:r>
          </w:p>
        </w:tc>
      </w:tr>
      <w:tr>
        <w:tc>
          <w:tcPr>
            <w:tcW w:type="dxa" w:w="3175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7"/>
              </w:rPr>
              <w:t>Add: earned grant income to accrue (FCDO II Nov–Dec, Swiss Myanmar)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7"/>
              </w:rPr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7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7"/>
              </w:rPr>
              <w:t>33,614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7"/>
              </w:rPr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7"/>
              </w:rPr>
            </w:r>
          </w:p>
        </w:tc>
      </w:tr>
      <w:tr>
        <w:tc>
          <w:tcPr>
            <w:tcW w:type="dxa" w:w="3175"/>
            <w:shd w:val="clear" w:color="auto" w:fill="EFE8EE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/>
                <w:i w:val="0"/>
                <w:color w:val="410F37"/>
                <w:sz w:val="17"/>
              </w:rPr>
              <w:t>Adjusted net assets at 31 Dec 2026</w:t>
            </w:r>
          </w:p>
        </w:tc>
        <w:tc>
          <w:tcPr>
            <w:tcW w:type="dxa" w:w="1304"/>
            <w:shd w:val="clear" w:color="auto" w:fill="EFE8EE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410F37"/>
                <w:sz w:val="17"/>
              </w:rPr>
            </w:r>
          </w:p>
        </w:tc>
        <w:tc>
          <w:tcPr>
            <w:tcW w:type="dxa" w:w="1191"/>
            <w:shd w:val="clear" w:color="auto" w:fill="EFE8EE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410F37"/>
                <w:sz w:val="17"/>
              </w:rPr>
            </w:r>
          </w:p>
        </w:tc>
        <w:tc>
          <w:tcPr>
            <w:tcW w:type="dxa" w:w="1361"/>
            <w:shd w:val="clear" w:color="auto" w:fill="EFE8EE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410F37"/>
                <w:sz w:val="17"/>
              </w:rPr>
              <w:t>16,420</w:t>
            </w:r>
          </w:p>
        </w:tc>
        <w:tc>
          <w:tcPr>
            <w:tcW w:type="dxa" w:w="1247"/>
            <w:shd w:val="clear" w:color="auto" w:fill="EFE8EE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410F37"/>
                <w:sz w:val="17"/>
              </w:rPr>
            </w:r>
          </w:p>
        </w:tc>
        <w:tc>
          <w:tcPr>
            <w:tcW w:type="dxa" w:w="1247"/>
            <w:shd w:val="clear" w:color="auto" w:fill="EFE8EE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410F37"/>
                <w:sz w:val="17"/>
              </w:rPr>
            </w:r>
          </w:p>
        </w:tc>
      </w:tr>
    </w:tbl>
    <w:p>
      <w:pPr>
        <w:spacing w:after="120"/>
      </w:pPr>
      <w:r>
        <w:rPr>
          <w:rFonts w:ascii="Fagun" w:hAnsi="Fagun" w:eastAsia="Fagun" w:cs="Fagun"/>
          <w:b w:val="0"/>
          <w:i/>
          <w:color w:val="410F37"/>
          <w:sz w:val="16"/>
        </w:rPr>
        <w:t>† Both budgets were set as balanced plans: the funding columns equal planned spend. Income includes FCDO Phase II claim 1 (Jun–Oct, about USD 52,800) on the basis that it is invoiced in October.</w:t>
      </w:r>
    </w:p>
    <w:p>
      <w:pPr>
        <w:spacing w:before="160" w:after="40"/>
      </w:pPr>
      <w:r>
        <w:rPr>
          <w:rFonts w:ascii="Fagun Bold" w:hAnsi="Fagun Bold" w:eastAsia="Fagun Bold" w:cs="Fagun Bold"/>
          <w:b/>
          <w:i w:val="0"/>
          <w:color w:val="410F37"/>
          <w:sz w:val="24"/>
        </w:rPr>
        <w:t>Where the deficit comes from</w:t>
      </w:r>
    </w:p>
    <w:tbl>
      <w:tblPr>
        <w:tblW w:type="dxa" w:w="9525"/>
        <w:jc w:val="center"/>
        <w:tblLayout w:type="fixed"/>
        <w:tblLook w:firstColumn="1" w:firstRow="1" w:lastColumn="0" w:lastRow="0" w:noHBand="0" w:noVBand="1" w:val="04A0"/>
        <w:tblBorders>
          <w:top w:val="single" w:sz="4" w:color="D9CFD6"/>
          <w:left w:val="single" w:sz="4" w:color="D9CFD6"/>
          <w:bottom w:val="single" w:sz="4" w:color="D9CFD6"/>
          <w:right w:val="single" w:sz="4" w:color="D9CFD6"/>
          <w:insideH w:val="single" w:sz="4" w:color="D9CFD6"/>
          <w:insideV w:val="single" w:sz="4" w:color="D9CFD6"/>
        </w:tblBorders>
      </w:tblPr>
      <w:tblGrid>
        <w:gridCol w:w="7654"/>
        <w:gridCol w:w="1871"/>
      </w:tblGrid>
      <w:tr>
        <w:tc>
          <w:tcPr>
            <w:tcW w:type="dxa" w:w="7654"/>
            <w:shd w:val="clear" w:color="auto" w:fill="410F37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/>
                <w:i w:val="0"/>
                <w:color w:val="96FF14"/>
                <w:sz w:val="17"/>
              </w:rPr>
              <w:t>Driver</w:t>
            </w:r>
          </w:p>
        </w:tc>
        <w:tc>
          <w:tcPr>
            <w:tcW w:type="dxa" w:w="1871"/>
            <w:shd w:val="clear" w:color="auto" w:fill="410F3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96FF14"/>
                <w:sz w:val="17"/>
              </w:rPr>
              <w:t>USD</w:t>
            </w:r>
          </w:p>
        </w:tc>
      </w:tr>
      <w:tr>
        <w:tc>
          <w:tcPr>
            <w:tcW w:type="dxa" w:w="7654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7"/>
              </w:rPr>
              <w:t>Planned SDC co-funding, final year — hūmānus' matched share (Art. 1.2); grant balanced and audited</w:t>
            </w:r>
          </w:p>
        </w:tc>
        <w:tc>
          <w:tcPr>
            <w:tcW w:type="dxa" w:w="1871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7"/>
              </w:rPr>
              <w:t>(45,660)</w:t>
            </w:r>
          </w:p>
        </w:tc>
      </w:tr>
      <w:tr>
        <w:tc>
          <w:tcPr>
            <w:tcW w:type="dxa" w:w="7654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7"/>
              </w:rPr>
              <w:t>Restricted timing — spent in 2026, claimable in 2027 (FCDO II Nov–Dec + Swiss Myanmar)</w:t>
            </w:r>
          </w:p>
        </w:tc>
        <w:tc>
          <w:tcPr>
            <w:tcW w:type="dxa" w:w="1871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7"/>
              </w:rPr>
              <w:t>(33,614)</w:t>
            </w:r>
          </w:p>
        </w:tc>
      </w:tr>
      <w:tr>
        <w:tc>
          <w:tcPr>
            <w:tcW w:type="dxa" w:w="7654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7"/>
              </w:rPr>
              <w:t>FCDO Phase I — 2026 receipts covering 2025 spend</w:t>
            </w:r>
          </w:p>
        </w:tc>
        <w:tc>
          <w:tcPr>
            <w:tcW w:type="dxa" w:w="1871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7"/>
              </w:rPr>
              <w:t>8,133</w:t>
            </w:r>
          </w:p>
        </w:tc>
      </w:tr>
      <w:tr>
        <w:tc>
          <w:tcPr>
            <w:tcW w:type="dxa" w:w="7654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7"/>
              </w:rPr>
              <w:t>FCDO Phase II Jun–Oct — claim matched to spend</w:t>
            </w:r>
          </w:p>
        </w:tc>
        <w:tc>
          <w:tcPr>
            <w:tcW w:type="dxa" w:w="1871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7"/>
              </w:rPr>
              <w:t>–</w:t>
            </w:r>
          </w:p>
        </w:tc>
      </w:tr>
      <w:tr>
        <w:tc>
          <w:tcPr>
            <w:tcW w:type="dxa" w:w="7654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7"/>
              </w:rPr>
              <w:t>Core (OSF #4 + interest) — income less core spend</w:t>
            </w:r>
          </w:p>
        </w:tc>
        <w:tc>
          <w:tcPr>
            <w:tcW w:type="dxa" w:w="1871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7"/>
              </w:rPr>
              <w:t>30,431</w:t>
            </w:r>
          </w:p>
        </w:tc>
      </w:tr>
      <w:tr>
        <w:tc>
          <w:tcPr>
            <w:tcW w:type="dxa" w:w="7654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7"/>
              </w:rPr>
              <w:t>FX revaluation and legacy codes</w:t>
            </w:r>
          </w:p>
        </w:tc>
        <w:tc>
          <w:tcPr>
            <w:tcW w:type="dxa" w:w="1871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7"/>
              </w:rPr>
              <w:t>(277)</w:t>
            </w:r>
          </w:p>
        </w:tc>
      </w:tr>
      <w:tr>
        <w:tc>
          <w:tcPr>
            <w:tcW w:type="dxa" w:w="7654"/>
            <w:shd w:val="clear" w:color="auto" w:fill="EFE8EE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/>
                <w:i w:val="0"/>
                <w:color w:val="410F37"/>
                <w:sz w:val="17"/>
              </w:rPr>
              <w:t>Reported 2026 deficit (central)</w:t>
            </w:r>
          </w:p>
        </w:tc>
        <w:tc>
          <w:tcPr>
            <w:tcW w:type="dxa" w:w="1871"/>
            <w:shd w:val="clear" w:color="auto" w:fill="EFE8EE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410F37"/>
                <w:sz w:val="17"/>
              </w:rPr>
              <w:t>(40,987)</w:t>
            </w:r>
          </w:p>
        </w:tc>
      </w:tr>
    </w:tbl>
    <w:p>
      <w:pPr>
        <w:spacing w:after="80"/>
      </w:pPr>
    </w:p>
    <w:p>
      <w:pPr>
        <w:pStyle w:val="ListBullet"/>
        <w:spacing w:after="40"/>
      </w:pPr>
      <w:r>
        <w:rPr>
          <w:rFonts w:ascii="Fagun" w:hAnsi="Fagun" w:eastAsia="Fagun" w:cs="Fagun"/>
          <w:b/>
          <w:i w:val="0"/>
          <w:color w:val="410F37"/>
          <w:sz w:val="20"/>
        </w:rPr>
        <w:t>The SDC co-funding was planned and is now complete.</w:t>
      </w:r>
      <w:r>
        <w:rPr>
          <w:rFonts w:ascii="Fagun" w:hAnsi="Fagun" w:eastAsia="Fagun" w:cs="Fagun"/>
          <w:b w:val="0"/>
          <w:i w:val="0"/>
          <w:color w:val="410F37"/>
          <w:sz w:val="20"/>
        </w:rPr>
        <w:t xml:space="preserve"> The project closed on 30 April 2026, balanced over the life of the grant, and has been audited. FDFA paid its contribution in full, and nothing further falls in 2027.</w:t>
      </w:r>
    </w:p>
    <w:p>
      <w:pPr>
        <w:pStyle w:val="ListBullet"/>
        <w:spacing w:after="40"/>
      </w:pPr>
      <w:r>
        <w:rPr>
          <w:rFonts w:ascii="Fagun" w:hAnsi="Fagun" w:eastAsia="Fagun" w:cs="Fagun"/>
          <w:b/>
          <w:i w:val="0"/>
          <w:color w:val="410F37"/>
          <w:sz w:val="20"/>
        </w:rPr>
        <w:t>The timing items reverse in 2027.</w:t>
      </w:r>
      <w:r>
        <w:rPr>
          <w:rFonts w:ascii="Fagun" w:hAnsi="Fagun" w:eastAsia="Fagun" w:cs="Fagun"/>
          <w:b w:val="0"/>
          <w:i w:val="0"/>
          <w:color w:val="410F37"/>
          <w:sz w:val="20"/>
        </w:rPr>
        <w:t xml:space="preserve"> FCDO Phase II Nov–Dec costs are claimed in the April 2027 report, and the Swiss Myanmar costs are covered by tranches 2 and 3.</w:t>
      </w:r>
    </w:p>
    <w:p>
      <w:pPr>
        <w:pStyle w:val="ListBullet"/>
        <w:spacing w:after="40"/>
      </w:pPr>
      <w:r>
        <w:rPr>
          <w:rFonts w:ascii="Fagun" w:hAnsi="Fagun" w:eastAsia="Fagun" w:cs="Fagun"/>
          <w:b/>
          <w:i w:val="0"/>
          <w:color w:val="410F37"/>
          <w:sz w:val="20"/>
        </w:rPr>
        <w:t>Core is in surplus.</w:t>
      </w:r>
      <w:r>
        <w:rPr>
          <w:rFonts w:ascii="Fagun" w:hAnsi="Fagun" w:eastAsia="Fagun" w:cs="Fagun"/>
          <w:b w:val="0"/>
          <w:i w:val="0"/>
          <w:color w:val="410F37"/>
          <w:sz w:val="20"/>
        </w:rPr>
        <w:t xml:space="preserve"> OSF-funded spending of about USD 271,268 is below the USD 286,635 working-budget allocation and inside the USD 300,000 tranche.</w:t>
      </w:r>
    </w:p>
    <w:p>
      <w:pPr>
        <w:spacing w:before="160" w:after="40"/>
      </w:pPr>
      <w:r>
        <w:rPr>
          <w:rFonts w:ascii="Fagun Bold" w:hAnsi="Fagun Bold" w:eastAsia="Fagun Bold" w:cs="Fagun Bold"/>
          <w:b/>
          <w:i w:val="0"/>
          <w:color w:val="410F37"/>
          <w:sz w:val="24"/>
        </w:rPr>
        <w:t>Expenditure by budget line — full-year forecast</w:t>
      </w:r>
    </w:p>
    <w:tbl>
      <w:tblPr>
        <w:tblW w:type="dxa" w:w="9525"/>
        <w:jc w:val="center"/>
        <w:tblLayout w:type="fixed"/>
        <w:tblLook w:firstColumn="1" w:firstRow="1" w:lastColumn="0" w:lastRow="0" w:noHBand="0" w:noVBand="1" w:val="04A0"/>
        <w:tblBorders>
          <w:top w:val="single" w:sz="4" w:color="D9CFD6"/>
          <w:left w:val="single" w:sz="4" w:color="D9CFD6"/>
          <w:bottom w:val="single" w:sz="4" w:color="D9CFD6"/>
          <w:right w:val="single" w:sz="4" w:color="D9CFD6"/>
          <w:insideH w:val="single" w:sz="4" w:color="D9CFD6"/>
          <w:insideV w:val="single" w:sz="4" w:color="D9CFD6"/>
        </w:tblBorders>
      </w:tblPr>
      <w:tblGrid>
        <w:gridCol w:w="3288"/>
        <w:gridCol w:w="1247"/>
        <w:gridCol w:w="1247"/>
        <w:gridCol w:w="1247"/>
        <w:gridCol w:w="1247"/>
        <w:gridCol w:w="1247"/>
      </w:tblGrid>
      <w:tr>
        <w:tc>
          <w:tcPr>
            <w:tcW w:type="dxa" w:w="3288"/>
            <w:shd w:val="clear" w:color="auto" w:fill="410F37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/>
                <w:i w:val="0"/>
                <w:color w:val="96FF14"/>
                <w:sz w:val="14"/>
              </w:rPr>
              <w:t>Budget line</w:t>
            </w:r>
          </w:p>
        </w:tc>
        <w:tc>
          <w:tcPr>
            <w:tcW w:type="dxa" w:w="1247"/>
            <w:shd w:val="clear" w:color="auto" w:fill="410F3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96FF14"/>
                <w:sz w:val="14"/>
              </w:rPr>
              <w:t>Working budget</w:t>
            </w:r>
          </w:p>
        </w:tc>
        <w:tc>
          <w:tcPr>
            <w:tcW w:type="dxa" w:w="1247"/>
            <w:shd w:val="clear" w:color="auto" w:fill="410F3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96FF14"/>
                <w:sz w:val="14"/>
              </w:rPr>
              <w:t>Board budget</w:t>
            </w:r>
          </w:p>
        </w:tc>
        <w:tc>
          <w:tcPr>
            <w:tcW w:type="dxa" w:w="1247"/>
            <w:shd w:val="clear" w:color="auto" w:fill="410F3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96FF14"/>
                <w:sz w:val="14"/>
              </w:rPr>
              <w:t>Actual YTD</w:t>
            </w:r>
          </w:p>
        </w:tc>
        <w:tc>
          <w:tcPr>
            <w:tcW w:type="dxa" w:w="1247"/>
            <w:shd w:val="clear" w:color="auto" w:fill="410F3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96FF14"/>
                <w:sz w:val="14"/>
              </w:rPr>
              <w:t>Forecast FY</w:t>
            </w:r>
          </w:p>
        </w:tc>
        <w:tc>
          <w:tcPr>
            <w:tcW w:type="dxa" w:w="1247"/>
            <w:shd w:val="clear" w:color="auto" w:fill="410F3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96FF14"/>
                <w:sz w:val="14"/>
              </w:rPr>
              <w:t>FY vs working</w:t>
            </w:r>
          </w:p>
        </w:tc>
      </w:tr>
      <w:tr>
        <w:tc>
          <w:tcPr>
            <w:tcW w:type="dxa" w:w="3288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Executive Director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170,400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170,400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127,800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170,400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–</w:t>
            </w:r>
          </w:p>
        </w:tc>
      </w:tr>
      <w:tr>
        <w:tc>
          <w:tcPr>
            <w:tcW w:type="dxa" w:w="3288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COLA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21,600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21,600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16,931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22,499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899</w:t>
            </w:r>
          </w:p>
        </w:tc>
      </w:tr>
      <w:tr>
        <w:tc>
          <w:tcPr>
            <w:tcW w:type="dxa" w:w="3288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Senior Legal Advisor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–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120,000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–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–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–</w:t>
            </w:r>
          </w:p>
        </w:tc>
      </w:tr>
      <w:tr>
        <w:tc>
          <w:tcPr>
            <w:tcW w:type="dxa" w:w="3288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Programme Manager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42,000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42,000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34,000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44,500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E12D64"/>
                <w:sz w:val="14"/>
              </w:rPr>
              <w:t>2,500</w:t>
            </w:r>
          </w:p>
        </w:tc>
      </w:tr>
      <w:tr>
        <w:tc>
          <w:tcPr>
            <w:tcW w:type="dxa" w:w="3288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Project Manager (Rohingya Manager)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31,250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31,250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22,500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30,000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(1,250)</w:t>
            </w:r>
          </w:p>
        </w:tc>
      </w:tr>
      <w:tr>
        <w:tc>
          <w:tcPr>
            <w:tcW w:type="dxa" w:w="3288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Communications Advisor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64,800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64,800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48,462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64,612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(188)</w:t>
            </w:r>
          </w:p>
        </w:tc>
      </w:tr>
      <w:tr>
        <w:tc>
          <w:tcPr>
            <w:tcW w:type="dxa" w:w="3288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Communication Support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14,400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14,400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11,867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13,815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(585)</w:t>
            </w:r>
          </w:p>
        </w:tc>
      </w:tr>
      <w:tr>
        <w:tc>
          <w:tcPr>
            <w:tcW w:type="dxa" w:w="3288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Finance Manager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24,000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24,000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18,000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22,000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(2,000)</w:t>
            </w:r>
          </w:p>
        </w:tc>
      </w:tr>
      <w:tr>
        <w:tc>
          <w:tcPr>
            <w:tcW w:type="dxa" w:w="3288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Operations Support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18,000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18,000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6,267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7,195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(10,805)</w:t>
            </w:r>
          </w:p>
        </w:tc>
      </w:tr>
      <w:tr>
        <w:tc>
          <w:tcPr>
            <w:tcW w:type="dxa" w:w="3288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Vehicle Hire &amp; Sundry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6,000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6,000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2,286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2,886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(3,114)</w:t>
            </w:r>
          </w:p>
        </w:tc>
      </w:tr>
      <w:tr>
        <w:tc>
          <w:tcPr>
            <w:tcW w:type="dxa" w:w="3288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Volunteer Stipends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12,000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12,000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12,334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12,334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334</w:t>
            </w:r>
          </w:p>
        </w:tc>
      </w:tr>
      <w:tr>
        <w:tc>
          <w:tcPr>
            <w:tcW w:type="dxa" w:w="3288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Partner Expenses (Azadi)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30,000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30,000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14,000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18,000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(12,000)</w:t>
            </w:r>
          </w:p>
        </w:tc>
      </w:tr>
      <w:tr>
        <w:tc>
          <w:tcPr>
            <w:tcW w:type="dxa" w:w="3288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Lawyer Fees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12,000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24,000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4,363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4,363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(7,637)</w:t>
            </w:r>
          </w:p>
        </w:tc>
      </w:tr>
      <w:tr>
        <w:tc>
          <w:tcPr>
            <w:tcW w:type="dxa" w:w="3288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Audit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3,000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3,000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2,822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2,822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(178)</w:t>
            </w:r>
          </w:p>
        </w:tc>
      </w:tr>
      <w:tr>
        <w:tc>
          <w:tcPr>
            <w:tcW w:type="dxa" w:w="3288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Board Meetings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4,000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4,000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8,936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8,936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E12D64"/>
                <w:sz w:val="14"/>
              </w:rPr>
              <w:t>4,936</w:t>
            </w:r>
          </w:p>
        </w:tc>
      </w:tr>
      <w:tr>
        <w:tc>
          <w:tcPr>
            <w:tcW w:type="dxa" w:w="3288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Technology &amp; Software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5,000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5,000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5,469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6,527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E12D64"/>
                <w:sz w:val="14"/>
              </w:rPr>
              <w:t>1,527</w:t>
            </w:r>
          </w:p>
        </w:tc>
      </w:tr>
      <w:tr>
        <w:tc>
          <w:tcPr>
            <w:tcW w:type="dxa" w:w="3288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Travel Expenses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25,000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36,000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39,178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47,578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E12D64"/>
                <w:sz w:val="14"/>
              </w:rPr>
              <w:t>22,578</w:t>
            </w:r>
          </w:p>
        </w:tc>
      </w:tr>
      <w:tr>
        <w:tc>
          <w:tcPr>
            <w:tcW w:type="dxa" w:w="3288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Fees (bank)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5,000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5,000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511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678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(4,322)</w:t>
            </w:r>
          </w:p>
        </w:tc>
      </w:tr>
      <w:tr>
        <w:tc>
          <w:tcPr>
            <w:tcW w:type="dxa" w:w="3288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Unbudgeted — Confidence Building Measures (FCDO I funded)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–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–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14,598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14,598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E12D64"/>
                <w:sz w:val="14"/>
              </w:rPr>
              <w:t>14,598</w:t>
            </w:r>
          </w:p>
        </w:tc>
      </w:tr>
      <w:tr>
        <w:tc>
          <w:tcPr>
            <w:tcW w:type="dxa" w:w="3288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Unbudgeted — Meeting Expenses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–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–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8,930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10,930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E12D64"/>
                <w:sz w:val="14"/>
              </w:rPr>
              <w:t>10,930</w:t>
            </w:r>
          </w:p>
        </w:tc>
      </w:tr>
      <w:tr>
        <w:tc>
          <w:tcPr>
            <w:tcW w:type="dxa" w:w="3288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Unbudgeted — Project Consultants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–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–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2,294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4,545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E12D64"/>
                <w:sz w:val="14"/>
              </w:rPr>
              <w:t>4,545</w:t>
            </w:r>
          </w:p>
        </w:tc>
      </w:tr>
      <w:tr>
        <w:tc>
          <w:tcPr>
            <w:tcW w:type="dxa" w:w="3288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Unbudgeted — Depreciation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–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–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114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114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114</w:t>
            </w:r>
          </w:p>
        </w:tc>
      </w:tr>
      <w:tr>
        <w:tc>
          <w:tcPr>
            <w:tcW w:type="dxa" w:w="3288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FX revaluation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–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–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235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235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4"/>
              </w:rPr>
              <w:t>235</w:t>
            </w:r>
          </w:p>
        </w:tc>
      </w:tr>
      <w:tr>
        <w:tc>
          <w:tcPr>
            <w:tcW w:type="dxa" w:w="3288"/>
            <w:shd w:val="clear" w:color="auto" w:fill="EFE8EE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/>
                <w:i w:val="0"/>
                <w:color w:val="410F37"/>
                <w:sz w:val="14"/>
              </w:rPr>
              <w:t>Total</w:t>
            </w:r>
          </w:p>
        </w:tc>
        <w:tc>
          <w:tcPr>
            <w:tcW w:type="dxa" w:w="1247"/>
            <w:shd w:val="clear" w:color="auto" w:fill="EFE8EE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410F37"/>
                <w:sz w:val="14"/>
              </w:rPr>
              <w:t>488,450</w:t>
            </w:r>
          </w:p>
        </w:tc>
        <w:tc>
          <w:tcPr>
            <w:tcW w:type="dxa" w:w="1247"/>
            <w:shd w:val="clear" w:color="auto" w:fill="EFE8EE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410F37"/>
                <w:sz w:val="14"/>
              </w:rPr>
              <w:t>631,450</w:t>
            </w:r>
          </w:p>
        </w:tc>
        <w:tc>
          <w:tcPr>
            <w:tcW w:type="dxa" w:w="1247"/>
            <w:shd w:val="clear" w:color="auto" w:fill="EFE8EE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410F37"/>
                <w:sz w:val="14"/>
              </w:rPr>
              <w:t>401,897</w:t>
            </w:r>
          </w:p>
        </w:tc>
        <w:tc>
          <w:tcPr>
            <w:tcW w:type="dxa" w:w="1247"/>
            <w:shd w:val="clear" w:color="auto" w:fill="EFE8EE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410F37"/>
                <w:sz w:val="14"/>
              </w:rPr>
              <w:t>509,568</w:t>
            </w:r>
          </w:p>
        </w:tc>
        <w:tc>
          <w:tcPr>
            <w:tcW w:type="dxa" w:w="1247"/>
            <w:shd w:val="clear" w:color="auto" w:fill="EFE8EE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410F37"/>
                <w:sz w:val="14"/>
              </w:rPr>
              <w:t>21,118</w:t>
            </w:r>
          </w:p>
        </w:tc>
      </w:tr>
    </w:tbl>
    <w:p>
      <w:pPr>
        <w:spacing w:after="80"/>
      </w:pPr>
    </w:p>
    <w:p>
      <w:pPr>
        <w:spacing w:before="200" w:after="80"/>
      </w:pPr>
      <w:r>
        <w:rPr>
          <w:rFonts w:ascii="Fagun ExtraBold" w:hAnsi="Fagun ExtraBold" w:eastAsia="Fagun ExtraBold" w:cs="Fagun ExtraBold"/>
          <w:b/>
          <w:i w:val="0"/>
          <w:color w:val="410F37"/>
          <w:sz w:val="32"/>
        </w:rPr>
        <w:t>3. Cash forecast — October 2026 to June 2027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7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h_cha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Fagun" w:hAnsi="Fagun" w:eastAsia="Fagun" w:cs="Fagun"/>
          <w:b w:val="0"/>
          <w:i/>
          <w:color w:val="410F37"/>
          <w:sz w:val="17"/>
        </w:rPr>
        <w:t>Month-end closing cash, USD. Central case below. Every column is one month of cash in and cash out.</w:t>
      </w:r>
    </w:p>
    <w:tbl>
      <w:tblPr>
        <w:tblW w:type="dxa" w:w="9650"/>
        <w:jc w:val="center"/>
        <w:tblLayout w:type="fixed"/>
        <w:tblLook w:firstColumn="1" w:firstRow="1" w:lastColumn="0" w:lastRow="0" w:noHBand="0" w:noVBand="1" w:val="04A0"/>
        <w:tblBorders>
          <w:top w:val="single" w:sz="4" w:color="D9CFD6"/>
          <w:left w:val="single" w:sz="4" w:color="D9CFD6"/>
          <w:bottom w:val="single" w:sz="4" w:color="D9CFD6"/>
          <w:right w:val="single" w:sz="4" w:color="D9CFD6"/>
          <w:insideH w:val="single" w:sz="4" w:color="D9CFD6"/>
          <w:insideV w:val="single" w:sz="4" w:color="D9CFD6"/>
        </w:tblBorders>
      </w:tblPr>
      <w:tblGrid>
        <w:gridCol w:w="2608"/>
        <w:gridCol w:w="782"/>
        <w:gridCol w:w="782"/>
        <w:gridCol w:w="782"/>
        <w:gridCol w:w="782"/>
        <w:gridCol w:w="782"/>
        <w:gridCol w:w="782"/>
        <w:gridCol w:w="782"/>
        <w:gridCol w:w="782"/>
        <w:gridCol w:w="782"/>
      </w:tblGrid>
      <w:tr>
        <w:tc>
          <w:tcPr>
            <w:tcW w:type="dxa" w:w="2608"/>
            <w:shd w:val="clear" w:color="auto" w:fill="410F37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/>
                <w:i w:val="0"/>
                <w:color w:val="96FF14"/>
                <w:sz w:val="12"/>
              </w:rPr>
              <w:t>USD</w:t>
            </w:r>
          </w:p>
        </w:tc>
        <w:tc>
          <w:tcPr>
            <w:tcW w:type="dxa" w:w="782"/>
            <w:shd w:val="clear" w:color="auto" w:fill="410F3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96FF14"/>
                <w:sz w:val="12"/>
              </w:rPr>
              <w:t>Oct 26</w:t>
            </w:r>
          </w:p>
        </w:tc>
        <w:tc>
          <w:tcPr>
            <w:tcW w:type="dxa" w:w="782"/>
            <w:shd w:val="clear" w:color="auto" w:fill="410F3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96FF14"/>
                <w:sz w:val="12"/>
              </w:rPr>
              <w:t>Nov 26</w:t>
            </w:r>
          </w:p>
        </w:tc>
        <w:tc>
          <w:tcPr>
            <w:tcW w:type="dxa" w:w="782"/>
            <w:shd w:val="clear" w:color="auto" w:fill="410F3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96FF14"/>
                <w:sz w:val="12"/>
              </w:rPr>
              <w:t>Dec 26</w:t>
            </w:r>
          </w:p>
        </w:tc>
        <w:tc>
          <w:tcPr>
            <w:tcW w:type="dxa" w:w="782"/>
            <w:shd w:val="clear" w:color="auto" w:fill="410F3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96FF14"/>
                <w:sz w:val="12"/>
              </w:rPr>
              <w:t>Jan 27</w:t>
            </w:r>
          </w:p>
        </w:tc>
        <w:tc>
          <w:tcPr>
            <w:tcW w:type="dxa" w:w="782"/>
            <w:shd w:val="clear" w:color="auto" w:fill="410F3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96FF14"/>
                <w:sz w:val="12"/>
              </w:rPr>
              <w:t>Feb 27</w:t>
            </w:r>
          </w:p>
        </w:tc>
        <w:tc>
          <w:tcPr>
            <w:tcW w:type="dxa" w:w="782"/>
            <w:shd w:val="clear" w:color="auto" w:fill="410F3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96FF14"/>
                <w:sz w:val="12"/>
              </w:rPr>
              <w:t>Mar 27</w:t>
            </w:r>
          </w:p>
        </w:tc>
        <w:tc>
          <w:tcPr>
            <w:tcW w:type="dxa" w:w="782"/>
            <w:shd w:val="clear" w:color="auto" w:fill="410F3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96FF14"/>
                <w:sz w:val="12"/>
              </w:rPr>
              <w:t>Apr 27</w:t>
            </w:r>
          </w:p>
        </w:tc>
        <w:tc>
          <w:tcPr>
            <w:tcW w:type="dxa" w:w="782"/>
            <w:shd w:val="clear" w:color="auto" w:fill="410F3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96FF14"/>
                <w:sz w:val="12"/>
              </w:rPr>
              <w:t>May 27</w:t>
            </w:r>
          </w:p>
        </w:tc>
        <w:tc>
          <w:tcPr>
            <w:tcW w:type="dxa" w:w="782"/>
            <w:shd w:val="clear" w:color="auto" w:fill="410F3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96FF14"/>
                <w:sz w:val="12"/>
              </w:rPr>
              <w:t>Jun 27</w:t>
            </w:r>
          </w:p>
        </w:tc>
      </w:tr>
      <w:tr>
        <w:tc>
          <w:tcPr>
            <w:tcW w:type="dxa" w:w="2608"/>
            <w:shd w:val="clear" w:color="auto" w:fill="EFE8EE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/>
                <w:i w:val="0"/>
                <w:color w:val="410F37"/>
                <w:sz w:val="12"/>
              </w:rPr>
              <w:t>Opening cash</w:t>
            </w:r>
          </w:p>
        </w:tc>
        <w:tc>
          <w:tcPr>
            <w:tcW w:type="dxa" w:w="782"/>
            <w:shd w:val="clear" w:color="auto" w:fill="EFE8EE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410F37"/>
                <w:sz w:val="12"/>
              </w:rPr>
              <w:t>33,679</w:t>
            </w:r>
          </w:p>
        </w:tc>
        <w:tc>
          <w:tcPr>
            <w:tcW w:type="dxa" w:w="782"/>
            <w:shd w:val="clear" w:color="auto" w:fill="EFE8EE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410F37"/>
                <w:sz w:val="12"/>
              </w:rPr>
              <w:t>(6,101)</w:t>
            </w:r>
          </w:p>
        </w:tc>
        <w:tc>
          <w:tcPr>
            <w:tcW w:type="dxa" w:w="782"/>
            <w:shd w:val="clear" w:color="auto" w:fill="EFE8EE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410F37"/>
                <w:sz w:val="12"/>
              </w:rPr>
              <w:t>13,202</w:t>
            </w:r>
          </w:p>
        </w:tc>
        <w:tc>
          <w:tcPr>
            <w:tcW w:type="dxa" w:w="782"/>
            <w:shd w:val="clear" w:color="auto" w:fill="EFE8EE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410F37"/>
                <w:sz w:val="12"/>
              </w:rPr>
              <w:t>(21,230)</w:t>
            </w:r>
          </w:p>
        </w:tc>
        <w:tc>
          <w:tcPr>
            <w:tcW w:type="dxa" w:w="782"/>
            <w:shd w:val="clear" w:color="auto" w:fill="EFE8EE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410F37"/>
                <w:sz w:val="12"/>
              </w:rPr>
              <w:t>269,219</w:t>
            </w:r>
          </w:p>
        </w:tc>
        <w:tc>
          <w:tcPr>
            <w:tcW w:type="dxa" w:w="782"/>
            <w:shd w:val="clear" w:color="auto" w:fill="EFE8EE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410F37"/>
                <w:sz w:val="12"/>
              </w:rPr>
              <w:t>234,722</w:t>
            </w:r>
          </w:p>
        </w:tc>
        <w:tc>
          <w:tcPr>
            <w:tcW w:type="dxa" w:w="782"/>
            <w:shd w:val="clear" w:color="auto" w:fill="EFE8EE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410F37"/>
                <w:sz w:val="12"/>
              </w:rPr>
              <w:t>200,225</w:t>
            </w:r>
          </w:p>
        </w:tc>
        <w:tc>
          <w:tcPr>
            <w:tcW w:type="dxa" w:w="782"/>
            <w:shd w:val="clear" w:color="auto" w:fill="EFE8EE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410F37"/>
                <w:sz w:val="12"/>
              </w:rPr>
              <w:t>162,728</w:t>
            </w:r>
          </w:p>
        </w:tc>
        <w:tc>
          <w:tcPr>
            <w:tcW w:type="dxa" w:w="782"/>
            <w:shd w:val="clear" w:color="auto" w:fill="EFE8EE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410F37"/>
                <w:sz w:val="12"/>
              </w:rPr>
              <w:t>175,230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Executive Director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14,200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14,200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14,200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14,200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14,200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14,200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14,200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14,200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14,200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Communication Advisor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5,383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5,383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5,383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5,383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5,383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5,383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5,383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5,383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5,383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Advocate / Programme Manager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3,500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3,500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3,500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3,500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3,500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3,500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3,500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3,500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3,500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Rohingya Manager (cash)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1,500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1,500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2,435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2,500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2,500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2,500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2,500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2,500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–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Cost of Living Allowance (GBP 1,400)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1,856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1,856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1,856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1,856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1,856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1,856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1,856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1,856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1,856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Finance Manager (SK Das)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2,000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1,000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1,000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1,000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1,000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1,000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1,000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1,000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1,000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Communication Support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649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649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649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649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649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649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649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649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649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IT &amp; software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353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353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353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353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353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353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353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353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353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Bank charges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56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56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56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56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56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56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56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56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56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One-off committed bills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5,283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–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–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–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–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–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3,000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–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–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Programme &amp; travel (central)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5,000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5,000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5,000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5,000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5,000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5,000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5,000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5,000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5,000</w:t>
            </w:r>
          </w:p>
        </w:tc>
      </w:tr>
      <w:tr>
        <w:tc>
          <w:tcPr>
            <w:tcW w:type="dxa" w:w="2608"/>
            <w:shd w:val="clear" w:color="auto" w:fill="EFE8EE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/>
                <w:i w:val="0"/>
                <w:color w:val="410F37"/>
                <w:sz w:val="12"/>
              </w:rPr>
              <w:t>Total cash out</w:t>
            </w:r>
          </w:p>
        </w:tc>
        <w:tc>
          <w:tcPr>
            <w:tcW w:type="dxa" w:w="782"/>
            <w:shd w:val="clear" w:color="auto" w:fill="EFE8EE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410F37"/>
                <w:sz w:val="12"/>
              </w:rPr>
              <w:t>39,780</w:t>
            </w:r>
          </w:p>
        </w:tc>
        <w:tc>
          <w:tcPr>
            <w:tcW w:type="dxa" w:w="782"/>
            <w:shd w:val="clear" w:color="auto" w:fill="EFE8EE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410F37"/>
                <w:sz w:val="12"/>
              </w:rPr>
              <w:t>33,497</w:t>
            </w:r>
          </w:p>
        </w:tc>
        <w:tc>
          <w:tcPr>
            <w:tcW w:type="dxa" w:w="782"/>
            <w:shd w:val="clear" w:color="auto" w:fill="EFE8EE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410F37"/>
                <w:sz w:val="12"/>
              </w:rPr>
              <w:t>34,432</w:t>
            </w:r>
          </w:p>
        </w:tc>
        <w:tc>
          <w:tcPr>
            <w:tcW w:type="dxa" w:w="782"/>
            <w:shd w:val="clear" w:color="auto" w:fill="EFE8EE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410F37"/>
                <w:sz w:val="12"/>
              </w:rPr>
              <w:t>34,497</w:t>
            </w:r>
          </w:p>
        </w:tc>
        <w:tc>
          <w:tcPr>
            <w:tcW w:type="dxa" w:w="782"/>
            <w:shd w:val="clear" w:color="auto" w:fill="EFE8EE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410F37"/>
                <w:sz w:val="12"/>
              </w:rPr>
              <w:t>34,497</w:t>
            </w:r>
          </w:p>
        </w:tc>
        <w:tc>
          <w:tcPr>
            <w:tcW w:type="dxa" w:w="782"/>
            <w:shd w:val="clear" w:color="auto" w:fill="EFE8EE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410F37"/>
                <w:sz w:val="12"/>
              </w:rPr>
              <w:t>34,497</w:t>
            </w:r>
          </w:p>
        </w:tc>
        <w:tc>
          <w:tcPr>
            <w:tcW w:type="dxa" w:w="782"/>
            <w:shd w:val="clear" w:color="auto" w:fill="EFE8EE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410F37"/>
                <w:sz w:val="12"/>
              </w:rPr>
              <w:t>37,497</w:t>
            </w:r>
          </w:p>
        </w:tc>
        <w:tc>
          <w:tcPr>
            <w:tcW w:type="dxa" w:w="782"/>
            <w:shd w:val="clear" w:color="auto" w:fill="EFE8EE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410F37"/>
                <w:sz w:val="12"/>
              </w:rPr>
              <w:t>34,497</w:t>
            </w:r>
          </w:p>
        </w:tc>
        <w:tc>
          <w:tcPr>
            <w:tcW w:type="dxa" w:w="782"/>
            <w:shd w:val="clear" w:color="auto" w:fill="EFE8EE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410F37"/>
                <w:sz w:val="12"/>
              </w:rPr>
              <w:t>31,997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FCDO Phase II claim Jun–Oct 2026 (Schedule 2, ind. Nov 2026)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–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52,800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–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–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–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–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–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–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–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OSF #4 Year-3 tranche (contract: January 2027)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–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–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–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300,000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–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–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–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–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–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Swiss Myanmar tranche 2 (§3.3: 31 Jan 2027)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–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–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–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24,947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–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–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–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–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–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FCDO Phase II final claim Nov 26–Mar 27 (ind. May 2027)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–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–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–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–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–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–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–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47,000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–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Swiss Myanmar tranche 3 (§3.3: 30 Jun 2027)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–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–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–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–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–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–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–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–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24,947</w:t>
            </w:r>
          </w:p>
        </w:tc>
      </w:tr>
      <w:tr>
        <w:tc>
          <w:tcPr>
            <w:tcW w:type="dxa" w:w="2608"/>
            <w:shd w:val="clear" w:color="auto" w:fill="EFE8EE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/>
                <w:i w:val="0"/>
                <w:color w:val="410F37"/>
                <w:sz w:val="12"/>
              </w:rPr>
              <w:t>Closing cash</w:t>
            </w:r>
          </w:p>
        </w:tc>
        <w:tc>
          <w:tcPr>
            <w:tcW w:type="dxa" w:w="782"/>
            <w:shd w:val="clear" w:color="auto" w:fill="EFE8EE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E12D64"/>
                <w:sz w:val="12"/>
              </w:rPr>
              <w:t>(6,101)</w:t>
            </w:r>
          </w:p>
        </w:tc>
        <w:tc>
          <w:tcPr>
            <w:tcW w:type="dxa" w:w="782"/>
            <w:shd w:val="clear" w:color="auto" w:fill="EFE8EE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410F37"/>
                <w:sz w:val="12"/>
              </w:rPr>
              <w:t>13,202</w:t>
            </w:r>
          </w:p>
        </w:tc>
        <w:tc>
          <w:tcPr>
            <w:tcW w:type="dxa" w:w="782"/>
            <w:shd w:val="clear" w:color="auto" w:fill="EFE8EE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E12D64"/>
                <w:sz w:val="12"/>
              </w:rPr>
              <w:t>(21,230)</w:t>
            </w:r>
          </w:p>
        </w:tc>
        <w:tc>
          <w:tcPr>
            <w:tcW w:type="dxa" w:w="782"/>
            <w:shd w:val="clear" w:color="auto" w:fill="EFE8EE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410F37"/>
                <w:sz w:val="12"/>
              </w:rPr>
              <w:t>269,219</w:t>
            </w:r>
          </w:p>
        </w:tc>
        <w:tc>
          <w:tcPr>
            <w:tcW w:type="dxa" w:w="782"/>
            <w:shd w:val="clear" w:color="auto" w:fill="EFE8EE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410F37"/>
                <w:sz w:val="12"/>
              </w:rPr>
              <w:t>234,722</w:t>
            </w:r>
          </w:p>
        </w:tc>
        <w:tc>
          <w:tcPr>
            <w:tcW w:type="dxa" w:w="782"/>
            <w:shd w:val="clear" w:color="auto" w:fill="EFE8EE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410F37"/>
                <w:sz w:val="12"/>
              </w:rPr>
              <w:t>200,225</w:t>
            </w:r>
          </w:p>
        </w:tc>
        <w:tc>
          <w:tcPr>
            <w:tcW w:type="dxa" w:w="782"/>
            <w:shd w:val="clear" w:color="auto" w:fill="EFE8EE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410F37"/>
                <w:sz w:val="12"/>
              </w:rPr>
              <w:t>162,728</w:t>
            </w:r>
          </w:p>
        </w:tc>
        <w:tc>
          <w:tcPr>
            <w:tcW w:type="dxa" w:w="782"/>
            <w:shd w:val="clear" w:color="auto" w:fill="EFE8EE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410F37"/>
                <w:sz w:val="12"/>
              </w:rPr>
              <w:t>175,230</w:t>
            </w:r>
          </w:p>
        </w:tc>
        <w:tc>
          <w:tcPr>
            <w:tcW w:type="dxa" w:w="782"/>
            <w:shd w:val="clear" w:color="auto" w:fill="EFE8EE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410F37"/>
                <w:sz w:val="12"/>
              </w:rPr>
              <w:t>168,180</w:t>
            </w:r>
          </w:p>
        </w:tc>
      </w:tr>
    </w:tbl>
    <w:p>
      <w:pPr>
        <w:spacing w:after="80"/>
      </w:pPr>
    </w:p>
    <w:p>
      <w:pPr>
        <w:spacing w:before="160" w:after="40"/>
      </w:pPr>
      <w:r>
        <w:rPr>
          <w:rFonts w:ascii="Fagun Bold" w:hAnsi="Fagun Bold" w:eastAsia="Fagun Bold" w:cs="Fagun Bold"/>
          <w:b/>
          <w:i w:val="0"/>
          <w:color w:val="410F37"/>
          <w:sz w:val="24"/>
        </w:rPr>
        <w:t>Scenarios — month-end closing cash (USD)</w:t>
      </w:r>
    </w:p>
    <w:tbl>
      <w:tblPr>
        <w:tblW w:type="dxa" w:w="9650"/>
        <w:jc w:val="center"/>
        <w:tblLayout w:type="fixed"/>
        <w:tblLook w:firstColumn="1" w:firstRow="1" w:lastColumn="0" w:lastRow="0" w:noHBand="0" w:noVBand="1" w:val="04A0"/>
        <w:tblBorders>
          <w:top w:val="single" w:sz="4" w:color="D9CFD6"/>
          <w:left w:val="single" w:sz="4" w:color="D9CFD6"/>
          <w:bottom w:val="single" w:sz="4" w:color="D9CFD6"/>
          <w:right w:val="single" w:sz="4" w:color="D9CFD6"/>
          <w:insideH w:val="single" w:sz="4" w:color="D9CFD6"/>
          <w:insideV w:val="single" w:sz="4" w:color="D9CFD6"/>
        </w:tblBorders>
      </w:tblPr>
      <w:tblGrid>
        <w:gridCol w:w="2608"/>
        <w:gridCol w:w="782"/>
        <w:gridCol w:w="782"/>
        <w:gridCol w:w="782"/>
        <w:gridCol w:w="782"/>
        <w:gridCol w:w="782"/>
        <w:gridCol w:w="782"/>
        <w:gridCol w:w="782"/>
        <w:gridCol w:w="782"/>
        <w:gridCol w:w="782"/>
      </w:tblGrid>
      <w:tr>
        <w:tc>
          <w:tcPr>
            <w:tcW w:type="dxa" w:w="2608"/>
            <w:shd w:val="clear" w:color="auto" w:fill="410F37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/>
                <w:i w:val="0"/>
                <w:color w:val="96FF14"/>
                <w:sz w:val="12"/>
              </w:rPr>
              <w:t>Scenario</w:t>
            </w:r>
          </w:p>
        </w:tc>
        <w:tc>
          <w:tcPr>
            <w:tcW w:type="dxa" w:w="782"/>
            <w:shd w:val="clear" w:color="auto" w:fill="410F3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96FF14"/>
                <w:sz w:val="12"/>
              </w:rPr>
              <w:t>Oct 26</w:t>
            </w:r>
          </w:p>
        </w:tc>
        <w:tc>
          <w:tcPr>
            <w:tcW w:type="dxa" w:w="782"/>
            <w:shd w:val="clear" w:color="auto" w:fill="410F3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96FF14"/>
                <w:sz w:val="12"/>
              </w:rPr>
              <w:t>Nov 26</w:t>
            </w:r>
          </w:p>
        </w:tc>
        <w:tc>
          <w:tcPr>
            <w:tcW w:type="dxa" w:w="782"/>
            <w:shd w:val="clear" w:color="auto" w:fill="410F3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96FF14"/>
                <w:sz w:val="12"/>
              </w:rPr>
              <w:t>Dec 26</w:t>
            </w:r>
          </w:p>
        </w:tc>
        <w:tc>
          <w:tcPr>
            <w:tcW w:type="dxa" w:w="782"/>
            <w:shd w:val="clear" w:color="auto" w:fill="410F3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96FF14"/>
                <w:sz w:val="12"/>
              </w:rPr>
              <w:t>Jan 27</w:t>
            </w:r>
          </w:p>
        </w:tc>
        <w:tc>
          <w:tcPr>
            <w:tcW w:type="dxa" w:w="782"/>
            <w:shd w:val="clear" w:color="auto" w:fill="410F3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96FF14"/>
                <w:sz w:val="12"/>
              </w:rPr>
              <w:t>Feb 27</w:t>
            </w:r>
          </w:p>
        </w:tc>
        <w:tc>
          <w:tcPr>
            <w:tcW w:type="dxa" w:w="782"/>
            <w:shd w:val="clear" w:color="auto" w:fill="410F3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96FF14"/>
                <w:sz w:val="12"/>
              </w:rPr>
              <w:t>Mar 27</w:t>
            </w:r>
          </w:p>
        </w:tc>
        <w:tc>
          <w:tcPr>
            <w:tcW w:type="dxa" w:w="782"/>
            <w:shd w:val="clear" w:color="auto" w:fill="410F3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96FF14"/>
                <w:sz w:val="12"/>
              </w:rPr>
              <w:t>Apr 27</w:t>
            </w:r>
          </w:p>
        </w:tc>
        <w:tc>
          <w:tcPr>
            <w:tcW w:type="dxa" w:w="782"/>
            <w:shd w:val="clear" w:color="auto" w:fill="410F3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96FF14"/>
                <w:sz w:val="12"/>
              </w:rPr>
              <w:t>May 27</w:t>
            </w:r>
          </w:p>
        </w:tc>
        <w:tc>
          <w:tcPr>
            <w:tcW w:type="dxa" w:w="782"/>
            <w:shd w:val="clear" w:color="auto" w:fill="410F3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96FF14"/>
                <w:sz w:val="12"/>
              </w:rPr>
              <w:t>Jun 27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A. Central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E12D64"/>
                <w:sz w:val="12"/>
              </w:rPr>
              <w:t>(6,101)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13,202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E12D64"/>
                <w:sz w:val="12"/>
              </w:rPr>
              <w:t>(21,230)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269,219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234,722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200,225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162,728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175,230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168,180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B. Freeze (committed only)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E12D64"/>
                <w:sz w:val="12"/>
              </w:rPr>
              <w:t>(1,101)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23,202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E12D64"/>
                <w:sz w:val="12"/>
              </w:rPr>
              <w:t>(6,230)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289,219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259,722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230,225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197,728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215,230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213,180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C. Q3 run-rate continues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E12D64"/>
                <w:sz w:val="12"/>
              </w:rPr>
              <w:t>(11,737)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1,930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E12D64"/>
                <w:sz w:val="12"/>
              </w:rPr>
              <w:t>(38,138)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246,675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206,542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166,409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123,276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130,142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117,456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D. Central, FCDO claim slips to Jan 27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E12D64"/>
                <w:sz w:val="12"/>
              </w:rPr>
              <w:t>(6,101)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E12D64"/>
                <w:sz w:val="12"/>
              </w:rPr>
              <w:t>(39,598)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E12D64"/>
                <w:sz w:val="12"/>
              </w:rPr>
              <w:t>(74,030)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269,219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234,722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200,225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162,728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175,230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168,180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E. Central + OSF released early Dec 26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E12D64"/>
                <w:sz w:val="12"/>
              </w:rPr>
              <w:t>(6,101)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13,202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278,770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269,219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234,722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200,225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162,728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175,230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168,180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F. Central + Swiss T2 pulled to Dec 26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E12D64"/>
                <w:sz w:val="12"/>
              </w:rPr>
              <w:t>(6,101)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13,202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3,717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269,219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234,722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200,225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162,728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175,230</w:t>
            </w:r>
          </w:p>
        </w:tc>
        <w:tc>
          <w:tcPr>
            <w:tcW w:type="dxa" w:w="782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2"/>
              </w:rPr>
              <w:t>168,180</w:t>
            </w:r>
          </w:p>
        </w:tc>
      </w:tr>
    </w:tbl>
    <w:p>
      <w:pPr>
        <w:spacing w:after="120"/>
      </w:pPr>
      <w:r>
        <w:rPr>
          <w:rFonts w:ascii="Fagun" w:hAnsi="Fagun" w:eastAsia="Fagun" w:cs="Fagun"/>
          <w:b w:val="0"/>
          <w:i/>
          <w:color w:val="410F37"/>
          <w:sz w:val="16"/>
        </w:rPr>
        <w:t>A: USD 5,000/month programme and travel. B: committed costs only. C: Q3's average variable spend continues (USD 10,636/month). D: as A, but FCDO claim 1 slips to January. E: as A, with OSF paying in early December. F: as A, with Swiss Myanmar tranche 2 pulled into December.</w:t>
      </w:r>
    </w:p>
    <w:p>
      <w:pPr>
        <w:pStyle w:val="ListBullet"/>
        <w:spacing w:after="40"/>
      </w:pPr>
      <w:r>
        <w:rPr>
          <w:rFonts w:ascii="Fagun" w:hAnsi="Fagun" w:eastAsia="Fagun" w:cs="Fagun"/>
          <w:b/>
          <w:i w:val="0"/>
          <w:color w:val="410F37"/>
          <w:sz w:val="20"/>
        </w:rPr>
        <w:t>Every scenario is short in October.</w:t>
      </w:r>
      <w:r>
        <w:rPr>
          <w:rFonts w:ascii="Fagun" w:hAnsi="Fagun" w:eastAsia="Fagun" w:cs="Fagun"/>
          <w:b w:val="0"/>
          <w:i w:val="0"/>
          <w:color w:val="410F37"/>
          <w:sz w:val="20"/>
        </w:rPr>
        <w:t xml:space="preserve"> This is the 28 October payment run; no scenario brings receipts in before it.</w:t>
      </w:r>
    </w:p>
    <w:p>
      <w:pPr>
        <w:pStyle w:val="ListBullet"/>
        <w:spacing w:after="40"/>
      </w:pPr>
      <w:r>
        <w:rPr>
          <w:rFonts w:ascii="Fagun" w:hAnsi="Fagun" w:eastAsia="Fagun" w:cs="Fagun"/>
          <w:b/>
          <w:i w:val="0"/>
          <w:color w:val="410F37"/>
          <w:sz w:val="20"/>
        </w:rPr>
        <w:t>December is short unless one receipt moves earlier.</w:t>
      </w:r>
      <w:r>
        <w:rPr>
          <w:rFonts w:ascii="Fagun" w:hAnsi="Fagun" w:eastAsia="Fagun" w:cs="Fagun"/>
          <w:b w:val="0"/>
          <w:i w:val="0"/>
          <w:color w:val="410F37"/>
          <w:sz w:val="20"/>
        </w:rPr>
        <w:t xml:space="preserve"> Freeze + Swiss tranche 2 in December closes at about USD 18,717; OSF in December closes at about USD 278,770.</w:t>
      </w:r>
    </w:p>
    <w:p>
      <w:pPr>
        <w:pStyle w:val="ListBullet"/>
        <w:spacing w:after="40"/>
      </w:pPr>
      <w:r>
        <w:rPr>
          <w:rFonts w:ascii="Fagun" w:hAnsi="Fagun" w:eastAsia="Fagun" w:cs="Fagun"/>
          <w:b/>
          <w:i w:val="0"/>
          <w:color w:val="410F37"/>
          <w:sz w:val="20"/>
        </w:rPr>
        <w:t>If the FCDO claim slips to January, the low point is USD (74,030) at end-December.</w:t>
      </w:r>
      <w:r>
        <w:rPr>
          <w:rFonts w:ascii="Fagun" w:hAnsi="Fagun" w:eastAsia="Fagun" w:cs="Fagun"/>
          <w:b w:val="0"/>
          <w:i w:val="0"/>
          <w:color w:val="410F37"/>
          <w:sz w:val="20"/>
        </w:rPr>
        <w:t xml:space="preserve"> That is why the standby bridge is sized at USD 75,000.</w:t>
      </w:r>
    </w:p>
    <w:p>
      <w:pPr>
        <w:pStyle w:val="ListBullet"/>
        <w:spacing w:after="40"/>
      </w:pPr>
      <w:r>
        <w:rPr>
          <w:rFonts w:ascii="Fagun" w:hAnsi="Fagun" w:eastAsia="Fagun" w:cs="Fagun"/>
          <w:b/>
          <w:i w:val="0"/>
          <w:color w:val="410F37"/>
          <w:sz w:val="20"/>
        </w:rPr>
        <w:t>After January, cash recovers to about USD 269,219</w:t>
      </w:r>
      <w:r>
        <w:rPr>
          <w:rFonts w:ascii="Fagun" w:hAnsi="Fagun" w:eastAsia="Fagun" w:cs="Fagun"/>
          <w:b w:val="0"/>
          <w:i w:val="0"/>
          <w:color w:val="410F37"/>
          <w:sz w:val="20"/>
        </w:rPr>
        <w:t xml:space="preserve"> and stays above three months of the floor through June 2027 in cases A and B. In case C it falls to about USD 117,456 by June, which is the warning for the 2027 budget.</w:t>
      </w:r>
    </w:p>
    <w:p>
      <w:pPr>
        <w:spacing w:before="200" w:after="80"/>
      </w:pPr>
      <w:r>
        <w:rPr>
          <w:rFonts w:ascii="Fagun ExtraBold" w:hAnsi="Fagun ExtraBold" w:eastAsia="Fagun ExtraBold" w:cs="Fagun ExtraBold"/>
          <w:b/>
          <w:i w:val="0"/>
          <w:color w:val="410F37"/>
          <w:sz w:val="32"/>
        </w:rPr>
        <w:t>4. The October pinch point</w:t>
      </w:r>
    </w:p>
    <w:tbl>
      <w:tblPr>
        <w:tblW w:type="dxa" w:w="9525"/>
        <w:jc w:val="center"/>
        <w:tblLayout w:type="fixed"/>
        <w:tblLook w:firstColumn="1" w:firstRow="1" w:lastColumn="0" w:lastRow="0" w:noHBand="0" w:noVBand="1" w:val="04A0"/>
        <w:tblBorders>
          <w:top w:val="single" w:sz="4" w:color="D9CFD6"/>
          <w:left w:val="single" w:sz="4" w:color="D9CFD6"/>
          <w:bottom w:val="single" w:sz="4" w:color="D9CFD6"/>
          <w:right w:val="single" w:sz="4" w:color="D9CFD6"/>
          <w:insideH w:val="single" w:sz="4" w:color="D9CFD6"/>
          <w:insideV w:val="single" w:sz="4" w:color="D9CFD6"/>
        </w:tblBorders>
      </w:tblPr>
      <w:tblGrid>
        <w:gridCol w:w="6520"/>
        <w:gridCol w:w="1360"/>
        <w:gridCol w:w="1644"/>
      </w:tblGrid>
      <w:tr>
        <w:tc>
          <w:tcPr>
            <w:tcW w:type="dxa" w:w="6520"/>
            <w:shd w:val="clear" w:color="auto" w:fill="410F37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/>
                <w:i w:val="0"/>
                <w:color w:val="96FF14"/>
                <w:sz w:val="16"/>
              </w:rPr>
              <w:t>Item</w:t>
            </w:r>
          </w:p>
        </w:tc>
        <w:tc>
          <w:tcPr>
            <w:tcW w:type="dxa" w:w="1361"/>
            <w:shd w:val="clear" w:color="auto" w:fill="410F37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/>
                <w:i w:val="0"/>
                <w:color w:val="96FF14"/>
                <w:sz w:val="16"/>
              </w:rPr>
              <w:t>Date</w:t>
            </w:r>
          </w:p>
        </w:tc>
        <w:tc>
          <w:tcPr>
            <w:tcW w:type="dxa" w:w="1644"/>
            <w:shd w:val="clear" w:color="auto" w:fill="410F3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96FF14"/>
                <w:sz w:val="16"/>
              </w:rPr>
              <w:t>USD</w:t>
            </w:r>
          </w:p>
        </w:tc>
      </w:tr>
      <w:tr>
        <w:tc>
          <w:tcPr>
            <w:tcW w:type="dxa" w:w="6520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6"/>
              </w:rPr>
              <w:t>Cash at 12 October (Wise USD 2,456 + EUR 28,872)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6"/>
              </w:rPr>
              <w:t>12 Oct</w:t>
            </w:r>
          </w:p>
        </w:tc>
        <w:tc>
          <w:tcPr>
            <w:tcW w:type="dxa" w:w="1644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6"/>
              </w:rPr>
              <w:t>31,329</w:t>
            </w:r>
          </w:p>
        </w:tc>
      </w:tr>
      <w:tr>
        <w:tc>
          <w:tcPr>
            <w:tcW w:type="dxa" w:w="6520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6"/>
              </w:rPr>
              <w:t>Chair stipend Q3 — EUR 2,000 (awaiting approval)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6"/>
              </w:rPr>
              <w:t>due 15 Oct</w:t>
            </w:r>
          </w:p>
        </w:tc>
        <w:tc>
          <w:tcPr>
            <w:tcW w:type="dxa" w:w="1644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6"/>
              </w:rPr>
              <w:t>(2,251)</w:t>
            </w:r>
          </w:p>
        </w:tc>
      </w:tr>
      <w:tr>
        <w:tc>
          <w:tcPr>
            <w:tcW w:type="dxa" w:w="6520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6"/>
              </w:rPr>
              <w:t>Free Thought Ltd — GBP 700, speech support (awaiting approval)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6"/>
              </w:rPr>
              <w:t>due 15 Oct</w:t>
            </w:r>
          </w:p>
        </w:tc>
        <w:tc>
          <w:tcPr>
            <w:tcW w:type="dxa" w:w="1644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6"/>
              </w:rPr>
              <w:t>(928)</w:t>
            </w:r>
          </w:p>
        </w:tc>
      </w:tr>
      <w:tr>
        <w:tc>
          <w:tcPr>
            <w:tcW w:type="dxa" w:w="6520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6"/>
              </w:rPr>
              <w:t>Payment run: ED 14,200; Comms Advisor ~5,383; Programme Mgr 3,500; Finance Mgr 2,000; COLA GBP 1,400; Rohingya Mgr 1,500 (net of advance); comms support, IT, bank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6"/>
              </w:rPr>
              <w:t>25 → 28 Oct</w:t>
            </w:r>
          </w:p>
        </w:tc>
        <w:tc>
          <w:tcPr>
            <w:tcW w:type="dxa" w:w="1644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6"/>
              </w:rPr>
              <w:t>(29,497)</w:t>
            </w:r>
          </w:p>
        </w:tc>
      </w:tr>
      <w:tr>
        <w:tc>
          <w:tcPr>
            <w:tcW w:type="dxa" w:w="6520"/>
            <w:shd w:val="clear" w:color="auto" w:fill="EFE8EE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/>
                <w:i w:val="0"/>
                <w:color w:val="410F37"/>
                <w:sz w:val="16"/>
              </w:rPr>
              <w:t>Position after the run, before any programme or travel spend</w:t>
            </w:r>
          </w:p>
        </w:tc>
        <w:tc>
          <w:tcPr>
            <w:tcW w:type="dxa" w:w="1361"/>
            <w:shd w:val="clear" w:color="auto" w:fill="EFE8EE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/>
                <w:i w:val="0"/>
                <w:color w:val="410F37"/>
                <w:sz w:val="16"/>
              </w:rPr>
              <w:t>28 Oct</w:t>
            </w:r>
          </w:p>
        </w:tc>
        <w:tc>
          <w:tcPr>
            <w:tcW w:type="dxa" w:w="1644"/>
            <w:shd w:val="clear" w:color="auto" w:fill="EFE8EE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E12D64"/>
                <w:sz w:val="16"/>
              </w:rPr>
              <w:t>(1,347)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Fagun" w:hAnsi="Fagun" w:eastAsia="Fagun" w:cs="Fagun"/>
          <w:b/>
          <w:i w:val="0"/>
          <w:color w:val="410F37"/>
          <w:sz w:val="20"/>
        </w:rPr>
        <w:t>Options before 28 October, in order of preference:</w:t>
      </w:r>
      <w:r>
        <w:rPr>
          <w:rFonts w:ascii="Fagun" w:hAnsi="Fagun" w:eastAsia="Fagun" w:cs="Fagun"/>
          <w:b w:val="0"/>
          <w:i w:val="0"/>
          <w:color w:val="410F37"/>
          <w:sz w:val="20"/>
        </w:rPr>
        <w:t xml:space="preserve"> (1) re-state FCDO claim 1 in GBP from ledger actuals and submit it early, asking Stimson to pay on receipt (cl. 6.5 rules out advances, but claim 1 covers costs already incurred); (2) defer the two non-staff bills (about USD 3,180) to November; (3) if still short, the board agrees which roster payment is delayed and for how long. Any deferral of the ED's fee is a related-party matter for the board, and Legal should advise first.</w:t>
      </w:r>
    </w:p>
    <w:p>
      <w:pPr>
        <w:spacing w:after="80"/>
      </w:pPr>
      <w:r>
        <w:rPr>
          <w:rFonts w:ascii="Fagun" w:hAnsi="Fagun" w:eastAsia="Fagun" w:cs="Fagun"/>
          <w:b/>
          <w:i/>
          <w:color w:val="410F37"/>
          <w:sz w:val="17"/>
        </w:rPr>
        <w:t>Correction to the 12 October dashboard note (CAP-520):</w:t>
      </w:r>
      <w:r>
        <w:rPr>
          <w:rFonts w:ascii="Fagun" w:hAnsi="Fagun" w:eastAsia="Fagun" w:cs="Fagun"/>
          <w:b w:val="0"/>
          <w:i/>
          <w:color w:val="410F37"/>
          <w:sz w:val="17"/>
        </w:rPr>
        <w:t xml:space="preserve"> that note put end-October cash at about USD 5,100. It left out the Communications Advisor's monthly invoice (about USD 5,383), which is raised by hand and not from a template, and Communication Support (about USD 649). The correct figure is shown above.</w:t>
      </w:r>
    </w:p>
    <w:p>
      <w:pPr>
        <w:spacing w:before="200" w:after="80"/>
      </w:pPr>
      <w:r>
        <w:rPr>
          <w:rFonts w:ascii="Fagun ExtraBold" w:hAnsi="Fagun ExtraBold" w:eastAsia="Fagun ExtraBold" w:cs="Fagun ExtraBold"/>
          <w:b/>
          <w:i w:val="0"/>
          <w:color w:val="410F37"/>
          <w:sz w:val="32"/>
        </w:rPr>
        <w:t>5. Change since the August cash plan</w:t>
      </w:r>
    </w:p>
    <w:p>
      <w:pPr>
        <w:spacing w:after="80"/>
      </w:pPr>
      <w:r>
        <w:rPr>
          <w:rFonts w:ascii="Fagun" w:hAnsi="Fagun" w:eastAsia="Fagun" w:cs="Fagun"/>
          <w:b w:val="0"/>
          <w:i w:val="0"/>
          <w:color w:val="410F37"/>
          <w:sz w:val="18"/>
        </w:rPr>
        <w:t>The August cash ceiling (CAP-389, 18 August) projected September USD 50,800, October USD 21,650, November USD 29,700 and December USD 550.</w:t>
      </w:r>
    </w:p>
    <w:tbl>
      <w:tblPr>
        <w:tblW w:type="dxa" w:w="9525"/>
        <w:jc w:val="center"/>
        <w:tblLayout w:type="fixed"/>
        <w:tblLook w:firstColumn="1" w:firstRow="1" w:lastColumn="0" w:lastRow="0" w:noHBand="0" w:noVBand="1" w:val="04A0"/>
        <w:tblBorders>
          <w:top w:val="single" w:sz="4" w:color="D9CFD6"/>
          <w:left w:val="single" w:sz="4" w:color="D9CFD6"/>
          <w:bottom w:val="single" w:sz="4" w:color="D9CFD6"/>
          <w:right w:val="single" w:sz="4" w:color="D9CFD6"/>
          <w:insideH w:val="single" w:sz="4" w:color="D9CFD6"/>
          <w:insideV w:val="single" w:sz="4" w:color="D9CFD6"/>
        </w:tblBorders>
      </w:tblPr>
      <w:tblGrid>
        <w:gridCol w:w="1134"/>
        <w:gridCol w:w="1077"/>
        <w:gridCol w:w="1417"/>
        <w:gridCol w:w="1020"/>
        <w:gridCol w:w="4876"/>
      </w:tblGrid>
      <w:tr>
        <w:tc>
          <w:tcPr>
            <w:tcW w:type="dxa" w:w="1134"/>
            <w:shd w:val="clear" w:color="auto" w:fill="410F37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/>
                <w:i w:val="0"/>
                <w:color w:val="96FF14"/>
                <w:sz w:val="15"/>
              </w:rPr>
              <w:t>Month-end</w:t>
            </w:r>
          </w:p>
        </w:tc>
        <w:tc>
          <w:tcPr>
            <w:tcW w:type="dxa" w:w="1077"/>
            <w:shd w:val="clear" w:color="auto" w:fill="410F3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96FF14"/>
                <w:sz w:val="15"/>
              </w:rPr>
              <w:t>August plan</w:t>
            </w:r>
          </w:p>
        </w:tc>
        <w:tc>
          <w:tcPr>
            <w:tcW w:type="dxa" w:w="1417"/>
            <w:shd w:val="clear" w:color="auto" w:fill="410F3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96FF14"/>
                <w:sz w:val="15"/>
              </w:rPr>
              <w:t>Now (freeze case B)</w:t>
            </w:r>
          </w:p>
        </w:tc>
        <w:tc>
          <w:tcPr>
            <w:tcW w:type="dxa" w:w="1020"/>
            <w:shd w:val="clear" w:color="auto" w:fill="410F3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/>
                <w:i w:val="0"/>
                <w:color w:val="96FF14"/>
                <w:sz w:val="15"/>
              </w:rPr>
              <w:t>Change</w:t>
            </w:r>
          </w:p>
        </w:tc>
        <w:tc>
          <w:tcPr>
            <w:tcW w:type="dxa" w:w="4876"/>
            <w:shd w:val="clear" w:color="auto" w:fill="410F37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/>
                <w:i w:val="0"/>
                <w:color w:val="96FF14"/>
                <w:sz w:val="15"/>
              </w:rPr>
              <w:t>Why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5"/>
              </w:rPr>
              <w:t>Sep 2026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5"/>
              </w:rPr>
              <w:t>50,800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5"/>
              </w:rPr>
              <w:t>33,679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5"/>
              </w:rPr>
              <w:t>(17,121)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5"/>
              </w:rPr>
              <w:t>Aug closed USD 3,837 below plan. Sep net cash decline was USD 42,433 against a USD 29,150 ceiling: Tavy Cussinel F-2026-002 GBP 4,000 (USD 5,303), New York accommodation USD 4,759 and Pennyhill Park balance GBP 1,888 (USD 2,525); other lines net USD 696 over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5"/>
              </w:rPr>
              <w:t>Oct 2026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5"/>
              </w:rPr>
              <w:t>21,650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5"/>
              </w:rPr>
              <w:t>(1,101)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5"/>
              </w:rPr>
              <w:t>(22,751)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5"/>
              </w:rPr>
              <w:t>Sep shortfall carried forward (USD 17,121); Oct bills not in the plan (Chair stipend, Free Thought, SK Das Sep fee paid 1 Oct) USD 5,283; floor USD 347 above ceiling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5"/>
              </w:rPr>
              <w:t>Nov 2026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5"/>
              </w:rPr>
              <w:t>29,700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5"/>
              </w:rPr>
              <w:t>23,202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5"/>
              </w:rPr>
              <w:t>(6,498)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5"/>
              </w:rPr>
              <w:t>October shortfall carried forward (USD 22,751), partly offset by a larger FCDO claim (+USD 15,600): about USD 52,800, not USD 37,200, because Schedule 2's first period runs June–October, not June–September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5"/>
              </w:rPr>
              <w:t>Dec 2026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5"/>
              </w:rPr>
              <w:t>550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5"/>
              </w:rPr>
              <w:t>(6,230)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5"/>
              </w:rPr>
              <w:t>(6,780)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5"/>
              </w:rPr>
              <w:t>November shortfall carried forward (USD 6,498); December floor USD 282 above the ceiling</w:t>
            </w:r>
          </w:p>
        </w:tc>
      </w:tr>
    </w:tbl>
    <w:p>
      <w:pPr>
        <w:spacing w:after="80"/>
      </w:pPr>
    </w:p>
    <w:p>
      <w:pPr>
        <w:spacing w:before="200" w:after="80"/>
      </w:pPr>
      <w:r>
        <w:rPr>
          <w:rFonts w:ascii="Fagun ExtraBold" w:hAnsi="Fagun ExtraBold" w:eastAsia="Fagun ExtraBold" w:cs="Fagun ExtraBold"/>
          <w:b/>
          <w:i w:val="0"/>
          <w:color w:val="410F37"/>
          <w:sz w:val="32"/>
        </w:rPr>
        <w:t>6. Assumptions</w:t>
      </w:r>
    </w:p>
    <w:tbl>
      <w:tblPr>
        <w:tblW w:type="dxa" w:w="9525"/>
        <w:jc w:val="center"/>
        <w:tblLayout w:type="fixed"/>
        <w:tblLook w:firstColumn="1" w:firstRow="1" w:lastColumn="0" w:lastRow="0" w:noHBand="0" w:noVBand="1" w:val="04A0"/>
        <w:tblBorders>
          <w:top w:val="single" w:sz="4" w:color="D9CFD6"/>
          <w:left w:val="single" w:sz="4" w:color="D9CFD6"/>
          <w:bottom w:val="single" w:sz="4" w:color="D9CFD6"/>
          <w:right w:val="single" w:sz="4" w:color="D9CFD6"/>
          <w:insideH w:val="single" w:sz="4" w:color="D9CFD6"/>
          <w:insideV w:val="single" w:sz="4" w:color="D9CFD6"/>
        </w:tblBorders>
      </w:tblPr>
      <w:tblGrid>
        <w:gridCol w:w="1587"/>
        <w:gridCol w:w="5216"/>
        <w:gridCol w:w="2721"/>
      </w:tblGrid>
      <w:tr>
        <w:tc>
          <w:tcPr>
            <w:tcW w:type="dxa" w:w="1587"/>
            <w:shd w:val="clear" w:color="auto" w:fill="410F37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/>
                <w:i w:val="0"/>
                <w:color w:val="96FF14"/>
                <w:sz w:val="15"/>
              </w:rPr>
              <w:t>Area</w:t>
            </w:r>
          </w:p>
        </w:tc>
        <w:tc>
          <w:tcPr>
            <w:tcW w:type="dxa" w:w="5216"/>
            <w:shd w:val="clear" w:color="auto" w:fill="410F37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/>
                <w:i w:val="0"/>
                <w:color w:val="96FF14"/>
                <w:sz w:val="15"/>
              </w:rPr>
              <w:t>Assumption</w:t>
            </w:r>
          </w:p>
        </w:tc>
        <w:tc>
          <w:tcPr>
            <w:tcW w:type="dxa" w:w="2721"/>
            <w:shd w:val="clear" w:color="auto" w:fill="410F37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/>
                <w:i w:val="0"/>
                <w:color w:val="96FF14"/>
                <w:sz w:val="15"/>
              </w:rPr>
              <w:t>Source</w:t>
            </w:r>
          </w:p>
        </w:tc>
      </w:tr>
      <w:tr>
        <w:tc>
          <w:tcPr>
            <w:tcW w:type="dxa" w:w="1587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5"/>
              </w:rPr>
              <w:t>Opening cash</w:t>
            </w:r>
          </w:p>
        </w:tc>
        <w:tc>
          <w:tcPr>
            <w:tcW w:type="dxa" w:w="5216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5"/>
              </w:rPr>
              <w:t>USD 33,679.30 at 30 Sep 2026</w:t>
            </w:r>
          </w:p>
        </w:tc>
        <w:tc>
          <w:tcPr>
            <w:tcW w:type="dxa" w:w="2721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5"/>
              </w:rPr>
              <w:t>Xero Balance Sheet `052baafa`</w:t>
            </w:r>
          </w:p>
        </w:tc>
      </w:tr>
      <w:tr>
        <w:tc>
          <w:tcPr>
            <w:tcW w:type="dxa" w:w="1587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5"/>
              </w:rPr>
              <w:t>Roster</w:t>
            </w:r>
          </w:p>
        </w:tc>
        <w:tc>
          <w:tcPr>
            <w:tcW w:type="dxa" w:w="5216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5"/>
              </w:rPr>
              <w:t>ED USD 14,200; Programme Mgr 3,500; Rohingya Mgr 2,500 (cash 1,500 until the advance clears in Dec); COLA GBP 1,400; SK Das 2,000 in Oct, 1,000 from Nov</w:t>
            </w:r>
          </w:p>
        </w:tc>
        <w:tc>
          <w:tcPr>
            <w:tcW w:type="dxa" w:w="2721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5"/>
              </w:rPr>
              <w:t>Xero repeating templates; CAP-485 fee decision (effective date to confirm)</w:t>
            </w:r>
          </w:p>
        </w:tc>
      </w:tr>
      <w:tr>
        <w:tc>
          <w:tcPr>
            <w:tcW w:type="dxa" w:w="1587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5"/>
              </w:rPr>
              <w:t>Communications</w:t>
            </w:r>
          </w:p>
        </w:tc>
        <w:tc>
          <w:tcPr>
            <w:tcW w:type="dxa" w:w="5216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5"/>
              </w:rPr>
              <w:t>Advisor USD 5,383/month and Support USD 649/month (Q3 averages); the Advisor's invoice is raised by hand</w:t>
            </w:r>
          </w:p>
        </w:tc>
        <w:tc>
          <w:tcPr>
            <w:tcW w:type="dxa" w:w="2721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5"/>
              </w:rPr>
              <w:t>Xero P&amp;L Q3</w:t>
            </w:r>
          </w:p>
        </w:tc>
      </w:tr>
      <w:tr>
        <w:tc>
          <w:tcPr>
            <w:tcW w:type="dxa" w:w="1587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5"/>
              </w:rPr>
              <w:t>Overheads</w:t>
            </w:r>
          </w:p>
        </w:tc>
        <w:tc>
          <w:tcPr>
            <w:tcW w:type="dxa" w:w="5216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5"/>
              </w:rPr>
              <w:t>IT USD 353, bank USD 56 per month (Q3 averages)</w:t>
            </w:r>
          </w:p>
        </w:tc>
        <w:tc>
          <w:tcPr>
            <w:tcW w:type="dxa" w:w="2721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5"/>
              </w:rPr>
              <w:t>Xero P&amp;L Q3</w:t>
            </w:r>
          </w:p>
        </w:tc>
      </w:tr>
      <w:tr>
        <w:tc>
          <w:tcPr>
            <w:tcW w:type="dxa" w:w="1587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5"/>
              </w:rPr>
              <w:t>Programme &amp; travel</w:t>
            </w:r>
          </w:p>
        </w:tc>
        <w:tc>
          <w:tcPr>
            <w:tcW w:type="dxa" w:w="5216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5"/>
              </w:rPr>
              <w:t>Central USD 5,000/month; Freeze nil; Q3 run-rate USD 10,636/month</w:t>
            </w:r>
          </w:p>
        </w:tc>
        <w:tc>
          <w:tcPr>
            <w:tcW w:type="dxa" w:w="2721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5"/>
              </w:rPr>
              <w:t>Q3 spend above the committed floor</w:t>
            </w:r>
          </w:p>
        </w:tc>
      </w:tr>
      <w:tr>
        <w:tc>
          <w:tcPr>
            <w:tcW w:type="dxa" w:w="1587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5"/>
              </w:rPr>
              <w:t>FCDO Phase II</w:t>
            </w:r>
          </w:p>
        </w:tc>
        <w:tc>
          <w:tcPr>
            <w:tcW w:type="dxa" w:w="5216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5"/>
              </w:rPr>
              <w:t>Claim 1 (Jun–Oct) about USD 52,800 in late Nov; claim 2 (Nov–Mar) about USD 47,000 in May 2027; both within the £80,884.70 ceiling</w:t>
            </w:r>
          </w:p>
        </w:tc>
        <w:tc>
          <w:tcPr>
            <w:tcW w:type="dxa" w:w="2721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5"/>
              </w:rPr>
              <w:t>Sub-grant Sched. 2; ledger USD 43,847.67 to 30 Sep + Oct roster share</w:t>
            </w:r>
          </w:p>
        </w:tc>
      </w:tr>
      <w:tr>
        <w:tc>
          <w:tcPr>
            <w:tcW w:type="dxa" w:w="1587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5"/>
              </w:rPr>
              <w:t>OSF #4</w:t>
            </w:r>
          </w:p>
        </w:tc>
        <w:tc>
          <w:tcPr>
            <w:tcW w:type="dxa" w:w="5216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5"/>
              </w:rPr>
              <w:t>USD 300,000 on about 22 Jan 2027 (the 2026 tranche landed 22 Jan)</w:t>
            </w:r>
          </w:p>
        </w:tc>
        <w:tc>
          <w:tcPr>
            <w:tcW w:type="dxa" w:w="2721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5"/>
              </w:rPr>
              <w:t>Award letter p.1</w:t>
            </w:r>
          </w:p>
        </w:tc>
      </w:tr>
      <w:tr>
        <w:tc>
          <w:tcPr>
            <w:tcW w:type="dxa" w:w="1587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5"/>
              </w:rPr>
              <w:t>Swiss Myanmar</w:t>
            </w:r>
          </w:p>
        </w:tc>
        <w:tc>
          <w:tcPr>
            <w:tcW w:type="dxa" w:w="5216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5"/>
              </w:rPr>
              <w:t>USD 24,946.67 on 31 Jan 2027; USD 24,946.66 on 30 Jun 2027</w:t>
            </w:r>
          </w:p>
        </w:tc>
        <w:tc>
          <w:tcPr>
            <w:tcW w:type="dxa" w:w="2721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5"/>
              </w:rPr>
              <w:t>Partnership Agreement §3.3</w:t>
            </w:r>
          </w:p>
        </w:tc>
      </w:tr>
      <w:tr>
        <w:tc>
          <w:tcPr>
            <w:tcW w:type="dxa" w:w="1587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5"/>
              </w:rPr>
              <w:t>Rohingya Manager</w:t>
            </w:r>
          </w:p>
        </w:tc>
        <w:tc>
          <w:tcPr>
            <w:tcW w:type="dxa" w:w="5216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5"/>
              </w:rPr>
              <w:t>Template and Swiss Myanmar term end May 2027; no cost from June 2027</w:t>
            </w:r>
          </w:p>
        </w:tc>
        <w:tc>
          <w:tcPr>
            <w:tcW w:type="dxa" w:w="2721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5"/>
              </w:rPr>
              <w:t>§17; Xero template</w:t>
            </w:r>
          </w:p>
        </w:tc>
      </w:tr>
      <w:tr>
        <w:tc>
          <w:tcPr>
            <w:tcW w:type="dxa" w:w="1587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5"/>
              </w:rPr>
              <w:t>Audit</w:t>
            </w:r>
          </w:p>
        </w:tc>
        <w:tc>
          <w:tcPr>
            <w:tcW w:type="dxa" w:w="5216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5"/>
              </w:rPr>
              <w:t>2026 audit about USD 3,000, paid April 2027</w:t>
            </w:r>
          </w:p>
        </w:tc>
        <w:tc>
          <w:tcPr>
            <w:tcW w:type="dxa" w:w="2721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5"/>
              </w:rPr>
              <w:t>Deferred per ED, May 2026</w:t>
            </w:r>
          </w:p>
        </w:tc>
      </w:tr>
      <w:tr>
        <w:tc>
          <w:tcPr>
            <w:tcW w:type="dxa" w:w="1587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5"/>
              </w:rPr>
              <w:t>Excluded</w:t>
            </w:r>
          </w:p>
        </w:tc>
        <w:tc>
          <w:tcPr>
            <w:tcW w:type="dxa" w:w="5216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5"/>
              </w:rPr>
              <w:t>Any new grant, the Q4 Chair stipend (paid in arrears, Jan 2027), FX movements, interest</w:t>
            </w:r>
          </w:p>
        </w:tc>
        <w:tc>
          <w:tcPr>
            <w:tcW w:type="dxa" w:w="2721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5"/>
              </w:rPr>
              <w:t>Prudence</w:t>
            </w:r>
          </w:p>
        </w:tc>
      </w:tr>
      <w:tr>
        <w:tc>
          <w:tcPr>
            <w:tcW w:type="dxa" w:w="1587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5"/>
              </w:rPr>
              <w:t>FX</w:t>
            </w:r>
          </w:p>
        </w:tc>
        <w:tc>
          <w:tcPr>
            <w:tcW w:type="dxa" w:w="5216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5"/>
              </w:rPr>
              <w:t>GBP/USD 1.3258; EUR/USD 1.1255</w:t>
            </w:r>
          </w:p>
        </w:tc>
        <w:tc>
          <w:tcPr>
            <w:tcW w:type="dxa" w:w="2721"/>
          </w:tcPr>
          <w:p>
            <w:pPr>
              <w:jc w:val="left"/>
            </w:pPr>
            <w:r/>
            <w:r>
              <w:rPr>
                <w:rFonts w:ascii="Fagun" w:hAnsi="Fagun" w:eastAsia="Fagun" w:cs="Fagun"/>
                <w:b w:val="0"/>
                <w:i w:val="0"/>
                <w:color w:val="410F37"/>
                <w:sz w:val="15"/>
              </w:rPr>
              <w:t>Xero rates on late-Sep / early-Oct transactions</w:t>
            </w:r>
          </w:p>
        </w:tc>
      </w:tr>
    </w:tbl>
    <w:p>
      <w:pPr>
        <w:spacing w:after="80"/>
      </w:pPr>
    </w:p>
    <w:p>
      <w:pPr>
        <w:spacing w:before="160" w:after="40"/>
      </w:pPr>
      <w:r>
        <w:rPr>
          <w:rFonts w:ascii="Fagun Bold" w:hAnsi="Fagun Bold" w:eastAsia="Fagun Bold" w:cs="Fagun Bold"/>
          <w:b/>
          <w:i w:val="0"/>
          <w:color w:val="410F37"/>
          <w:sz w:val="24"/>
        </w:rPr>
        <w:t>Proposed year-end accrual (draft, for auditor agreement)</w:t>
      </w:r>
    </w:p>
    <w:p>
      <w:pPr>
        <w:spacing w:after="80"/>
      </w:pPr>
      <w:r>
        <w:rPr>
          <w:rFonts w:ascii="Fagun" w:hAnsi="Fagun" w:eastAsia="Fagun" w:cs="Fagun"/>
          <w:b w:val="0"/>
          <w:i w:val="0"/>
          <w:color w:val="410F37"/>
          <w:sz w:val="18"/>
        </w:rPr>
        <w:t>Assets increase with a debit; income increases with a credit. FCDO Phase II and Swiss Myanmar costs incurred in 2026 have earned the grant income, but it is invoiced in 2027, so we recognise an accrued-income asset and the matching restricted income:</w:t>
      </w:r>
    </w:p>
    <w:p>
      <w:pPr>
        <w:spacing w:after="80"/>
      </w:pPr>
      <w:r>
        <w:rPr>
          <w:rFonts w:ascii="Fagun" w:hAnsi="Fagun" w:eastAsia="Fagun" w:cs="Fagun"/>
          <w:b w:val="0"/>
          <w:i w:val="0"/>
          <w:color w:val="410F37"/>
          <w:sz w:val="17"/>
        </w:rPr>
        <w:t>Dr  Accrued income — grants (current asset)            USD 33,614.00</w:t>
        <w:br/>
        <w:t xml:space="preserve">      Cr  Grant income — FCDO Phase II (restricted)        USD 17,260.00</w:t>
        <w:br/>
        <w:t xml:space="preserve">      Cr  Grant income — Swiss Myanmar (restricted)        USD 16,354.00</w:t>
      </w:r>
    </w:p>
    <w:p>
      <w:pPr>
        <w:spacing w:after="80"/>
      </w:pPr>
      <w:r>
        <w:rPr>
          <w:rFonts w:ascii="Fagun" w:hAnsi="Fagun" w:eastAsia="Fagun" w:cs="Fagun"/>
          <w:b w:val="0"/>
          <w:i/>
          <w:color w:val="410F37"/>
          <w:sz w:val="17"/>
        </w:rPr>
        <w:t>Debits USD 33,614.00 = credits USD 33,614.00. The entry is balanced. This would be a draft manual journal at 31 December 2026 and is reversed when the invoices are raised.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Fagun" w:hAnsi="Fagun" w:eastAsia="Fagun" w:cs="Fagun"/>
        <w:b w:val="0"/>
        <w:i w:val="0"/>
        <w:color w:val="410F37"/>
        <w:sz w:val="15"/>
      </w:rPr>
      <w:t>hūmānus  ·  Stichting hūmānus international  ·  KvK 77641981  ·  Board finance pack Q3 2026  ·  Confidential — board use only  ·  [TBD: registered-charity footer boilerplate]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Fagun" w:hAnsi="Fagun" w:eastAsia="Fagun"/>
      <w:color w:val="410F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