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15uk54yl9q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CSS Islamic Studies Evaluation Rubric (For Bot Assessment — 100 Marks Paper)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4.882506527415"/>
        <w:gridCol w:w="1089.963446475196"/>
        <w:gridCol w:w="1412.5535248041776"/>
        <w:gridCol w:w="4022.6005221932114"/>
        <w:tblGridChange w:id="0">
          <w:tblGrid>
            <w:gridCol w:w="2834.882506527415"/>
            <w:gridCol w:w="1089.963446475196"/>
            <w:gridCol w:w="1412.5535248041776"/>
            <w:gridCol w:w="4022.60052219321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Understanding of the Question and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Tests comprehension of the question and its connection to Islamic teachings.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Conceptual and Theological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Evaluates understanding of Islamic concepts, beliefs, and their proper contextual application.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rtl w:val="0"/>
              </w:rPr>
              <w:t xml:space="preserve">Analytical and Comparative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Measures ability to analyze, reason, and connect Islamic principles to contemporary issues.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rtl w:val="0"/>
              </w:rPr>
              <w:t xml:space="preserve">Use of Quranic Verses, Hadith, and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Assesses textual evidence and scholarly support.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rtl w:val="0"/>
              </w:rPr>
              <w:t xml:space="preserve">Structure, Coherence, and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Evaluates logical flow, organization, and relevance of arguments.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rtl w:val="0"/>
              </w:rPr>
              <w:t xml:space="preserve">Language, Expression, and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Assesses clarity, tone, and linguistic precision in religious discourse.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z1k0sbt6ix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13up5694ad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eaexwg89t1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z3g91zcqv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kbiu8lmtces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dzrjt7tv1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the Question and Relevance (4 Marks)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comprehension of question requirements and focus on the Islamic context.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Correctly interprets the question — whether conceptual, comparative, or applied.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all aspects of the question (definition, explanation, relevance).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focus on Islamic principles rather than personal or secular reasoning.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Subheadings reflect the Quranic or Prophetic basis of the topic.</w:t>
        <w:br w:type="textWrapping"/>
      </w:r>
    </w:p>
    <w:tbl>
      <w:tblPr>
        <w:tblStyle w:val="Table2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750"/>
        <w:gridCol w:w="905"/>
        <w:tblGridChange w:id="0">
          <w:tblGrid>
            <w:gridCol w:w="1175"/>
            <w:gridCol w:w="57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Clear understanding; fully relevant; contextually accurate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Mostly relevant; minor digressions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Partial understanding; generic or unlinked to Islam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Off-topic or misinterpreted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74tye2x448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Conceptual and Theological Clarity (4 Marks)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understanding of Islamic concepts, principles, and theological accuracy.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and explains core ideas: </w:t>
      </w:r>
      <w:r w:rsidDel="00000000" w:rsidR="00000000" w:rsidRPr="00000000">
        <w:rPr>
          <w:i w:val="1"/>
          <w:rtl w:val="0"/>
        </w:rPr>
        <w:t xml:space="preserve">Din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Tawhid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Shariah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Ijma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Ijtihad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Akhlaq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Adl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explains the difference between </w:t>
      </w:r>
      <w:r w:rsidDel="00000000" w:rsidR="00000000" w:rsidRPr="00000000">
        <w:rPr>
          <w:i w:val="1"/>
          <w:rtl w:val="0"/>
        </w:rPr>
        <w:t xml:space="preserve">Din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Religion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understanding of Islamic systems (Social, Economic, Political, Judicial).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sectarian interpretations and adheres to mainstream Islamic understanding.</w:t>
        <w:br w:type="textWrapping"/>
      </w:r>
    </w:p>
    <w:tbl>
      <w:tblPr>
        <w:tblStyle w:val="Table3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450"/>
        <w:gridCol w:w="905"/>
        <w:tblGridChange w:id="0">
          <w:tblGrid>
            <w:gridCol w:w="1175"/>
            <w:gridCol w:w="54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Deep and accurate understanding of Islamic principles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Clear understanding with minor conceptual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Partial or superficial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Misinterpretations or conceptual confusion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d236odqbym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Analytical and Comparative Insight (3 Marks)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analytical reasoning, contextual application, and balanced comparison.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Analyzes the practical application of Islamic teachings in modern governance, human rights, or social systems.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Islamic principles with modern concepts (justice, equality, democracy).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Discusses solutions to contemporary challenges (extremism, gender inequality, governance).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balanced reasoning rooted in Quran and Sunnah.</w:t>
        <w:br w:type="textWrapping"/>
      </w:r>
    </w:p>
    <w:tbl>
      <w:tblPr>
        <w:tblStyle w:val="Table4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255"/>
        <w:gridCol w:w="905"/>
        <w:tblGridChange w:id="0">
          <w:tblGrid>
            <w:gridCol w:w="1175"/>
            <w:gridCol w:w="525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Deep analytical insight and balanced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lacks depth or contemporary linkages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Limited analysis; descriptive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Purely narrative or moralistic without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nwu4t0qfy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Quranic Verses, Hadith, and References (4 Marks)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textual authenticity and use of primary Islamic sources.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Integrates </w:t>
      </w:r>
      <w:r w:rsidDel="00000000" w:rsidR="00000000" w:rsidRPr="00000000">
        <w:rPr>
          <w:b w:val="1"/>
          <w:rtl w:val="0"/>
        </w:rPr>
        <w:t xml:space="preserve">relevant Quranic verses (with translation)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rtl w:val="0"/>
        </w:rPr>
        <w:t xml:space="preserve">Hadith references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sayings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Cites </w:t>
      </w:r>
      <w:r w:rsidDel="00000000" w:rsidR="00000000" w:rsidRPr="00000000">
        <w:rPr>
          <w:b w:val="1"/>
          <w:rtl w:val="0"/>
        </w:rPr>
        <w:t xml:space="preserve">classical scholars</w:t>
      </w:r>
      <w:r w:rsidDel="00000000" w:rsidR="00000000" w:rsidRPr="00000000">
        <w:rPr>
          <w:rtl w:val="0"/>
        </w:rPr>
        <w:t xml:space="preserve"> (e.g., Imam Ghazali, Ibn Khaldun, Al-Farabi, Maududi, Iqbal).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vague, paraphrased, or unauthenticated citations.</w:t>
        <w:br w:type="textWrapping"/>
      </w:r>
    </w:p>
    <w:tbl>
      <w:tblPr>
        <w:tblStyle w:val="Table5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495"/>
        <w:gridCol w:w="905"/>
        <w:tblGridChange w:id="0">
          <w:tblGrid>
            <w:gridCol w:w="1175"/>
            <w:gridCol w:w="549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Strong integration of authentic Quranic/Hadith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Adequate references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Few or generalized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 authentic sources or inaccurate citations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k73lvb2h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Coherence, and Organization (3 Marks)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how well the answer is structured and presented logically.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b w:val="1"/>
          <w:rtl w:val="0"/>
        </w:rPr>
        <w:t xml:space="preserve">Introduction–Body–Conclusion</w:t>
      </w:r>
      <w:r w:rsidDel="00000000" w:rsidR="00000000" w:rsidRPr="00000000">
        <w:rPr>
          <w:rtl w:val="0"/>
        </w:rPr>
        <w:t xml:space="preserve"> layout.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argument flow supported by Quranic reasoning.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 and subheadings derived from question keywords.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coverage of concepts and examples.</w:t>
        <w:br w:type="textWrapping"/>
      </w:r>
    </w:p>
    <w:tbl>
      <w:tblPr>
        <w:tblStyle w:val="Table6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60"/>
        <w:gridCol w:w="905"/>
        <w:tblGridChange w:id="0">
          <w:tblGrid>
            <w:gridCol w:w="1175"/>
            <w:gridCol w:w="41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Coherent, logical, and balanced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Clear but uneven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Some organization but weak transitions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repetitive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f2n7ahhugw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Expression, and Presentation (2 Marks)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clarity, tone, and quality of written expression.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Academic, respectful, and Islamic tone throughout.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 and grammatically sound language.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use of Arabic terms with translation.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dogmatic or emotionally charged tone.</w:t>
        <w:br w:type="textWrapping"/>
      </w:r>
    </w:p>
    <w:tbl>
      <w:tblPr>
        <w:tblStyle w:val="Table7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295"/>
        <w:gridCol w:w="905"/>
        <w:tblGridChange w:id="0">
          <w:tblGrid>
            <w:gridCol w:w="1175"/>
            <w:gridCol w:w="429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Polished, respectful, and fluent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Clear but minor linguistic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lacks fluency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Poor grammar or informal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qxk4o1cblr0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Total Marks Summary</w:t>
      </w:r>
    </w:p>
    <w:tbl>
      <w:tblPr>
        <w:tblStyle w:val="Table8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965"/>
        <w:gridCol w:w="1430"/>
        <w:tblGridChange w:id="0">
          <w:tblGrid>
            <w:gridCol w:w="3500"/>
            <w:gridCol w:w="9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&amp;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Conceptual &amp; Theological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Analytical &amp; Comparative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Quranic Verses &amp;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uv5rsh3sn11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Bot Integration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evaluation bot can detect: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Islamic terminology: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Tawhid, Shura, Ijma, Ijtihad, Ummah, Adl, Akhlaq, Fiqh.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Quranic markers:</w:t>
      </w:r>
      <w:r w:rsidDel="00000000" w:rsidR="00000000" w:rsidRPr="00000000">
        <w:rPr>
          <w:rtl w:val="0"/>
        </w:rPr>
        <w:t xml:space="preserve"> “(Qur’an 2:256)” or “as mentioned in Surah…”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Prophetic references:</w:t>
      </w:r>
      <w:r w:rsidDel="00000000" w:rsidR="00000000" w:rsidRPr="00000000">
        <w:rPr>
          <w:rtl w:val="0"/>
        </w:rPr>
        <w:t xml:space="preserve"> “The Prophet (PBUH) said…”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Comparative cues:</w:t>
      </w:r>
      <w:r w:rsidDel="00000000" w:rsidR="00000000" w:rsidRPr="00000000">
        <w:rPr>
          <w:rtl w:val="0"/>
        </w:rPr>
        <w:t xml:space="preserve"> “in contrast,” “similar to,” “modern context.”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intro-body-conclusion with subheadings derived from the question.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 quality:</w:t>
      </w:r>
      <w:r w:rsidDel="00000000" w:rsidR="00000000" w:rsidRPr="00000000">
        <w:rPr>
          <w:rtl w:val="0"/>
        </w:rPr>
        <w:t xml:space="preserve"> grammar, tone, and respectfulness.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