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CSS Journalism &amp; Mass Communication – Evaluation Rubric (Total Marks: 100)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2.187989556136"/>
        <w:gridCol w:w="1119.289817232376"/>
        <w:gridCol w:w="1309.911227154047"/>
        <w:gridCol w:w="3978.610966057441"/>
        <w:tblGridChange w:id="0">
          <w:tblGrid>
            <w:gridCol w:w="2952.187989556136"/>
            <w:gridCol w:w="1119.289817232376"/>
            <w:gridCol w:w="1309.911227154047"/>
            <w:gridCol w:w="3978.6109660574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Understanding of Question &amp; Conceptual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Evaluates comprehension of communication theories, models, and issues.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Application &amp; Analytical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Tests ability to apply theories to global, Pakistani, and modern media contexts.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Theoretical Accuracy &amp;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Measures knowledge of media models, theorists, and frameworks.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Integration of Examples, Data &amp; Case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Assesses use of current affairs, media examples, or historical references.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Structure, Argumentation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Evaluates organization and logical flow of argumentation.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Language, Expression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Tests writing quality, tone, terminology, and relevance to mass comm discourse.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 per Question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hzh4azaob2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d8zqog7lq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3yqvi5zgv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432zatxxr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pn4r263jul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cy6kkv3j4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Question &amp; Conceptual Clarity (4 Marks)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Judge how well the candidate understands the media-related question and identifies its theoretical or practical dimension.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Recognizes key communication models/theories (Lasswell, Shannon-Weaver, Schramm, etc.).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</w:t>
      </w:r>
      <w:r w:rsidDel="00000000" w:rsidR="00000000" w:rsidRPr="00000000">
        <w:rPr>
          <w:b w:val="1"/>
          <w:rtl w:val="0"/>
        </w:rPr>
        <w:t xml:space="preserve">all aspects</w:t>
      </w:r>
      <w:r w:rsidDel="00000000" w:rsidR="00000000" w:rsidRPr="00000000">
        <w:rPr>
          <w:rtl w:val="0"/>
        </w:rPr>
        <w:t xml:space="preserve"> of the question.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communication, journalism, or theory accurately.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generic or unrelated content.</w:t>
        <w:br w:type="textWrapping"/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6950"/>
        <w:gridCol w:w="905"/>
        <w:tblGridChange w:id="0">
          <w:tblGrid>
            <w:gridCol w:w="1175"/>
            <w:gridCol w:w="695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understanding; directly relevant; conceptual 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Mostly clear; some minor conceptual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Partially relevant; surface-level definitions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Misinterpreted or vague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b06t2toxf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Application &amp; Analytical Insight (4 Marks)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the ability to apply mass communication theories to </w:t>
      </w:r>
      <w:r w:rsidDel="00000000" w:rsidR="00000000" w:rsidRPr="00000000">
        <w:rPr>
          <w:b w:val="1"/>
          <w:rtl w:val="0"/>
        </w:rPr>
        <w:t xml:space="preserve">real-world media</w:t>
      </w:r>
      <w:r w:rsidDel="00000000" w:rsidR="00000000" w:rsidRPr="00000000">
        <w:rPr>
          <w:rtl w:val="0"/>
        </w:rPr>
        <w:t xml:space="preserve">, especially in </w:t>
      </w:r>
      <w:r w:rsidDel="00000000" w:rsidR="00000000" w:rsidRPr="00000000">
        <w:rPr>
          <w:b w:val="1"/>
          <w:rtl w:val="0"/>
        </w:rPr>
        <w:t xml:space="preserve">Pakistan’s media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Relates theory to global or Pakistani examples (e.g., PEMRA, digital media, political PR).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understanding of </w:t>
      </w:r>
      <w:r w:rsidDel="00000000" w:rsidR="00000000" w:rsidRPr="00000000">
        <w:rPr>
          <w:b w:val="1"/>
          <w:rtl w:val="0"/>
        </w:rPr>
        <w:t xml:space="preserve">media effects, development communication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public opinion shaping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cause-effect reasoning or critical evaluation of media’s social role.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academic theory with practical realities.</w:t>
        <w:br w:type="textWrapping"/>
      </w:r>
    </w:p>
    <w:tbl>
      <w:tblPr>
        <w:tblStyle w:val="Table3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585"/>
        <w:gridCol w:w="905"/>
        <w:tblGridChange w:id="0">
          <w:tblGrid>
            <w:gridCol w:w="1175"/>
            <w:gridCol w:w="558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Deep analytical insight, effective contextual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lacks depth or originality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Some analysis; mostly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 analysis or real-world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fllbpacqt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Theoretical Accuracy &amp; Depth (4 Marks)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the accuracy and depth of knowledge about mass communication theories and scholars.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Correctly explains key theories: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Normative Theories (Authoritarian, Libertarian, Social Responsibility, Soviet)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Two-Step Flow, Uses &amp; Gratifications, Spiral of Silence, Media Hegemony, Cultivation Theory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McLuhan’s Media Determinism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evolution of media thought (press to social media).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communication models with relevance and critique.</w:t>
        <w:br w:type="textWrapping"/>
      </w:r>
    </w:p>
    <w:tbl>
      <w:tblPr>
        <w:tblStyle w:val="Table4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6110"/>
        <w:gridCol w:w="905"/>
        <w:tblGridChange w:id="0">
          <w:tblGrid>
            <w:gridCol w:w="1175"/>
            <w:gridCol w:w="611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Technically sound, well-referenced understanding of theories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Minor conceptual lapses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Generic knowledge, little theoretical backing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Incorrect or incomplete theories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dmxz93k0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Integration of Examples, Data &amp; Case Studies (2 Marks)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how effectively examples and empirical data support the argument.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Mentions </w:t>
      </w:r>
      <w:r w:rsidDel="00000000" w:rsidR="00000000" w:rsidRPr="00000000">
        <w:rPr>
          <w:b w:val="1"/>
          <w:rtl w:val="0"/>
        </w:rPr>
        <w:t xml:space="preserve">Pakistani media outlets</w:t>
      </w:r>
      <w:r w:rsidDel="00000000" w:rsidR="00000000" w:rsidRPr="00000000">
        <w:rPr>
          <w:rtl w:val="0"/>
        </w:rPr>
        <w:t xml:space="preserve"> (Geo, ARY, Dawn, etc.) or international cases (CNN effect, Arab Spring).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Cites </w:t>
      </w:r>
      <w:r w:rsidDel="00000000" w:rsidR="00000000" w:rsidRPr="00000000">
        <w:rPr>
          <w:b w:val="1"/>
          <w:rtl w:val="0"/>
        </w:rPr>
        <w:t xml:space="preserve">media laws</w:t>
      </w:r>
      <w:r w:rsidDel="00000000" w:rsidR="00000000" w:rsidRPr="00000000">
        <w:rPr>
          <w:rtl w:val="0"/>
        </w:rPr>
        <w:t xml:space="preserve"> (PEMRA, PPO, RPPPO).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</w:t>
      </w:r>
      <w:r w:rsidDel="00000000" w:rsidR="00000000" w:rsidRPr="00000000">
        <w:rPr>
          <w:b w:val="1"/>
          <w:rtl w:val="0"/>
        </w:rPr>
        <w:t xml:space="preserve">research data or contemporary media trends</w:t>
      </w:r>
      <w:r w:rsidDel="00000000" w:rsidR="00000000" w:rsidRPr="00000000">
        <w:rPr>
          <w:rtl w:val="0"/>
        </w:rPr>
        <w:t xml:space="preserve"> (social media influence, digital journalism).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historical or global examples</w:t>
      </w:r>
      <w:r w:rsidDel="00000000" w:rsidR="00000000" w:rsidRPr="00000000">
        <w:rPr>
          <w:rtl w:val="0"/>
        </w:rPr>
        <w:t xml:space="preserve"> to strengthen analysis.</w:t>
        <w:br w:type="textWrapping"/>
      </w:r>
    </w:p>
    <w:tbl>
      <w:tblPr>
        <w:tblStyle w:val="Table5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605"/>
        <w:gridCol w:w="905"/>
        <w:tblGridChange w:id="0">
          <w:tblGrid>
            <w:gridCol w:w="1175"/>
            <w:gridCol w:w="36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Strong, relevant, updated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Limited but appropriate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Weak or outdated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 examples or irrelevant 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w63yhclv3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Argumentation &amp; Coherence (3 Marks)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organization, coherence, and progression of arguments.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introduction → argument development → conclusion.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sequence with smooth transitions between ideas.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paragraph unity and flow.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random or disjointed points.</w:t>
        <w:br w:type="textWrapping"/>
      </w:r>
    </w:p>
    <w:tbl>
      <w:tblPr>
        <w:tblStyle w:val="Table6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880"/>
        <w:gridCol w:w="905"/>
        <w:tblGridChange w:id="0">
          <w:tblGrid>
            <w:gridCol w:w="1175"/>
            <w:gridCol w:w="488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Professionally structured and coherent argument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Logical with minor flow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Acceptable but lacks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Disorganized, lacks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1unbmspgh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 &amp; Relevance (3 Marks)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writing quality, terminology, tone, and precision.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media-specific vocabulary (agenda setting, framing, gatekeeping, feedback loop).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</w:t>
      </w:r>
      <w:r w:rsidDel="00000000" w:rsidR="00000000" w:rsidRPr="00000000">
        <w:rPr>
          <w:b w:val="1"/>
          <w:rtl w:val="0"/>
        </w:rPr>
        <w:t xml:space="preserve">academic tone</w:t>
      </w:r>
      <w:r w:rsidDel="00000000" w:rsidR="00000000" w:rsidRPr="00000000">
        <w:rPr>
          <w:rtl w:val="0"/>
        </w:rPr>
        <w:t xml:space="preserve">; avoids emotional or casual phrasing.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Grammar, spelling, and syntax meet CSS writing standards.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are concise, relevant, and avoid redundancy.</w:t>
        <w:br w:type="textWrapping"/>
      </w:r>
    </w:p>
    <w:tbl>
      <w:tblPr>
        <w:tblStyle w:val="Table7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025"/>
        <w:gridCol w:w="905"/>
        <w:tblGridChange w:id="0">
          <w:tblGrid>
            <w:gridCol w:w="1175"/>
            <w:gridCol w:w="402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Fluent, precise, and relevant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Clear but lacks sophistication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imprecise or wordy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Poorly written or irrelevant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atketlglkz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6tgulsbw0gn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Summary Table</w:t>
      </w:r>
    </w:p>
    <w:tbl>
      <w:tblPr>
        <w:tblStyle w:val="Table8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965"/>
        <w:gridCol w:w="2585"/>
        <w:tblGridChange w:id="0">
          <w:tblGrid>
            <w:gridCol w:w="2615"/>
            <w:gridCol w:w="96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Application &amp;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Theoretical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Examples &amp;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 per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at8w3os29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AI Bot Grading Integration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criteria: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Keywords: </w:t>
      </w:r>
      <w:r w:rsidDel="00000000" w:rsidR="00000000" w:rsidRPr="00000000">
        <w:rPr>
          <w:i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framing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social 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McLuhan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Lasswell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Entities: </w:t>
      </w:r>
      <w:r w:rsidDel="00000000" w:rsidR="00000000" w:rsidRPr="00000000">
        <w:rPr>
          <w:i w:val="1"/>
          <w:rtl w:val="0"/>
        </w:rPr>
        <w:t xml:space="preserve">PEMRA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UNESCO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CNN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BBC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Pakistani media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 check: 3-section flow (intro → argument → conclusion).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Neutral, analytical, concise.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