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q7ukea4t9h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CSS Environmental Science Evaluation Rubric (For Bot Assessment — 100 Marks Paper)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6.177545691906"/>
        <w:gridCol w:w="1104.626631853786"/>
        <w:gridCol w:w="1456.543080939948"/>
        <w:gridCol w:w="3802.652741514361"/>
        <w:tblGridChange w:id="0">
          <w:tblGrid>
            <w:gridCol w:w="2996.177545691906"/>
            <w:gridCol w:w="1104.626631853786"/>
            <w:gridCol w:w="1456.543080939948"/>
            <w:gridCol w:w="3802.65274151436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Marks (out of 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b w:val="1"/>
                <w:rtl w:val="0"/>
              </w:rPr>
              <w:t xml:space="preserve">Understanding of the Question and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Tests comprehension of the environmental concept or issue in question.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rtl w:val="0"/>
              </w:rPr>
              <w:t xml:space="preserve">Scientific and Conceptual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Assesses understanding of environmental systems, mechanisms, and processes.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rtl w:val="0"/>
              </w:rPr>
              <w:t xml:space="preserve">Analytical Depth and Environmental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Evaluates ability to analyze causes, impacts, and solutions critically.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b w:val="1"/>
                <w:rtl w:val="0"/>
              </w:rPr>
              <w:t xml:space="preserve">Use of Data, Examples, and 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Measures use of real-world examples, scientific facts, and policy references.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5. </w:t>
            </w:r>
            <w:r w:rsidDel="00000000" w:rsidR="00000000" w:rsidRPr="00000000">
              <w:rPr>
                <w:b w:val="1"/>
                <w:rtl w:val="0"/>
              </w:rPr>
              <w:t xml:space="preserve">Structure, Coherence, and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Evaluates logical flow, structured argument, and clarity of presentation.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6. </w:t>
            </w:r>
            <w:r w:rsidDel="00000000" w:rsidR="00000000" w:rsidRPr="00000000">
              <w:rPr>
                <w:b w:val="1"/>
                <w:rtl w:val="0"/>
              </w:rPr>
              <w:t xml:space="preserve">Language, Expression, and Scientific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Assesses accuracy, technical vocabulary, and clarity of writing.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 = 100% = 20 Marks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yrg3eh0076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avwuljzmxg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ozfln35nq8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4whfoukyok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vmif3o6ep0q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Detailed Rubric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t6zyzvcftb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Understanding of the Question and Relevance (4 Marks)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comprehension of question demands and relevance to syllabus themes.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identifies whether the question is about </w:t>
      </w:r>
      <w:r w:rsidDel="00000000" w:rsidR="00000000" w:rsidRPr="00000000">
        <w:rPr>
          <w:i w:val="1"/>
          <w:rtl w:val="0"/>
        </w:rPr>
        <w:t xml:space="preserve">scientific, developmental, or policy</w:t>
      </w:r>
      <w:r w:rsidDel="00000000" w:rsidR="00000000" w:rsidRPr="00000000">
        <w:rPr>
          <w:rtl w:val="0"/>
        </w:rPr>
        <w:t xml:space="preserve"> aspect.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Addresses </w:t>
      </w:r>
      <w:r w:rsidDel="00000000" w:rsidR="00000000" w:rsidRPr="00000000">
        <w:rPr>
          <w:b w:val="1"/>
          <w:rtl w:val="0"/>
        </w:rPr>
        <w:t xml:space="preserve">all parts</w:t>
      </w:r>
      <w:r w:rsidDel="00000000" w:rsidR="00000000" w:rsidRPr="00000000">
        <w:rPr>
          <w:rtl w:val="0"/>
        </w:rPr>
        <w:t xml:space="preserve"> of the question (causes, effects, strategies, etc.).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generic environmental advocacy.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Subheadings logically relate to question focus.</w:t>
        <w:br w:type="textWrapping"/>
      </w:r>
    </w:p>
    <w:tbl>
      <w:tblPr>
        <w:tblStyle w:val="Table2"/>
        <w:tblW w:w="7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315"/>
        <w:gridCol w:w="905"/>
        <w:tblGridChange w:id="0">
          <w:tblGrid>
            <w:gridCol w:w="1175"/>
            <w:gridCol w:w="531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Fully relevant, contextually accurate, covers all parts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Relevant but misses minor subcomponent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Partial relevance, generalized discussion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Off-topic or confused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b1rrng4b6xy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Scientific and Conceptual Clarity (5 Marks)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grasp of environmental processes, scientific mechanisms, and key concepts.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Accurately explains scientific concepts (e.g., greenhouse effect, ozone depletion, EIA, REDD+).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interdisciplinary understanding (biology, chemistry, physics, policy).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Relates theory to global environmental context (UNFCCC, SDGs, MDGs).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proper terminology and units where required.</w:t>
        <w:br w:type="textWrapping"/>
      </w:r>
    </w:p>
    <w:tbl>
      <w:tblPr>
        <w:tblStyle w:val="Table3"/>
        <w:tblW w:w="7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240"/>
        <w:gridCol w:w="905"/>
        <w:tblGridChange w:id="0">
          <w:tblGrid>
            <w:gridCol w:w="1175"/>
            <w:gridCol w:w="524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Strong scientific command and conceptual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Solid grasp, few conceptual inaccuracies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Partial or surface-level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Misconceptions or vague generalizations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exp0dlzrman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Analytical Depth and Environmental Reasoning (4 Marks)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analytical thinking, causation, and interpretation of environmental dynamics.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Analyzes environmental problems systematically (cause → process → impact → mitigation).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Evaluates interlinkages (e.g., population ↔ urbanization ↔ biodiversity loss).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Discusses both global and local dimensions.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evidence-based solutions or policies.</w:t>
        <w:br w:type="textWrapping"/>
      </w:r>
    </w:p>
    <w:tbl>
      <w:tblPr>
        <w:tblStyle w:val="Table4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460"/>
        <w:gridCol w:w="905"/>
        <w:tblGridChange w:id="0">
          <w:tblGrid>
            <w:gridCol w:w="1175"/>
            <w:gridCol w:w="446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Deep, causal, and solution-oriented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Analytical but not holistic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Descriptive or partially analytical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Narrative without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0–1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xhc8vj5d4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tahpcxl6daz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Use of Data, Examples, and References (2 Marks)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integration of empirical evidence and real-world examples.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Cites global summits, reports, and conventions (Rio 1992, UNFCCC, Kyoto, Paris).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scientific facts, figures, or environmental case studies (Pakistan-specific preferred).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 relevant policies (NCS 1992, EPA 1997, NCCP 2012).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unsubstantiated claims.</w:t>
        <w:br w:type="textWrapping"/>
      </w:r>
    </w:p>
    <w:tbl>
      <w:tblPr>
        <w:tblStyle w:val="Table5"/>
        <w:tblW w:w="6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190"/>
        <w:gridCol w:w="905"/>
        <w:tblGridChange w:id="0">
          <w:tblGrid>
            <w:gridCol w:w="1175"/>
            <w:gridCol w:w="419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Rich factual support and credible 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Adequate examples and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Few or loosely connected examples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No evidence or factual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elj5rqd0qrw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Structure, Coherence, and Organization (3 Marks)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clarity and logical structure of the answer.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b w:val="1"/>
          <w:rtl w:val="0"/>
        </w:rPr>
        <w:t xml:space="preserve">Introduction–Body–Conclusion</w:t>
      </w:r>
      <w:r w:rsidDel="00000000" w:rsidR="00000000" w:rsidRPr="00000000">
        <w:rPr>
          <w:rtl w:val="0"/>
        </w:rPr>
        <w:t xml:space="preserve"> pattern.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Organized through logical flow (causes → impacts → measures).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Headings/subheadings derived from the question.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transitions and balanced content.</w:t>
        <w:br w:type="textWrapping"/>
      </w:r>
    </w:p>
    <w:tbl>
      <w:tblPr>
        <w:tblStyle w:val="Table6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890"/>
        <w:gridCol w:w="905"/>
        <w:tblGridChange w:id="0">
          <w:tblGrid>
            <w:gridCol w:w="1175"/>
            <w:gridCol w:w="389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Cohesive and logically 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Mostly structured but uneven sections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Weak transitions and abrupt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Disorganized or unstructured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qggcbjc9uni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Language, Expression, and Scientific Tone (2 Marks)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Evaluate clarity, precision, and formal academic tone.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Indicators: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scientific terms accurately (mitigation, adaptation, biogeochemical cycles).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Grammatically correct and concise.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emotional or activist language.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active, factual expression.</w:t>
        <w:br w:type="textWrapping"/>
      </w:r>
    </w:p>
    <w:tbl>
      <w:tblPr>
        <w:tblStyle w:val="Table7"/>
        <w:tblW w:w="6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4085"/>
        <w:gridCol w:w="905"/>
        <w:tblGridChange w:id="0">
          <w:tblGrid>
            <w:gridCol w:w="1175"/>
            <w:gridCol w:w="408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Formal, technical, and fluent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Clear but minor phrasing 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Understandable but inconsistent 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Poor grammar or imprecise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tailqdjt5e2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6kx70k3a6wl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gxzqpulznv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osldj8ijrrs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Total Marks Summary</w:t>
      </w:r>
    </w:p>
    <w:tbl>
      <w:tblPr>
        <w:tblStyle w:val="Table8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965"/>
        <w:gridCol w:w="1430"/>
        <w:tblGridChange w:id="0">
          <w:tblGrid>
            <w:gridCol w:w="3275"/>
            <w:gridCol w:w="96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Understanding &amp; Relevance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Scientific &amp; Conceptual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Analytical Depth &amp;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Use of Data &amp; References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Structure &amp;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Language &amp; Expression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7y0s2jdriot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For Bot Scoring Automation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CSS evaluation bot can: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</w:t>
      </w:r>
      <w:r w:rsidDel="00000000" w:rsidR="00000000" w:rsidRPr="00000000">
        <w:rPr>
          <w:b w:val="1"/>
          <w:rtl w:val="0"/>
        </w:rPr>
        <w:t xml:space="preserve">scientific keywords</w:t>
      </w:r>
      <w:r w:rsidDel="00000000" w:rsidR="00000000" w:rsidRPr="00000000">
        <w:rPr>
          <w:rtl w:val="0"/>
        </w:rPr>
        <w:t xml:space="preserve"> (e.g., “sustainability,” “biodiversity,” “EIA,” “climate change,” “UNFCCC”).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</w:t>
      </w:r>
      <w:r w:rsidDel="00000000" w:rsidR="00000000" w:rsidRPr="00000000">
        <w:rPr>
          <w:b w:val="1"/>
          <w:rtl w:val="0"/>
        </w:rPr>
        <w:t xml:space="preserve">causal connectors</w:t>
      </w:r>
      <w:r w:rsidDel="00000000" w:rsidR="00000000" w:rsidRPr="00000000">
        <w:rPr>
          <w:rtl w:val="0"/>
        </w:rPr>
        <w:t xml:space="preserve"> (“due to,” “as a result,” “leads to,” “therefore”).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</w:t>
      </w:r>
      <w:r w:rsidDel="00000000" w:rsidR="00000000" w:rsidRPr="00000000">
        <w:rPr>
          <w:b w:val="1"/>
          <w:rtl w:val="0"/>
        </w:rPr>
        <w:t xml:space="preserve">policy references</w:t>
      </w:r>
      <w:r w:rsidDel="00000000" w:rsidR="00000000" w:rsidRPr="00000000">
        <w:rPr>
          <w:rtl w:val="0"/>
        </w:rPr>
        <w:t xml:space="preserve"> (e.g., “National Climate Change Policy 2012”).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Recognize </w:t>
      </w:r>
      <w:r w:rsidDel="00000000" w:rsidR="00000000" w:rsidRPr="00000000">
        <w:rPr>
          <w:b w:val="1"/>
          <w:rtl w:val="0"/>
        </w:rPr>
        <w:t xml:space="preserve">data cues</w:t>
      </w:r>
      <w:r w:rsidDel="00000000" w:rsidR="00000000" w:rsidRPr="00000000">
        <w:rPr>
          <w:rtl w:val="0"/>
        </w:rPr>
        <w:t xml:space="preserve"> (numbers, years, %).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grammar and structure through sentence coherence checks.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