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vvi624azvl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European History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4.8302872062663"/>
        <w:gridCol w:w="1075.300261096606"/>
        <w:gridCol w:w="1339.2375979112273"/>
        <w:gridCol w:w="3890.631853785901"/>
        <w:tblGridChange w:id="0">
          <w:tblGrid>
            <w:gridCol w:w="3054.8302872062663"/>
            <w:gridCol w:w="1075.300261096606"/>
            <w:gridCol w:w="1339.2375979112273"/>
            <w:gridCol w:w="3890.63185378590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the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Evaluates comprehension of the question, time period, and analytical scope.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Historical Knowledge, Chronology, and Conceptual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Measures factual accuracy, sequencing, and understanding of historical concepts and ideologies.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Analytical Depth and Historical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Assesses causation, comparisons, and evaluative insight into European transformations.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Evidence, Dates, and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Examines factual precision, inclusion of historians, treaties, and events.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Coherence, and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Tests the logical flow, balance, and clarity of argument.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Evaluates articulation, tone, grammar, and readability.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hga39qi0y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Detailed Breakdown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fjg48hxfm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the Question and Relevance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comprehension of the question, historical scope, and analytical relevance.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identifies the </w:t>
      </w:r>
      <w:r w:rsidDel="00000000" w:rsidR="00000000" w:rsidRPr="00000000">
        <w:rPr>
          <w:b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analytical focus</w:t>
      </w:r>
      <w:r w:rsidDel="00000000" w:rsidR="00000000" w:rsidRPr="00000000">
        <w:rPr>
          <w:rtl w:val="0"/>
        </w:rPr>
        <w:t xml:space="preserve"> (causes, consequences, personalities).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all components of the question (e.g., nationalism, unification, balance of power).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unnecessary narration or tangents.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and examples relate directly to the question demand.</w:t>
        <w:br w:type="textWrapping"/>
      </w:r>
    </w:p>
    <w:tbl>
      <w:tblPr>
        <w:tblStyle w:val="Table2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95"/>
        <w:gridCol w:w="905"/>
        <w:tblGridChange w:id="0">
          <w:tblGrid>
            <w:gridCol w:w="1175"/>
            <w:gridCol w:w="48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Fully relevant, directly aligned with the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Mostly relevant with slight digressions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understanding, general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Misinterprets question or off-topic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j8ykeef3j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Historical Knowledge, Chronology, and Conceptual Clarity (5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factual command, sequence, and understanding of major European historical developments.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Accurate chronology (Revolution → Napoleonic Era → Unifications → World Wars → Cold War → EU).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understanding of ideologies (liberalism, socialism, nationalism, romanticism, colonialism).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social, political, and economic dimensions.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Distinguishes between causes, processes, and outcomes.</w:t>
        <w:br w:type="textWrapping"/>
      </w:r>
    </w:p>
    <w:tbl>
      <w:tblPr>
        <w:tblStyle w:val="Table3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705"/>
        <w:gridCol w:w="905"/>
        <w:tblGridChange w:id="0">
          <w:tblGrid>
            <w:gridCol w:w="1175"/>
            <w:gridCol w:w="57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Comprehensive, factually correct, and conceptually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Sound knowledge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Some factual or chronological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Scattered or inaccurate historical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74buf9qtn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Depth and Historical Interpretation (4 Marks)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ability to analyze, interpret, and explain historical significance.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causes and effects of revolutions, wars, and movements.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perspectives of key actors and ideologies (e.g., Napoleon vs. Metternich, Bismarck vs. Cavour).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turning points (e.g., 1815 Congress of Vienna, 1919 Versailles, 1991 USSR disintegration).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 connections between eras (e.g., nationalism of 19th century and post-WWI Europe).</w:t>
        <w:br w:type="textWrapping"/>
      </w:r>
    </w:p>
    <w:tbl>
      <w:tblPr>
        <w:tblStyle w:val="Table4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75"/>
        <w:gridCol w:w="905"/>
        <w:tblGridChange w:id="0">
          <w:tblGrid>
            <w:gridCol w:w="1175"/>
            <w:gridCol w:w="41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Analytical, comparative, and interpretive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Some analysis but descriptive portions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 interpretation, mostly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Descriptive, no causation or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m4gjx451e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Evidence, Dates, and References (2 Marks)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factual precision and scholarly support.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accurate dates, treaties, and historical figures (e.g., 1815 Vienna Congress, 1848 Revolutions, 1914 Sarajevo, 1955 Warsaw Pact).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Refers to historians or schools of thought where appropriate.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relevant treaties, ideologies, and state policies.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factual errors or vague generalizations.</w:t>
        <w:br w:type="textWrapping"/>
      </w:r>
    </w:p>
    <w:tbl>
      <w:tblPr>
        <w:tblStyle w:val="Table5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600"/>
        <w:gridCol w:w="905"/>
        <w:tblGridChange w:id="0">
          <w:tblGrid>
            <w:gridCol w:w="1175"/>
            <w:gridCol w:w="56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Rich, well-integrated factual and documentary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Adequate examples; few factual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Limited or loosely related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factual basis 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lcvvi1fh7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Coherence, and Organization (3 Marks)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how well the answer flows logically and systematically.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i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structure.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Chronological or thematic organization as per question.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between sections and events.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discussion — not overly focused on one sub-topic.</w:t>
        <w:br w:type="textWrapping"/>
      </w:r>
    </w:p>
    <w:tbl>
      <w:tblPr>
        <w:tblStyle w:val="Table6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05"/>
        <w:gridCol w:w="905"/>
        <w:tblGridChange w:id="0">
          <w:tblGrid>
            <w:gridCol w:w="1175"/>
            <w:gridCol w:w="39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Logical, coherent, and balanced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Structured but slightly uneven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Some structure but weak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scattered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j1ykjaj7q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Presentation (2 Marks)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academic tone, precision, and fluency of expression.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and formal style.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use of historical terminology (e.g., absolutism, imperialism, nationalism).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Grammatically sound and well-articulated.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verbosity and colloquialism.</w:t>
        <w:br w:type="textWrapping"/>
      </w:r>
    </w:p>
    <w:tbl>
      <w:tblPr>
        <w:tblStyle w:val="Table7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65"/>
        <w:gridCol w:w="905"/>
        <w:tblGridChange w:id="0">
          <w:tblGrid>
            <w:gridCol w:w="1175"/>
            <w:gridCol w:w="396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Fluent, academic, and polished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Minor grammatical or structural flaws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stylistically plain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disjointed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2klt9c2iil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965"/>
        <w:gridCol w:w="1430"/>
        <w:tblGridChange w:id="0">
          <w:tblGrid>
            <w:gridCol w:w="3800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Historical Knowledge &amp; Chronology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Analytical Depth &amp;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Use of Evidence &amp;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jtqta8ck8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 Evaluation Guidelines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bot should detect: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Chronological Cues: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“1789,” “1815,” “1914,” “1945,” “1991” → checks historical range.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Keywords: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“as a result,” “led to,” “in contrast,” “because of” → measures reasoning.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 Nouns &amp; Concepts:</w:t>
      </w:r>
      <w:r w:rsidDel="00000000" w:rsidR="00000000" w:rsidRPr="00000000">
        <w:rPr>
          <w:rtl w:val="0"/>
        </w:rPr>
        <w:t xml:space="preserve"> “Napoleon,” “Bismarck,” “Metternich,” “Treaty of Versailles,” “Cold War.”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Ideological Keywords:</w:t>
      </w:r>
      <w:r w:rsidDel="00000000" w:rsidR="00000000" w:rsidRPr="00000000">
        <w:rPr>
          <w:rtl w:val="0"/>
        </w:rPr>
        <w:t xml:space="preserve"> “liberalism,” “nationalism,” “romanticism,” “socialism.”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 Recognition:</w:t>
      </w:r>
      <w:r w:rsidDel="00000000" w:rsidR="00000000" w:rsidRPr="00000000">
        <w:rPr>
          <w:rtl w:val="0"/>
        </w:rPr>
        <w:t xml:space="preserve"> Intro-body-conclusion + subheadings derived from question.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Metrics:</w:t>
      </w:r>
      <w:r w:rsidDel="00000000" w:rsidR="00000000" w:rsidRPr="00000000">
        <w:rPr>
          <w:rtl w:val="0"/>
        </w:rPr>
        <w:t xml:space="preserve"> Grammar, readability, and academic tone.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rtl w:val="0"/>
        </w:rPr>
        <w:t xml:space="preserve">Word file</w:t>
      </w:r>
      <w:r w:rsidDel="00000000" w:rsidR="00000000" w:rsidRPr="00000000">
        <w:rPr>
          <w:rtl w:val="0"/>
        </w:rPr>
        <w:t xml:space="preserve"> version of this rubric (formatted exactly like the others: IR, US History, and Gender Studies)?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