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9E5" w:rsidRDefault="0080773E" w:rsidP="00F6048A">
      <w:pPr>
        <w:pStyle w:val="Ttulo3"/>
        <w:spacing w:before="0" w:beforeAutospacing="0" w:after="0" w:afterAutospacing="0" w:line="14" w:lineRule="atLeast"/>
        <w:divId w:val="877670605"/>
        <w:rPr>
          <w:rFonts w:ascii="Helvetica" w:eastAsia="Times New Roman" w:hAnsi="Helvetica" w:cs="Helvetica"/>
        </w:rPr>
      </w:pPr>
      <w:bookmarkStart w:id="0" w:name="_GoBack"/>
      <w:bookmarkEnd w:id="0"/>
      <w:r>
        <w:rPr>
          <w:rFonts w:ascii="Helvetica" w:eastAsia="Times New Roman" w:hAnsi="Helvetica" w:cs="Helvetica"/>
        </w:rPr>
        <w:t>Consulta - Operação Interna</w:t>
      </w:r>
    </w:p>
    <w:p w:rsidR="007309E5" w:rsidRDefault="007309E5" w:rsidP="00F6048A">
      <w:pPr>
        <w:spacing w:line="14" w:lineRule="atLeast"/>
        <w:divId w:val="1100179268"/>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415"/>
        <w:gridCol w:w="5957"/>
        <w:gridCol w:w="1282"/>
      </w:tblGrid>
      <w:tr w:rsidR="007309E5">
        <w:trPr>
          <w:divId w:val="820344856"/>
          <w:tblHeader/>
        </w:trPr>
        <w:tc>
          <w:tcPr>
            <w:tcW w:w="0" w:type="auto"/>
            <w:gridSpan w:val="3"/>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Segmento</w:t>
            </w:r>
          </w:p>
        </w:tc>
      </w:tr>
      <w:tr w:rsidR="007309E5">
        <w:trPr>
          <w:divId w:val="820344856"/>
        </w:trPr>
        <w:tc>
          <w:tcPr>
            <w:tcW w:w="0" w:type="auto"/>
            <w:gridSpan w:val="3"/>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MATERIAIS DE CONSTRUÇÃO E CONGÊNERES </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rPr>
              <w:t>CEST</w:t>
            </w:r>
          </w:p>
        </w:tc>
      </w:tr>
      <w:tr w:rsidR="007309E5">
        <w:trPr>
          <w:divId w:val="82034485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7217.20.90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Outros fios de ferro ou aço, não ligados, galvanizados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rPr>
                <w:rFonts w:ascii="Helvetica" w:eastAsia="Times New Roman" w:hAnsi="Helvetica" w:cs="Helvetica"/>
                <w:sz w:val="17"/>
                <w:szCs w:val="17"/>
              </w:rPr>
            </w:pPr>
            <w:r>
              <w:rPr>
                <w:rFonts w:ascii="Helvetica" w:eastAsia="Times New Roman" w:hAnsi="Helvetica" w:cs="Helvetica"/>
                <w:sz w:val="17"/>
                <w:szCs w:val="17"/>
              </w:rPr>
              <w:t xml:space="preserve">10.045.01 </w:t>
            </w:r>
          </w:p>
        </w:tc>
      </w:tr>
    </w:tbl>
    <w:p w:rsidR="007309E5" w:rsidRDefault="007309E5" w:rsidP="00F6048A">
      <w:pPr>
        <w:spacing w:line="14" w:lineRule="atLeast"/>
        <w:divId w:val="542795553"/>
        <w:rPr>
          <w:rFonts w:ascii="Helvetica" w:eastAsia="Times New Roman" w:hAnsi="Helvetica" w:cs="Helvetica"/>
          <w:sz w:val="17"/>
          <w:szCs w:val="17"/>
        </w:rPr>
      </w:pPr>
    </w:p>
    <w:p w:rsidR="007309E5" w:rsidRDefault="0080773E" w:rsidP="00F6048A">
      <w:pPr>
        <w:pStyle w:val="Ttulo4"/>
        <w:spacing w:before="0" w:beforeAutospacing="0" w:after="0" w:afterAutospacing="0" w:line="14" w:lineRule="atLeast"/>
        <w:divId w:val="542795553"/>
        <w:rPr>
          <w:rFonts w:ascii="Helvetica" w:eastAsia="Times New Roman" w:hAnsi="Helvetica" w:cs="Helvetica"/>
        </w:rPr>
      </w:pPr>
      <w:r>
        <w:rPr>
          <w:rFonts w:ascii="Helvetica" w:eastAsia="Times New Roman" w:hAnsi="Helvetica" w:cs="Helvetica"/>
        </w:rPr>
        <w:t>Estado: Minas Gerais</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5289"/>
        <w:gridCol w:w="3365"/>
      </w:tblGrid>
      <w:tr w:rsidR="007309E5">
        <w:trPr>
          <w:divId w:val="1276865404"/>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ST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de Cálculo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Capítulo 10, Parte 2, Anexo XV do RICMS/MG</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Início Vigência Última Alteração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Fim Vigência </w:t>
            </w:r>
          </w:p>
        </w:tc>
      </w:tr>
      <w:tr w:rsidR="007309E5">
        <w:trPr>
          <w:divId w:val="1276865404"/>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01/01/2016</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Não foi divulgada pelo Estado</w:t>
            </w:r>
          </w:p>
        </w:tc>
      </w:tr>
    </w:tbl>
    <w:p w:rsidR="007309E5" w:rsidRDefault="007309E5" w:rsidP="00F6048A">
      <w:pPr>
        <w:spacing w:line="14" w:lineRule="atLeast"/>
        <w:divId w:val="2066680123"/>
        <w:rPr>
          <w:rFonts w:ascii="Helvetica" w:eastAsia="Times New Roman" w:hAnsi="Helvetica" w:cs="Helvetica"/>
          <w:sz w:val="17"/>
          <w:szCs w:val="17"/>
        </w:rPr>
      </w:pPr>
    </w:p>
    <w:p w:rsidR="007309E5" w:rsidRDefault="0080773E" w:rsidP="00F6048A">
      <w:pPr>
        <w:pStyle w:val="Ttulo4"/>
        <w:spacing w:before="0" w:beforeAutospacing="0" w:after="0" w:afterAutospacing="0" w:line="14" w:lineRule="atLeast"/>
        <w:divId w:val="2066680123"/>
        <w:rPr>
          <w:rFonts w:ascii="Helvetica" w:eastAsia="Times New Roman" w:hAnsi="Helvetica" w:cs="Helvetica"/>
        </w:rPr>
      </w:pPr>
      <w:r>
        <w:rPr>
          <w:rFonts w:ascii="Helvetica" w:eastAsia="Times New Roman" w:hAnsi="Helvetica" w:cs="Helvetica"/>
        </w:rPr>
        <w:t>Alíquotas e MVA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350"/>
        <w:gridCol w:w="3060"/>
        <w:gridCol w:w="3244"/>
      </w:tblGrid>
      <w:tr w:rsidR="007309E5">
        <w:trPr>
          <w:divId w:val="2100562606"/>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Original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4%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MVA Ajustada 12% </w:t>
            </w:r>
          </w:p>
        </w:tc>
      </w:tr>
      <w:tr w:rsidR="007309E5">
        <w:trPr>
          <w:divId w:val="2100562606"/>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40.00%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63.90%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50.24%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8654"/>
      </w:tblGrid>
      <w:tr w:rsidR="007309E5">
        <w:trPr>
          <w:divId w:val="762384771"/>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Alíquota Interna </w:t>
            </w:r>
          </w:p>
        </w:tc>
      </w:tr>
      <w:tr w:rsidR="007309E5">
        <w:trPr>
          <w:divId w:val="76238477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18.00% </w:t>
            </w:r>
          </w:p>
        </w:tc>
      </w:tr>
    </w:tbl>
    <w:p w:rsidR="007309E5" w:rsidRDefault="007309E5" w:rsidP="00F6048A">
      <w:pPr>
        <w:spacing w:line="14" w:lineRule="atLeast"/>
        <w:divId w:val="2066680123"/>
        <w:rPr>
          <w:rFonts w:ascii="Helvetica" w:eastAsia="Times New Roman" w:hAnsi="Helvetica" w:cs="Helvetica"/>
          <w:sz w:val="17"/>
          <w:szCs w:val="17"/>
        </w:rPr>
      </w:pPr>
    </w:p>
    <w:p w:rsidR="007309E5" w:rsidRDefault="0080773E" w:rsidP="00F6048A">
      <w:pPr>
        <w:spacing w:line="14" w:lineRule="atLeast"/>
        <w:divId w:val="1554728129"/>
        <w:rPr>
          <w:rFonts w:ascii="Helvetica" w:eastAsia="Times New Roman" w:hAnsi="Helvetica" w:cs="Helvetica"/>
          <w:sz w:val="17"/>
          <w:szCs w:val="17"/>
        </w:rPr>
      </w:pPr>
      <w:r>
        <w:rPr>
          <w:rStyle w:val="Forte"/>
          <w:rFonts w:ascii="Helvetica" w:eastAsia="Times New Roman" w:hAnsi="Helvetica" w:cs="Helvetica"/>
          <w:sz w:val="17"/>
          <w:szCs w:val="17"/>
        </w:rPr>
        <w:t>Observação:</w:t>
      </w:r>
      <w:r>
        <w:rPr>
          <w:rFonts w:ascii="Helvetica" w:eastAsia="Times New Roman" w:hAnsi="Helvetica" w:cs="Helvetica"/>
          <w:sz w:val="17"/>
          <w:szCs w:val="17"/>
        </w:rPr>
        <w:t xml:space="preserve"> Verifique se o produto pesquisado possui algum benefício fiscal, clicando no link abaixo: </w:t>
      </w:r>
      <w:r>
        <w:rPr>
          <w:rFonts w:ascii="Helvetica" w:eastAsia="Times New Roman" w:hAnsi="Helvetica" w:cs="Helvetica"/>
          <w:sz w:val="17"/>
          <w:szCs w:val="17"/>
        </w:rPr>
        <w:br/>
        <w:t xml:space="preserve">- Isenção (Base Legal) </w:t>
      </w:r>
      <w:r>
        <w:rPr>
          <w:rFonts w:ascii="Helvetica" w:eastAsia="Times New Roman" w:hAnsi="Helvetica" w:cs="Helvetica"/>
          <w:sz w:val="17"/>
          <w:szCs w:val="17"/>
        </w:rPr>
        <w:br/>
        <w:t xml:space="preserve">- Redução de Base de Cálculo (Base Legal) </w:t>
      </w:r>
      <w:r>
        <w:rPr>
          <w:rFonts w:ascii="Helvetica" w:eastAsia="Times New Roman" w:hAnsi="Helvetica" w:cs="Helvetica"/>
          <w:sz w:val="17"/>
          <w:szCs w:val="17"/>
        </w:rPr>
        <w:br/>
        <w:t xml:space="preserve">- Ferramenta para consulta de Benefícios Fiscais </w:t>
      </w:r>
    </w:p>
    <w:p w:rsidR="007309E5" w:rsidRDefault="007309E5" w:rsidP="00F6048A">
      <w:pPr>
        <w:spacing w:line="14" w:lineRule="atLeast"/>
        <w:divId w:val="332033473"/>
        <w:rPr>
          <w:rFonts w:ascii="Helvetica" w:eastAsia="Times New Roman" w:hAnsi="Helvetica" w:cs="Helvetica"/>
          <w:sz w:val="17"/>
          <w:szCs w:val="17"/>
        </w:rPr>
      </w:pPr>
    </w:p>
    <w:p w:rsidR="007309E5" w:rsidRDefault="0080773E" w:rsidP="00F6048A">
      <w:pPr>
        <w:pStyle w:val="Ttulo4"/>
        <w:spacing w:before="0" w:beforeAutospacing="0" w:after="0" w:afterAutospacing="0" w:line="14" w:lineRule="atLeast"/>
        <w:divId w:val="332033473"/>
        <w:rPr>
          <w:rFonts w:ascii="Helvetica" w:eastAsia="Times New Roman" w:hAnsi="Helvetica" w:cs="Helvetica"/>
        </w:rPr>
      </w:pPr>
      <w:r>
        <w:rPr>
          <w:rFonts w:ascii="Helvetica" w:eastAsia="Times New Roman" w:hAnsi="Helvetica" w:cs="Helvetica"/>
        </w:rPr>
        <w:t>IPI</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1001"/>
        <w:gridCol w:w="963"/>
        <w:gridCol w:w="830"/>
        <w:gridCol w:w="3846"/>
        <w:gridCol w:w="1034"/>
        <w:gridCol w:w="980"/>
      </w:tblGrid>
      <w:tr w:rsidR="007309E5">
        <w:trPr>
          <w:divId w:val="632977779"/>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NCM</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Alíquota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Base Legal</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Início Vigência</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Fim Vigência</w:t>
            </w:r>
          </w:p>
        </w:tc>
      </w:tr>
      <w:tr w:rsidR="007309E5">
        <w:trPr>
          <w:divId w:val="632977779"/>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7217.20.90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Tabela de Incidência do Imposto sobre Produtos Industrializados - TIPI - Decreto nº 8.950 de 30/12/2016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Descrição Completa</w:t>
            </w:r>
          </w:p>
        </w:tc>
      </w:tr>
      <w:tr w:rsidR="007309E5">
        <w:trPr>
          <w:divId w:val="632977779"/>
        </w:trPr>
        <w:tc>
          <w:tcPr>
            <w:tcW w:w="0" w:type="auto"/>
            <w:gridSpan w:val="6"/>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rPr>
                <w:rFonts w:ascii="Helvetica" w:eastAsia="Times New Roman" w:hAnsi="Helvetica" w:cs="Helvetica"/>
                <w:sz w:val="17"/>
                <w:szCs w:val="17"/>
              </w:rPr>
            </w:pPr>
            <w:r>
              <w:rPr>
                <w:rFonts w:ascii="Helvetica" w:eastAsia="Times New Roman" w:hAnsi="Helvetica" w:cs="Helvetica"/>
                <w:sz w:val="17"/>
                <w:szCs w:val="17"/>
              </w:rPr>
              <w:t>72.17 - Fios de ferro ou aço não ligado.</w:t>
            </w:r>
            <w:r>
              <w:rPr>
                <w:rFonts w:ascii="Helvetica" w:eastAsia="Times New Roman" w:hAnsi="Helvetica" w:cs="Helvetica"/>
                <w:sz w:val="17"/>
                <w:szCs w:val="17"/>
              </w:rPr>
              <w:br/>
              <w:t>7217.20 - - Galvanizados</w:t>
            </w:r>
            <w:r>
              <w:rPr>
                <w:rFonts w:ascii="Helvetica" w:eastAsia="Times New Roman" w:hAnsi="Helvetica" w:cs="Helvetica"/>
                <w:sz w:val="17"/>
                <w:szCs w:val="17"/>
              </w:rPr>
              <w:br/>
              <w:t>7217.20.90 - Outros</w:t>
            </w:r>
          </w:p>
        </w:tc>
      </w:tr>
    </w:tbl>
    <w:p w:rsidR="007309E5" w:rsidRDefault="007309E5" w:rsidP="00F6048A">
      <w:pPr>
        <w:spacing w:line="14" w:lineRule="atLeast"/>
        <w:divId w:val="1150099112"/>
        <w:rPr>
          <w:rFonts w:ascii="Helvetica" w:eastAsia="Times New Roman" w:hAnsi="Helvetica" w:cs="Helvetica"/>
          <w:sz w:val="17"/>
          <w:szCs w:val="17"/>
        </w:rPr>
      </w:pPr>
    </w:p>
    <w:p w:rsidR="007309E5" w:rsidRDefault="0080773E" w:rsidP="00F6048A">
      <w:pPr>
        <w:pStyle w:val="Ttulo4"/>
        <w:spacing w:before="0" w:beforeAutospacing="0" w:after="0" w:afterAutospacing="0" w:line="14" w:lineRule="atLeast"/>
        <w:divId w:val="115009911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83"/>
        <w:gridCol w:w="5071"/>
      </w:tblGrid>
      <w:tr w:rsidR="007309E5">
        <w:trPr>
          <w:divId w:val="47371822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Seção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Operação</w:t>
            </w:r>
            <w:r>
              <w:rPr>
                <w:rFonts w:ascii="Helvetica" w:eastAsia="Times New Roman" w:hAnsi="Helvetica" w:cs="Helvetica"/>
                <w:b/>
                <w:bCs/>
                <w:sz w:val="17"/>
                <w:szCs w:val="17"/>
              </w:rPr>
              <w:t xml:space="preserve"> </w:t>
            </w:r>
          </w:p>
        </w:tc>
      </w:tr>
      <w:tr w:rsidR="007309E5">
        <w:trPr>
          <w:divId w:val="47371822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1.400 - ENTRADAS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1.000 - ENTRADAS OU AQUISIÇÕES DE SERVIÇOS DO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2563"/>
        <w:gridCol w:w="4088"/>
        <w:gridCol w:w="1267"/>
      </w:tblGrid>
      <w:tr w:rsidR="007309E5">
        <w:trPr>
          <w:divId w:val="115009911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Aplicação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Base Legal</w:t>
            </w:r>
            <w:r>
              <w:rPr>
                <w:rFonts w:ascii="Helvetica" w:eastAsia="Times New Roman" w:hAnsi="Helvetica" w:cs="Helvetica"/>
                <w:b/>
                <w:bCs/>
                <w:sz w:val="17"/>
                <w:szCs w:val="17"/>
              </w:rPr>
              <w:t xml:space="preserve">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a serem utilizadas em processo de industrialização ou produção rural, decorrentes de operações com mercadorias sujeitas ao regime de substituição tributária. Também serão classificadas neste código as compras por estabelecimento industrial ou produtor rural de cooperativa de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para comercialização em operação com mercadoria </w:t>
            </w:r>
            <w:r>
              <w:rPr>
                <w:rFonts w:ascii="Helvetica" w:eastAsia="Times New Roman" w:hAnsi="Helvetica" w:cs="Helvetica"/>
                <w:sz w:val="17"/>
                <w:szCs w:val="17"/>
              </w:rPr>
              <w:lastRenderedPageBreak/>
              <w:t xml:space="preserve">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compras de mercadorias a serem comercializadas, decorrentes </w:t>
            </w:r>
            <w:r>
              <w:rPr>
                <w:rFonts w:ascii="Helvetica" w:eastAsia="Times New Roman" w:hAnsi="Helvetica" w:cs="Helvetica"/>
                <w:sz w:val="17"/>
                <w:szCs w:val="17"/>
              </w:rPr>
              <w:lastRenderedPageBreak/>
              <w:t xml:space="preserve">de operações com mercadorias sujeitas ao regime de substituição tributária. Também serão classificadas neste código as compras de mercadorias sujeitas ao regime de substituição tributária em estabelecimento comercial de cooperativa.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w:t>
            </w:r>
            <w:r>
              <w:rPr>
                <w:rFonts w:ascii="Helvetica" w:eastAsia="Times New Roman" w:hAnsi="Helvetica" w:cs="Helvetica"/>
                <w:sz w:val="17"/>
                <w:szCs w:val="17"/>
              </w:rPr>
              <w:lastRenderedPageBreak/>
              <w:t xml:space="preserve">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1.406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bens destinados ao ativo imobilizado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Compra de mercadoria para uso 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compras de mercadorias destinadas ao uso ou consumo do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industrializadas ou consumidas na produção rural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mercadorias recebidas em transferência de outro estabelecimento da mesma empresa, para serem comercializadas, decorrentes de operações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produtos industrializados ou produzidos pelo próprio estabelecimento, cujas saídas tenham sido classificadas como "Venda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vendas de mercadorias adquiridas ou recebidas de terceiros, cujas saídas tenham sido classificadas como “Venda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produção do estabelecimento, remetida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produtos industrializados ou produzidos pelo próprio estabelecimento, remetidos para vendas fora do estabelecimento, inclusive por meio de veículos, em operações com produtos sujeitos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115009911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1.415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Retorno de mercadoria adquirida ou recebida de terceiros, remetida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entradas, em retorno, de mercadorias adquiridas ou recebidas de terceiros remetidas para vendas fora do estabelecimento, inclusive por meio de veículos, em operações com mercadorias sujeitas ao regime de substituição tributária, e não comercializadas.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F6048A">
      <w:pPr>
        <w:spacing w:line="14" w:lineRule="atLeast"/>
        <w:divId w:val="491410182"/>
        <w:rPr>
          <w:rFonts w:ascii="Helvetica" w:eastAsia="Times New Roman" w:hAnsi="Helvetica" w:cs="Helvetica"/>
          <w:sz w:val="17"/>
          <w:szCs w:val="17"/>
        </w:rPr>
      </w:pPr>
    </w:p>
    <w:p w:rsidR="007309E5" w:rsidRDefault="0080773E" w:rsidP="00F6048A">
      <w:pPr>
        <w:pStyle w:val="Ttulo4"/>
        <w:spacing w:before="0" w:beforeAutospacing="0" w:after="0" w:afterAutospacing="0" w:line="14" w:lineRule="atLeast"/>
        <w:divId w:val="491410182"/>
        <w:rPr>
          <w:rFonts w:ascii="Helvetica" w:eastAsia="Times New Roman" w:hAnsi="Helvetica" w:cs="Helvetica"/>
        </w:rPr>
      </w:pPr>
      <w:r>
        <w:rPr>
          <w:rFonts w:ascii="Helvetica" w:eastAsia="Times New Roman" w:hAnsi="Helvetica" w:cs="Helvetica"/>
        </w:rPr>
        <w:t>CFOP - Operações Internas com ST</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518"/>
        <w:gridCol w:w="5136"/>
      </w:tblGrid>
      <w:tr w:rsidR="007309E5">
        <w:trPr>
          <w:divId w:val="776488643"/>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Seção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Operação </w:t>
            </w:r>
          </w:p>
        </w:tc>
      </w:tr>
      <w:tr w:rsidR="007309E5">
        <w:trPr>
          <w:divId w:val="776488643"/>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5.400 - SAÍDAS DE MERCADORIAS SUJEITAS AO REGIME DE SUBSTITUIÇÃO TRIBUTÁRIA</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5.000 - SAÍDAS OU PRESTAÇÕES DE SERVIÇOS PARA O ESTADO </w:t>
            </w:r>
            <w:r>
              <w:rPr>
                <w:rFonts w:ascii="Helvetica" w:eastAsia="Times New Roman" w:hAnsi="Helvetica" w:cs="Helvetica"/>
                <w:sz w:val="17"/>
                <w:szCs w:val="17"/>
              </w:rPr>
              <w:br/>
              <w:t xml:space="preserve">Classificam-se, neste grupo, as operações ou prestações em que o estabelecimento remetente esteja localizado na mesma unidade da Federação do destinatário. </w:t>
            </w:r>
          </w:p>
        </w:tc>
      </w:tr>
    </w:tbl>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7"/>
        <w:gridCol w:w="2481"/>
        <w:gridCol w:w="4176"/>
        <w:gridCol w:w="1260"/>
      </w:tblGrid>
      <w:tr w:rsidR="007309E5">
        <w:trPr>
          <w:divId w:val="491410182"/>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Aplicação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Base Legal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w:t>
            </w:r>
            <w:r>
              <w:rPr>
                <w:rFonts w:ascii="Helvetica" w:eastAsia="Times New Roman" w:hAnsi="Helvetica" w:cs="Helvetica"/>
                <w:sz w:val="17"/>
                <w:szCs w:val="17"/>
              </w:rPr>
              <w:lastRenderedPageBreak/>
              <w:t xml:space="preserve">estabelecimento em operação com produto sujeito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vendas de produtos </w:t>
            </w:r>
            <w:r>
              <w:rPr>
                <w:rFonts w:ascii="Helvetica" w:eastAsia="Times New Roman" w:hAnsi="Helvetica" w:cs="Helvetica"/>
                <w:sz w:val="17"/>
                <w:szCs w:val="17"/>
              </w:rPr>
              <w:lastRenderedPageBreak/>
              <w:t xml:space="preserve">industrializados ou produzidos pelo próprio estabelecimento em operações com produtos sujeitos ao regime de substituição tributária, na condição de contribuinte substituto. Também serão classificadas neste código as vendas de produtos industrializados por estabelecimento industrial ou produtor rural de cooperativa sujeitos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w:t>
            </w:r>
            <w:r>
              <w:rPr>
                <w:rFonts w:ascii="Helvetica" w:eastAsia="Times New Roman" w:hAnsi="Helvetica" w:cs="Helvetica"/>
                <w:sz w:val="17"/>
                <w:szCs w:val="17"/>
              </w:rPr>
              <w:lastRenderedPageBreak/>
              <w:t xml:space="preserve">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5.402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produção do estabelecimento de produto sujeito ao regime de substituição tributária, em operação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produtos sujeitos ao regime de substituição tributária industrializados no estabelecimento, em operações entre contribuintes substitutos do mesmo produto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na condição de contribuinte substituto, em operação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Venda de mercadoria adquirida ou recebida de terceiros em operação com mercadoria sujeita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vendas de mercadorias adquiridas ou recebidas de terceiros em operação com mercadorias sujeitas ao regime de substituição tributária, na condição de contribuinte substituído.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produção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os produtos industrializados ou produzidos no próprio estabelecimento em transferência para outro estabelecimento da mesma empresa de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Transferência de mercadoria adquirida ou recebida de terceiros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transferências para outro estabelecimento da mesma empresa, de mercadorias adquiridas ou recebidas de terceiros que não tenham sido objeto de qualquer processo industrial no estabelecimento,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utilizadas em processo de industrialização ou produção rural cujas entradas tenham sido classificadas como "Compra para industrialização ou produção rural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mercadorias adquiridas para serem comercializadas, cujas entradas tenham sido classificadas como “Compra para comercialização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bem do ativo imobilizado,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devoluções de bens adquiridos para integrar o ativo imobilizado do estabelecimento, cuja entrada tenha sido classificada no código “1.406 - Compra de bem para o ativo imobilizado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Devolução de mercadoria destinada ao uso ou consumo, em operação com mercadoria sujeita ao regime de </w:t>
            </w:r>
            <w:r>
              <w:rPr>
                <w:rFonts w:ascii="Helvetica" w:eastAsia="Times New Roman" w:hAnsi="Helvetica" w:cs="Helvetica"/>
                <w:sz w:val="17"/>
                <w:szCs w:val="17"/>
              </w:rPr>
              <w:lastRenderedPageBreak/>
              <w:t xml:space="preserve">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Classificam-se neste código as devoluções de mercadorias adquiridas para uso ou consumo do estabelecimento, cuja entrada tenha sido classificada no código “1.407 - Compra de mercadoria para uso </w:t>
            </w:r>
            <w:r>
              <w:rPr>
                <w:rFonts w:ascii="Helvetica" w:eastAsia="Times New Roman" w:hAnsi="Helvetica" w:cs="Helvetica"/>
                <w:sz w:val="17"/>
                <w:szCs w:val="17"/>
              </w:rPr>
              <w:lastRenderedPageBreak/>
              <w:t xml:space="preserve">ou consumo cuja mercadoria está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lastRenderedPageBreak/>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produção do estabelecimento para venda fora do estabelecimento em operação com produto sujeito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produtos industrializados ou produzidos pelo próprio estabelecimento para serem vendidos fora do estabelecimento, inclusive por meio de veículos, em operações com produtos sujeitos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r w:rsidR="007309E5">
        <w:trPr>
          <w:divId w:val="49141018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5.415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Remessa de mercadoria adquirida ou recebida de terceiros para venda fora do estabelecimento, em operação com mercadoria sujeita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remessas de mercadorias adquiridas ou recebidas de terceiros para serem vendidas fora do estabelecimento, inclusive por meio de veículos, em operações com mercadorias sujeitas ao regime de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Convênio SINIEF SEM NÚMERO DE 15/12/1970 </w:t>
            </w:r>
          </w:p>
        </w:tc>
      </w:tr>
    </w:tbl>
    <w:p w:rsidR="007309E5" w:rsidRDefault="007309E5" w:rsidP="00F6048A">
      <w:pPr>
        <w:spacing w:line="14" w:lineRule="atLeast"/>
        <w:divId w:val="84347684"/>
        <w:rPr>
          <w:rFonts w:ascii="Helvetica" w:eastAsia="Times New Roman" w:hAnsi="Helvetica" w:cs="Helvetica"/>
          <w:sz w:val="17"/>
          <w:szCs w:val="17"/>
        </w:rPr>
      </w:pP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1701"/>
        <w:gridCol w:w="2680"/>
        <w:gridCol w:w="3537"/>
      </w:tblGrid>
      <w:tr w:rsidR="007309E5">
        <w:trPr>
          <w:divId w:val="908926621"/>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Código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Título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Descrição</w:t>
            </w:r>
            <w:r>
              <w:rPr>
                <w:rFonts w:ascii="Helvetica" w:eastAsia="Times New Roman" w:hAnsi="Helvetica" w:cs="Helvetica"/>
                <w:b/>
                <w:bCs/>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Style w:val="Forte"/>
                <w:rFonts w:ascii="Helvetica" w:eastAsia="Times New Roman" w:hAnsi="Helvetica" w:cs="Helvetica"/>
                <w:sz w:val="17"/>
                <w:szCs w:val="17"/>
              </w:rPr>
              <w:t>Comentário da consultoria Legisweb</w:t>
            </w:r>
            <w:r>
              <w:rPr>
                <w:rFonts w:ascii="Helvetica" w:eastAsia="Times New Roman" w:hAnsi="Helvetica" w:cs="Helvetica"/>
                <w:b/>
                <w:bCs/>
                <w:sz w:val="17"/>
                <w:szCs w:val="17"/>
              </w:rPr>
              <w:t xml:space="preserve">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no Simples Nacional e o valor do crédito correspondente.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101 será utilizado nos casos em que a operação sofra tributação do ICMS no regime Simples Nacional, na hipótese do destinatário fazer jus à apropriação do crédito do ICMS. De acordo com o artigo 23 da Lei Complementar nº 123/2006, com a redação dada pela Lei Complementar nº 128/2008, as empresas do Simples Nacional poderão transferir os créditos do ICMS, efetivamente devido e recolhido no DAS, às empresas do regime normal de apuração, desde que as mercadorias adquiridas por elas sejam destinadas à comercialização ou industrialização. Não haverá direito a crédito em se tratando de mercadorias destinadas ao ativo permanente ou a uso e consumo do destinatário. De igual forma, não haverá direito a crédito caso o destinatário também seja optante pelo regime Simples Nacional.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102 refere-se às operações tributadas pelo ICMS no Simples Nacional, em que não possa haver aproveitamento de crédito do ICMS pelo destinatário da operação. Podemos citar como exemplos de impossibilidade de crédito pelo destinatário: - destinatário optante pelo Simples Nacional; - destinatário não contribuinte do ICMS; - destinatário optante pelo regime normal, mas que adquire a mercadoria para seu ativo fixo ou para utilização como material de uso ou consumo; - emitente sujeito à tributação do ICMS, no Simples Nacional, por valores fixos mensais; -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103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concedida para faixa de receita bruta nos termos da Lei Complementar nº 123, de 2006.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Alguns Estados, como, por exemplo, Paraná e Bahia, concedem isenção do ICMS para algumas faixas de receita bruta. No Paraná, são isentos do ICMS os contribuintes cuja receita bruta acumulada nos doze meses anteriores ao do período de apuração não ultrapasse R$ 360 mil (artigo 3º do Anexo VIII do RICMS/PR). No Estado da Bahia, as microempresas optantes pelo Simples Nacional cuja receita bruta acumulada nos doze meses anteriores ao do período de apuração não ultrapasse R$ 180 mil são isentas do ICMS (artigo 277 do RICMS/BA). Nestes casos, em que tenhamos a isenção </w:t>
            </w:r>
            <w:r>
              <w:rPr>
                <w:rFonts w:ascii="Helvetica" w:eastAsia="Times New Roman" w:hAnsi="Helvetica" w:cs="Helvetica"/>
                <w:sz w:val="17"/>
                <w:szCs w:val="17"/>
              </w:rPr>
              <w:lastRenderedPageBreak/>
              <w:t xml:space="preserve">do ICMS determinada pela receita bruta do emitente, será utilizado o código 103.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lastRenderedPageBreak/>
              <w:t xml:space="preserve">201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com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permitem a indicação da alíquota do ICMS devido pelo Simples Nacional e do valor do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201 será utilizado pelo contribuinte na condição de substituto tributário. Não vislumbramos na legislação possibilidade de utilização de crédito pelo destinatário da operação, sendo a operação sujeita ao regime da substituição tributária - eis que, neste regime, em regra, o contribuinte substituído não apropria o crédito nas entradas, eis que também não terá o destaque do ICMS nas operações subsequentes. Entendemos que o código 201 será utilizado na hipótese da operação ser destinada a revendedor que seja optante pelo regime normal de apuração. Assim, caso, posteriormente, o contribuinte substituído faça jus ao ressarcimento do ICMS, se a legislação do Estado permitir que tal procedimento seja por meio do aproveitamento do crédito, este já estará indicado no documento fiscal relativo à operação realizada pelo contribuinte substituto.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pelo Simples Nacional sem permissão de crédito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que não permitem a indicação da alíquota do ICMS devido pelo Simples Nacional e do valor do crédito, e não estejam abrangidas nas hipóteses dos códigos 103, 203, 300, 400, 500 e 900,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202 será utilizado pelo contribuinte na condição de substituto tributário. Em contraponto ao código 201, entendemos que o código 202 será utilizado nas hipóteses em que o destinatário não possa de modo algum aproveitar o crédito do ICMS pago pelo remetente. Como exemplo, podemos citar os casos do destinatário optante pelo Simples Nacional; do emitente sujeito à tributação do ICMS, no Simples Nacional, por valores fixos mensais; e do emitente que apura os impostos (inclusive o ICMS), no Simples Nacional, pelo regime de caixa.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203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Isenção do ICMS no Simples Nacional para faixa de receita bruta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contemplados com isenção para faixa de receita bruta nos termos da Lei Complementar nº 123, de 2006, e com cobrança do ICMS por substituição tributária.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203 será utilizado pelo contribuinte na condição de substituto tributário, caso este contribuinte enquadre-se na isenção do ICMS pela faixa de receita bruta.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300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Imune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contempladas com imunidade do ICMS.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300 refere-se a operações imunes de tributação pelo ICMS, no Simples Nacional, tais como operações com livros, jornais, periódicos e o papel destinado à sua impressão, e operações destinadas ao exterior (exportações).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400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pelo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praticadas por optantes pelo Simples Nacional não sujeitas à tributação pelo ICMS dentro do Simples Nacional.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Como é cediço, as empresas do Simples Nacional apuram seus impostos de acordo com as receitas auferidas. Assim, será utilizado o código 400 para quaisquer operações realizadas que não gerem ao contribuinte receita, consequentemente não serão tributadas no Simples Nacional. Como exemplo, podemos citar as operações de remessa de um modo geral (remessa para industrialização por encomenda, remessa para utilização em prestação de serviço, remessa para locação, remessa em comodato, remessa em demonstração, remessa para conserto), e as operações realizadas a título gratuito (amostras, </w:t>
            </w:r>
            <w:r>
              <w:rPr>
                <w:rFonts w:ascii="Helvetica" w:eastAsia="Times New Roman" w:hAnsi="Helvetica" w:cs="Helvetica"/>
                <w:sz w:val="17"/>
                <w:szCs w:val="17"/>
              </w:rPr>
              <w:lastRenderedPageBreak/>
              <w:t xml:space="preserve">bonificações, doações, brindes).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lastRenderedPageBreak/>
              <w:t xml:space="preserve">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(substituído) ou por antecipação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operações sujeitas exclusivamente ao regime de substituição tributária na condição de substituído tributário ou no caso de antecipações.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Será utilizado o código 500 sempre que o contribuinte optante pelo Simples Nacional, emitente da nota, esteja na condição de substituído, tendo o ICMS referente à operação recolhido anteriormente, por substituição tributária ou por antecipação. </w:t>
            </w:r>
          </w:p>
        </w:tc>
      </w:tr>
      <w:tr w:rsidR="007309E5">
        <w:trPr>
          <w:divId w:val="908926621"/>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pStyle w:val="Ttulo3"/>
              <w:spacing w:before="0" w:beforeAutospacing="0" w:after="0" w:afterAutospacing="0" w:line="14" w:lineRule="atLeast"/>
              <w:jc w:val="center"/>
              <w:rPr>
                <w:rFonts w:ascii="Helvetica" w:eastAsia="Times New Roman" w:hAnsi="Helvetica" w:cs="Helvetica"/>
              </w:rPr>
            </w:pPr>
            <w:r>
              <w:rPr>
                <w:rFonts w:ascii="Helvetica" w:eastAsia="Times New Roman" w:hAnsi="Helvetica" w:cs="Helvetica"/>
              </w:rPr>
              <w:t xml:space="preserve">900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Outros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Classificam-se neste código as demais operações que não se enquadrem nos códigos 101, 102, 103, 201, 202, 203, 300, 400 e 500.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 código 900 será utilizado nos casos que não se enquadrem nos códigos anteriores. Alguns exemplos: - nas importações de mercadorias, em que o ICMS é pago à parte do regime Simples Nacional, diretamente ao Estado; - nas demais hipóteses de emissão de nota fiscal de entrada pelo contribuinte optante pelo Simples Nacional, na condição de destinatário da operação, não se enquadrando a operação nos demais códigos; - nas operações isentas do ICMS, nos casos em que a legislação trouxer previsão expressa para a isenção do ICMS nas operações realizadas por contribuintes optantes pelo Simples Nacional (diferente dos códigos 103 e 203; - operações realizadas pelos contribuintes optantes pelo Simples Nacional, com aplicação do diferimento do ICMS, conforme determinação da legislação estadual. </w:t>
            </w:r>
          </w:p>
        </w:tc>
      </w:tr>
    </w:tbl>
    <w:p w:rsidR="007309E5" w:rsidRDefault="0080773E" w:rsidP="00F6048A">
      <w:pPr>
        <w:pStyle w:val="hidden-print"/>
        <w:spacing w:before="0" w:beforeAutospacing="0" w:after="0" w:afterAutospacing="0" w:line="14" w:lineRule="atLeast"/>
        <w:divId w:val="84347684"/>
        <w:rPr>
          <w:rFonts w:ascii="Helvetica" w:hAnsi="Helvetica" w:cs="Helvetica"/>
        </w:rPr>
      </w:pPr>
      <w:r>
        <w:rPr>
          <w:rFonts w:ascii="Helvetica" w:hAnsi="Helvetica" w:cs="Helvetica"/>
        </w:rPr>
        <w:t xml:space="preserve">A escolha do CSOSN depende de vários fatores, como, por exemplo, regime de apuração do ICMS do remetente, condição do remetente quanto à ST, regime tributário do destinátario, etc. </w:t>
      </w:r>
      <w:r>
        <w:rPr>
          <w:rFonts w:ascii="Helvetica" w:hAnsi="Helvetica" w:cs="Helvetica"/>
        </w:rPr>
        <w:br/>
      </w:r>
      <w:r>
        <w:rPr>
          <w:rFonts w:ascii="Helvetica" w:hAnsi="Helvetica" w:cs="Helvetica"/>
        </w:rPr>
        <w:br/>
        <w:t xml:space="preserve">Para determinar o código a ser utilizado, consulte o Sistema de Consulta de CSOSN: Acessar o Sistema » </w:t>
      </w:r>
    </w:p>
    <w:p w:rsidR="007309E5" w:rsidRDefault="007309E5" w:rsidP="00F6048A">
      <w:pPr>
        <w:spacing w:line="14" w:lineRule="atLeast"/>
        <w:divId w:val="2126846867"/>
        <w:rPr>
          <w:rFonts w:ascii="Helvetica" w:eastAsia="Times New Roman" w:hAnsi="Helvetica" w:cs="Helvetica"/>
          <w:sz w:val="17"/>
          <w:szCs w:val="17"/>
        </w:rPr>
      </w:pPr>
    </w:p>
    <w:p w:rsidR="007309E5" w:rsidRDefault="0080773E" w:rsidP="00F6048A">
      <w:pPr>
        <w:spacing w:line="14" w:lineRule="atLeast"/>
        <w:divId w:val="2041277666"/>
        <w:rPr>
          <w:rFonts w:ascii="Helvetica" w:eastAsia="Times New Roman" w:hAnsi="Helvetica" w:cs="Helvetica"/>
          <w:sz w:val="17"/>
          <w:szCs w:val="17"/>
        </w:rPr>
      </w:pPr>
      <w:r>
        <w:rPr>
          <w:rStyle w:val="Forte"/>
          <w:rFonts w:ascii="Helvetica" w:eastAsia="Times New Roman" w:hAnsi="Helvetica" w:cs="Helvetica"/>
          <w:sz w:val="17"/>
          <w:szCs w:val="17"/>
        </w:rPr>
        <w:t>Nota Explicativa:</w:t>
      </w:r>
      <w:r>
        <w:rPr>
          <w:rFonts w:ascii="Helvetica" w:eastAsia="Times New Roman" w:hAnsi="Helvetica" w:cs="Helvetica"/>
          <w:sz w:val="17"/>
          <w:szCs w:val="17"/>
        </w:rPr>
        <w:t xml:space="preserve"> </w:t>
      </w:r>
      <w:r>
        <w:rPr>
          <w:rFonts w:ascii="Helvetica" w:eastAsia="Times New Roman" w:hAnsi="Helvetica" w:cs="Helvetica"/>
          <w:sz w:val="17"/>
          <w:szCs w:val="17"/>
        </w:rPr>
        <w:br/>
        <w:t>1. O código de Situação Tributária é composto de três dígitos na forma ABB, onde o 1º dígito deve indicar a origem da mercadoria ou serviço, com base na Tabela A e os 2º e 3º dígitos a tributação pelo ICMS, com base na Tabela B.</w:t>
      </w:r>
      <w:r>
        <w:rPr>
          <w:rFonts w:ascii="Helvetica" w:eastAsia="Times New Roman" w:hAnsi="Helvetica" w:cs="Helvetica"/>
          <w:sz w:val="17"/>
          <w:szCs w:val="17"/>
        </w:rPr>
        <w:br/>
      </w:r>
      <w:r>
        <w:rPr>
          <w:rFonts w:ascii="Helvetica" w:eastAsia="Times New Roman" w:hAnsi="Helvetica" w:cs="Helvetica"/>
          <w:sz w:val="17"/>
          <w:szCs w:val="17"/>
        </w:rPr>
        <w:br/>
        <w:t>2. O conteúdo de importação a que se referem os códigos 3 e 5 da Tabela A é aferido de acordo com normas expedidas pelo Conselho Nacional de Política Fazendária - CONFAZ.</w:t>
      </w:r>
      <w:r>
        <w:rPr>
          <w:rFonts w:ascii="Helvetica" w:eastAsia="Times New Roman" w:hAnsi="Helvetica" w:cs="Helvetica"/>
          <w:sz w:val="17"/>
          <w:szCs w:val="17"/>
        </w:rPr>
        <w:br/>
      </w:r>
      <w:r>
        <w:rPr>
          <w:rFonts w:ascii="Helvetica" w:eastAsia="Times New Roman" w:hAnsi="Helvetica" w:cs="Helvetica"/>
          <w:sz w:val="17"/>
          <w:szCs w:val="17"/>
        </w:rPr>
        <w:br/>
        <w:t xml:space="preserve">3. Alista a que se refere a Resolução do Conselho de Ministros da Câmara de Comércio Exterior - CAMEX -, de que tratam os códigos 6 e 7 da Tabela A, contempla, nos termos da Resolução do Senado Federal nº 13/12, os bens ou mercadorias importados sem similar nacional. </w:t>
      </w:r>
    </w:p>
    <w:p w:rsidR="007309E5" w:rsidRDefault="0080773E" w:rsidP="00F6048A">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A - Origem da Mercadoria</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736"/>
        <w:gridCol w:w="7918"/>
      </w:tblGrid>
      <w:tr w:rsidR="007309E5">
        <w:trPr>
          <w:divId w:val="1019047320"/>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exceto as indicadas nos códigos 3, 4, 5 e 8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exceto a indicada no código 6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exceto a indicada no código 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40% (quarenta por cento) e inferior ou igual a 70% (setenta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cuja produção tenha sido feita em conformidade com os processos produtivos básicos de que tratam o Decreto-Lei nº 288/67, e as Leis nºs 8.248/1991, 8.387/1991, 10.176/2001 e 11.484/2007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5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inferior ou igual a 40% (quarenta por cento)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6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Importação direta,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7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Estrangeira - Adquirida no mercado interno, sem similar nacional, constante em lista de Resolução CAMEX e gás natural </w:t>
            </w:r>
          </w:p>
        </w:tc>
      </w:tr>
      <w:tr w:rsidR="007309E5">
        <w:trPr>
          <w:divId w:val="1019047320"/>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Nacional, mercadoria ou bem com Conteúdo de Importação superior a 70% (setenta por cento) </w:t>
            </w:r>
          </w:p>
        </w:tc>
      </w:tr>
    </w:tbl>
    <w:p w:rsidR="007309E5" w:rsidRDefault="0080773E" w:rsidP="00F6048A">
      <w:pPr>
        <w:pStyle w:val="Ttulo4"/>
        <w:spacing w:before="0" w:beforeAutospacing="0" w:after="0" w:afterAutospacing="0" w:line="14" w:lineRule="atLeast"/>
        <w:divId w:val="2126846867"/>
        <w:rPr>
          <w:rFonts w:ascii="Helvetica" w:eastAsia="Times New Roman" w:hAnsi="Helvetica" w:cs="Helvetica"/>
        </w:rPr>
      </w:pPr>
      <w:r>
        <w:rPr>
          <w:rStyle w:val="Forte"/>
          <w:rFonts w:ascii="Helvetica" w:eastAsia="Times New Roman" w:hAnsi="Helvetica" w:cs="Helvetica"/>
          <w:b/>
          <w:bCs/>
        </w:rPr>
        <w:t>Tabela B - Tributação pelo ICMS</w:t>
      </w:r>
      <w:r>
        <w:rPr>
          <w:rFonts w:ascii="Helvetica" w:eastAsia="Times New Roman" w:hAnsi="Helvetica" w:cs="Helvetica"/>
        </w:rPr>
        <w:t xml:space="preserve"> </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921"/>
        <w:gridCol w:w="7733"/>
      </w:tblGrid>
      <w:tr w:rsidR="007309E5">
        <w:trPr>
          <w:divId w:val="175465138"/>
          <w:tblHeader/>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Código </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 xml:space="preserve">Descrição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lastRenderedPageBreak/>
              <w:t>00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integralmente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10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20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30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ou não tributada e com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Isenta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41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Não Tributada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Suspensão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51</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Diferimento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60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ICMS cobrado anteriormente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70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Com redução de base de cálculo e cobrança do ICMS por substituição tributária </w:t>
            </w:r>
          </w:p>
        </w:tc>
      </w:tr>
      <w:tr w:rsidR="007309E5">
        <w:trPr>
          <w:divId w:val="175465138"/>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90</w:t>
            </w:r>
            <w:r>
              <w:rPr>
                <w:rFonts w:ascii="Helvetica" w:eastAsia="Times New Roman" w:hAnsi="Helvetica" w:cs="Helvetica"/>
                <w:sz w:val="17"/>
                <w:szCs w:val="17"/>
              </w:rPr>
              <w:t xml:space="preserve">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Outras </w:t>
            </w:r>
          </w:p>
        </w:tc>
      </w:tr>
    </w:tbl>
    <w:p w:rsidR="007309E5" w:rsidRDefault="0080773E" w:rsidP="00F6048A">
      <w:pPr>
        <w:pStyle w:val="hidden-print"/>
        <w:spacing w:before="0" w:beforeAutospacing="0" w:after="0" w:afterAutospacing="0" w:line="14" w:lineRule="atLeast"/>
        <w:divId w:val="2126846867"/>
        <w:rPr>
          <w:rFonts w:ascii="Helvetica" w:hAnsi="Helvetica" w:cs="Helvetica"/>
        </w:rPr>
      </w:pPr>
      <w:r>
        <w:rPr>
          <w:rFonts w:ascii="Helvetica" w:hAnsi="Helvetica" w:cs="Helvetica"/>
        </w:rPr>
        <w:t xml:space="preserve">A escolha do CST depende de vários fatores, como, por exemplo, origem da mercadoria, tributações pelo ICMS, benefícios que abrangem a operação, etc. </w:t>
      </w:r>
      <w:r>
        <w:rPr>
          <w:rFonts w:ascii="Helvetica" w:hAnsi="Helvetica" w:cs="Helvetica"/>
        </w:rPr>
        <w:br/>
      </w:r>
      <w:r>
        <w:rPr>
          <w:rFonts w:ascii="Helvetica" w:hAnsi="Helvetica" w:cs="Helvetica"/>
        </w:rPr>
        <w:br/>
        <w:t xml:space="preserve">Para determinar o código a ser utilizado, consulte o Sistema de Consulta de CST: Acessar o Sistema » </w:t>
      </w:r>
    </w:p>
    <w:p w:rsidR="007309E5" w:rsidRDefault="0080773E" w:rsidP="00F6048A">
      <w:pPr>
        <w:pStyle w:val="Ttulo3"/>
        <w:spacing w:before="0" w:beforeAutospacing="0" w:after="0" w:afterAutospacing="0" w:line="14" w:lineRule="atLeast"/>
        <w:divId w:val="63190195"/>
        <w:rPr>
          <w:rFonts w:ascii="Helvetica" w:eastAsia="Times New Roman" w:hAnsi="Helvetica" w:cs="Helvetica"/>
        </w:rPr>
      </w:pPr>
      <w:r>
        <w:rPr>
          <w:rFonts w:ascii="Helvetica" w:eastAsia="Times New Roman" w:hAnsi="Helvetica" w:cs="Helvetica"/>
        </w:rPr>
        <w:br/>
      </w:r>
      <w:r>
        <w:rPr>
          <w:rStyle w:val="Forte"/>
          <w:rFonts w:ascii="Helvetica" w:eastAsia="Times New Roman" w:hAnsi="Helvetica" w:cs="Helvetica"/>
          <w:b/>
          <w:bCs/>
        </w:rPr>
        <w:t>ST Interestadual</w:t>
      </w:r>
      <w:r>
        <w:rPr>
          <w:rFonts w:ascii="Helvetica" w:eastAsia="Times New Roman" w:hAnsi="Helvetica" w:cs="Helvetica"/>
        </w:rPr>
        <w:t xml:space="preserve"> </w:t>
      </w:r>
    </w:p>
    <w:p w:rsidR="007309E5" w:rsidRDefault="007309E5" w:rsidP="00F6048A">
      <w:pPr>
        <w:spacing w:line="14" w:lineRule="atLeast"/>
        <w:divId w:val="63190195"/>
        <w:rPr>
          <w:rFonts w:ascii="Helvetica" w:eastAsia="Times New Roman" w:hAnsi="Helvetica" w:cs="Helvetica"/>
          <w:sz w:val="17"/>
          <w:szCs w:val="17"/>
        </w:rPr>
      </w:pPr>
    </w:p>
    <w:p w:rsidR="007309E5" w:rsidRDefault="0080773E" w:rsidP="00F6048A">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Listamos abaixo os protocolos e convênios firmados entre os Estados para a NCM selecionado: </w:t>
      </w:r>
    </w:p>
    <w:p w:rsidR="007309E5" w:rsidRDefault="0080773E" w:rsidP="00F6048A">
      <w:pPr>
        <w:pStyle w:val="Ttulo4"/>
        <w:spacing w:before="0" w:beforeAutospacing="0" w:after="0" w:afterAutospacing="0" w:line="14" w:lineRule="atLeast"/>
        <w:divId w:val="1809518490"/>
        <w:rPr>
          <w:rFonts w:ascii="Helvetica" w:eastAsia="Times New Roman" w:hAnsi="Helvetica" w:cs="Helvetica"/>
        </w:rPr>
      </w:pPr>
      <w:r>
        <w:rPr>
          <w:rStyle w:val="Forte"/>
          <w:rFonts w:ascii="Helvetica" w:eastAsia="Times New Roman" w:hAnsi="Helvetica" w:cs="Helvetica"/>
          <w:b/>
          <w:bCs/>
        </w:rPr>
        <w:t>Materiais de Construção, Acabamento, Bricolagem e Adorno</w:t>
      </w:r>
    </w:p>
    <w:tbl>
      <w:tblPr>
        <w:tblW w:w="5000"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3608"/>
        <w:gridCol w:w="5046"/>
      </w:tblGrid>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Protocolo</w:t>
            </w:r>
          </w:p>
        </w:tc>
        <w:tc>
          <w:tcPr>
            <w:tcW w:w="0" w:type="auto"/>
            <w:tcBorders>
              <w:top w:val="single" w:sz="6" w:space="0" w:color="999999"/>
              <w:left w:val="single" w:sz="6" w:space="0" w:color="999999"/>
              <w:bottom w:val="single" w:sz="6" w:space="0" w:color="999999"/>
              <w:right w:val="single" w:sz="6" w:space="0" w:color="999999"/>
            </w:tcBorders>
            <w:shd w:val="clear" w:color="auto" w:fill="DDDDDD"/>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b/>
                <w:bCs/>
                <w:sz w:val="17"/>
                <w:szCs w:val="17"/>
              </w:rPr>
            </w:pPr>
            <w:r>
              <w:rPr>
                <w:rFonts w:ascii="Helvetica" w:eastAsia="Times New Roman" w:hAnsi="Helvetica" w:cs="Helvetica"/>
                <w:b/>
                <w:bCs/>
                <w:sz w:val="17"/>
                <w:szCs w:val="17"/>
              </w:rPr>
              <w:t>Estados</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85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AC, AP, DF, GO, MT, MS, MG, PB, PR, PE, RS, RO,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25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33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SP, SE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116 DE 03/09/2012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SC,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11 DE 05/03/2008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MT,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82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GO,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20 DE 20/02/2013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ES,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60 DE 11/08/2011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92 DE 23/07/2009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RS,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17/07/2014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RJ,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128 de 16/08/2010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PE,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30 DE 30/03/2012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PA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32 DE 05/06/2009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MG,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17 de 01/04/2011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DF, MG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10/08/2009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BA,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26 DE 20/01/2010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BA, ES, MG, RJ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196 DE 11/12/2009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AP, ES, MG, PR, RJ, RS, SC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104 DE 16/11/2008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AL, SP </w:t>
            </w:r>
          </w:p>
        </w:tc>
      </w:tr>
      <w:tr w:rsidR="007309E5">
        <w:trPr>
          <w:divId w:val="1840385862"/>
        </w:trPr>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Style w:val="Forte"/>
                <w:rFonts w:ascii="Helvetica" w:eastAsia="Times New Roman" w:hAnsi="Helvetica" w:cs="Helvetica"/>
                <w:sz w:val="17"/>
                <w:szCs w:val="17"/>
              </w:rPr>
              <w:t xml:space="preserve">Protocolo ICMS Nº 71 DE 30/09/2011 </w:t>
            </w:r>
          </w:p>
        </w:tc>
        <w:tc>
          <w:tcPr>
            <w:tcW w:w="0" w:type="auto"/>
            <w:tcBorders>
              <w:top w:val="single" w:sz="6" w:space="0" w:color="999999"/>
              <w:left w:val="single" w:sz="6" w:space="0" w:color="999999"/>
              <w:bottom w:val="single" w:sz="6" w:space="0" w:color="999999"/>
              <w:right w:val="single" w:sz="6" w:space="0" w:color="999999"/>
            </w:tcBorders>
            <w:tcMar>
              <w:top w:w="45" w:type="dxa"/>
              <w:left w:w="75" w:type="dxa"/>
              <w:bottom w:w="45" w:type="dxa"/>
              <w:right w:w="75" w:type="dxa"/>
            </w:tcMar>
            <w:vAlign w:val="center"/>
            <w:hideMark/>
          </w:tcPr>
          <w:p w:rsidR="007309E5" w:rsidRDefault="0080773E" w:rsidP="00F6048A">
            <w:pPr>
              <w:spacing w:line="14" w:lineRule="atLeast"/>
              <w:jc w:val="center"/>
              <w:rPr>
                <w:rFonts w:ascii="Helvetica" w:eastAsia="Times New Roman" w:hAnsi="Helvetica" w:cs="Helvetica"/>
                <w:sz w:val="17"/>
                <w:szCs w:val="17"/>
              </w:rPr>
            </w:pPr>
            <w:r>
              <w:rPr>
                <w:rFonts w:ascii="Helvetica" w:eastAsia="Times New Roman" w:hAnsi="Helvetica" w:cs="Helvetica"/>
                <w:sz w:val="17"/>
                <w:szCs w:val="17"/>
              </w:rPr>
              <w:t xml:space="preserve">PR, SP </w:t>
            </w:r>
          </w:p>
        </w:tc>
      </w:tr>
    </w:tbl>
    <w:p w:rsidR="007309E5" w:rsidRDefault="0080773E" w:rsidP="00F6048A">
      <w:pPr>
        <w:pStyle w:val="hidden-print"/>
        <w:spacing w:before="0" w:beforeAutospacing="0" w:after="0" w:afterAutospacing="0" w:line="14" w:lineRule="atLeast"/>
        <w:divId w:val="63190195"/>
        <w:rPr>
          <w:rFonts w:ascii="Helvetica" w:hAnsi="Helvetica" w:cs="Helvetica"/>
        </w:rPr>
      </w:pPr>
      <w:r>
        <w:rPr>
          <w:rFonts w:ascii="Helvetica" w:hAnsi="Helvetica" w:cs="Helvetica"/>
        </w:rPr>
        <w:t xml:space="preserve">A aplicação ou não da ST Interestadual depende de vários fatores, como, por exemplo, descrição da mercadoria, finalidade da operação, segmento, etc. </w:t>
      </w:r>
      <w:r>
        <w:rPr>
          <w:rFonts w:ascii="Helvetica" w:hAnsi="Helvetica" w:cs="Helvetica"/>
        </w:rPr>
        <w:br/>
      </w:r>
      <w:r>
        <w:rPr>
          <w:rFonts w:ascii="Helvetica" w:hAnsi="Helvetica" w:cs="Helvetica"/>
        </w:rPr>
        <w:br/>
        <w:t xml:space="preserve">Para determinar sua aplicação consulte o Sistema de ST Interestadual: Acessar o Sistema » </w:t>
      </w:r>
    </w:p>
    <w:sectPr w:rsidR="007309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0773E"/>
    <w:rsid w:val="000E1BBD"/>
    <w:rsid w:val="00391FD2"/>
    <w:rsid w:val="003F581C"/>
    <w:rsid w:val="004A4DF8"/>
    <w:rsid w:val="004B721E"/>
    <w:rsid w:val="007309E5"/>
    <w:rsid w:val="007D5DFF"/>
    <w:rsid w:val="0080773E"/>
    <w:rsid w:val="008348A3"/>
    <w:rsid w:val="008677F2"/>
    <w:rsid w:val="008E064D"/>
    <w:rsid w:val="00A64E6C"/>
    <w:rsid w:val="00AE6C41"/>
    <w:rsid w:val="00C22102"/>
    <w:rsid w:val="00C27051"/>
    <w:rsid w:val="00DE18F6"/>
    <w:rsid w:val="00EA659C"/>
    <w:rsid w:val="00F6048A"/>
    <w:rsid w:val="00F70A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FE20CE3-1C2C-4F2C-91DF-546E2D1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Ttulo3">
    <w:name w:val="heading 3"/>
    <w:basedOn w:val="Normal"/>
    <w:link w:val="Ttulo3Char"/>
    <w:uiPriority w:val="9"/>
    <w:qFormat/>
    <w:pPr>
      <w:spacing w:before="100" w:beforeAutospacing="1" w:after="100" w:afterAutospacing="1"/>
      <w:outlineLvl w:val="2"/>
    </w:pPr>
    <w:rPr>
      <w:b/>
      <w:bCs/>
      <w:caps/>
    </w:rPr>
  </w:style>
  <w:style w:type="paragraph" w:styleId="Ttulo4">
    <w:name w:val="heading 4"/>
    <w:basedOn w:val="Normal"/>
    <w:link w:val="Ttulo4Char"/>
    <w:uiPriority w:val="9"/>
    <w:qFormat/>
    <w:pPr>
      <w:spacing w:before="100" w:beforeAutospacing="1" w:after="100" w:afterAutospacing="1"/>
      <w:outlineLvl w:val="3"/>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Pr>
      <w:color w:val="555555"/>
      <w:u w:val="single"/>
    </w:rPr>
  </w:style>
  <w:style w:type="character" w:styleId="HiperlinkVisitado">
    <w:name w:val="FollowedHyperlink"/>
    <w:basedOn w:val="Fontepargpadro"/>
    <w:uiPriority w:val="99"/>
    <w:semiHidden/>
    <w:unhideWhenUsed/>
    <w:rPr>
      <w:color w:val="555555"/>
      <w:u w:val="single"/>
    </w:rPr>
  </w:style>
  <w:style w:type="character" w:customStyle="1" w:styleId="Ttulo3Char">
    <w:name w:val="Título 3 Char"/>
    <w:basedOn w:val="Fontepargpadro"/>
    <w:link w:val="Ttulo3"/>
    <w:uiPriority w:val="9"/>
    <w:rPr>
      <w:rFonts w:asciiTheme="majorHAnsi" w:eastAsiaTheme="majorEastAsia" w:hAnsiTheme="majorHAnsi" w:cstheme="majorBidi"/>
      <w:b/>
      <w:bCs/>
      <w:color w:val="4F81BD" w:themeColor="accent1"/>
      <w:sz w:val="24"/>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b/>
      <w:bCs/>
      <w:i/>
      <w:iCs/>
      <w:color w:val="4F81BD" w:themeColor="accent1"/>
      <w:sz w:val="24"/>
      <w:szCs w:val="24"/>
    </w:rPr>
  </w:style>
  <w:style w:type="paragraph" w:customStyle="1" w:styleId="active">
    <w:name w:val="active"/>
    <w:basedOn w:val="Normal"/>
    <w:pPr>
      <w:shd w:val="clear" w:color="auto" w:fill="DDDDDD"/>
      <w:spacing w:before="100" w:beforeAutospacing="1" w:after="100" w:afterAutospacing="1"/>
    </w:pPr>
  </w:style>
  <w:style w:type="paragraph" w:customStyle="1" w:styleId="hidden-print">
    <w:name w:val="hidden-print"/>
    <w:basedOn w:val="Normal"/>
    <w:pPr>
      <w:spacing w:before="100" w:beforeAutospacing="1" w:after="100" w:afterAutospacing="1" w:line="0" w:lineRule="auto"/>
    </w:pPr>
    <w:rPr>
      <w:vanish/>
      <w:sz w:val="2"/>
      <w:szCs w:val="2"/>
    </w:rPr>
  </w:style>
  <w:style w:type="paragraph" w:customStyle="1" w:styleId="alert">
    <w:name w:val="alert"/>
    <w:basedOn w:val="Normal"/>
    <w:pPr>
      <w:pBdr>
        <w:top w:val="single" w:sz="6" w:space="8" w:color="999999"/>
        <w:left w:val="single" w:sz="6" w:space="8" w:color="999999"/>
        <w:bottom w:val="single" w:sz="6" w:space="8" w:color="999999"/>
        <w:right w:val="single" w:sz="6" w:space="8" w:color="999999"/>
      </w:pBdr>
      <w:spacing w:before="150" w:after="150"/>
      <w:ind w:left="75" w:right="75"/>
    </w:pPr>
  </w:style>
  <w:style w:type="paragraph" w:customStyle="1" w:styleId="notalw">
    <w:name w:val="nota_lw"/>
    <w:basedOn w:val="Normal"/>
    <w:pPr>
      <w:shd w:val="clear" w:color="auto" w:fill="DDDDDD"/>
      <w:spacing w:before="100" w:beforeAutospacing="1" w:after="100" w:afterAutospacing="1" w:line="180" w:lineRule="atLeast"/>
    </w:pPr>
    <w:rPr>
      <w:i/>
      <w:iCs/>
      <w:sz w:val="15"/>
      <w:szCs w:val="15"/>
    </w:rPr>
  </w:style>
  <w:style w:type="paragraph" w:customStyle="1" w:styleId="text-center">
    <w:name w:val="text-center"/>
    <w:basedOn w:val="Normal"/>
    <w:pPr>
      <w:spacing w:before="100" w:beforeAutospacing="1" w:after="100" w:afterAutospacing="1"/>
      <w:jc w:val="center"/>
    </w:pPr>
  </w:style>
  <w:style w:type="paragraph" w:customStyle="1" w:styleId="print-header">
    <w:name w:val="print-header"/>
    <w:basedOn w:val="Normal"/>
    <w:pPr>
      <w:pBdr>
        <w:bottom w:val="single" w:sz="6" w:space="0" w:color="BBBBBB"/>
      </w:pBdr>
      <w:spacing w:before="100" w:beforeAutospacing="1" w:after="100" w:afterAutospacing="1"/>
    </w:pPr>
  </w:style>
  <w:style w:type="paragraph" w:customStyle="1" w:styleId="print-logo-right">
    <w:name w:val="print-logo-right"/>
    <w:basedOn w:val="Normal"/>
    <w:pPr>
      <w:spacing w:before="150" w:after="100" w:afterAutospacing="1"/>
      <w:ind w:left="8175"/>
    </w:pPr>
  </w:style>
  <w:style w:type="paragraph" w:customStyle="1" w:styleId="print-footer">
    <w:name w:val="print-footer"/>
    <w:basedOn w:val="Normal"/>
    <w:pPr>
      <w:pBdr>
        <w:top w:val="single" w:sz="6" w:space="4" w:color="BBBBBB"/>
      </w:pBdr>
      <w:spacing w:before="100" w:beforeAutospacing="1" w:after="100" w:afterAutospacing="1"/>
    </w:pPr>
    <w:rPr>
      <w:color w:val="888888"/>
      <w:sz w:val="17"/>
      <w:szCs w:val="17"/>
    </w:rPr>
  </w:style>
  <w:style w:type="paragraph" w:customStyle="1" w:styleId="topico-texto-box">
    <w:name w:val="topico-texto-box"/>
    <w:basedOn w:val="Normal"/>
    <w:pPr>
      <w:spacing w:before="100" w:beforeAutospacing="1" w:after="100" w:afterAutospacing="1"/>
    </w:pPr>
  </w:style>
  <w:style w:type="character" w:customStyle="1" w:styleId="visible-xs">
    <w:name w:val="visible-xs"/>
    <w:basedOn w:val="Fontepargpadro"/>
  </w:style>
  <w:style w:type="character" w:styleId="nfase">
    <w:name w:val="Emphasis"/>
    <w:basedOn w:val="Fontepargpadro"/>
    <w:uiPriority w:val="20"/>
    <w:qFormat/>
    <w:rPr>
      <w:i/>
      <w:iCs/>
    </w:rPr>
  </w:style>
  <w:style w:type="character" w:styleId="Forte">
    <w:name w:val="Strong"/>
    <w:basedOn w:val="Fontepargpadro"/>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224972">
      <w:marLeft w:val="0"/>
      <w:marRight w:val="0"/>
      <w:marTop w:val="0"/>
      <w:marBottom w:val="0"/>
      <w:divBdr>
        <w:top w:val="none" w:sz="0" w:space="0" w:color="auto"/>
        <w:left w:val="none" w:sz="0" w:space="0" w:color="auto"/>
        <w:bottom w:val="none" w:sz="0" w:space="0" w:color="auto"/>
        <w:right w:val="none" w:sz="0" w:space="0" w:color="auto"/>
      </w:divBdr>
      <w:divsChild>
        <w:div w:id="1354266236">
          <w:marLeft w:val="0"/>
          <w:marRight w:val="0"/>
          <w:marTop w:val="0"/>
          <w:marBottom w:val="0"/>
          <w:divBdr>
            <w:top w:val="none" w:sz="0" w:space="0" w:color="auto"/>
            <w:left w:val="none" w:sz="0" w:space="0" w:color="auto"/>
            <w:bottom w:val="none" w:sz="0" w:space="0" w:color="auto"/>
            <w:right w:val="none" w:sz="0" w:space="0" w:color="auto"/>
          </w:divBdr>
          <w:divsChild>
            <w:div w:id="1100179268">
              <w:marLeft w:val="0"/>
              <w:marRight w:val="0"/>
              <w:marTop w:val="0"/>
              <w:marBottom w:val="0"/>
              <w:divBdr>
                <w:top w:val="none" w:sz="0" w:space="0" w:color="auto"/>
                <w:left w:val="none" w:sz="0" w:space="0" w:color="auto"/>
                <w:bottom w:val="none" w:sz="0" w:space="0" w:color="auto"/>
                <w:right w:val="none" w:sz="0" w:space="0" w:color="auto"/>
              </w:divBdr>
              <w:divsChild>
                <w:div w:id="877670605">
                  <w:marLeft w:val="0"/>
                  <w:marRight w:val="0"/>
                  <w:marTop w:val="0"/>
                  <w:marBottom w:val="0"/>
                  <w:divBdr>
                    <w:top w:val="none" w:sz="0" w:space="0" w:color="auto"/>
                    <w:left w:val="none" w:sz="0" w:space="0" w:color="auto"/>
                    <w:bottom w:val="none" w:sz="0" w:space="0" w:color="auto"/>
                    <w:right w:val="none" w:sz="0" w:space="0" w:color="auto"/>
                  </w:divBdr>
                </w:div>
                <w:div w:id="1757940265">
                  <w:marLeft w:val="0"/>
                  <w:marRight w:val="0"/>
                  <w:marTop w:val="0"/>
                  <w:marBottom w:val="0"/>
                  <w:divBdr>
                    <w:top w:val="none" w:sz="0" w:space="0" w:color="auto"/>
                    <w:left w:val="none" w:sz="0" w:space="0" w:color="auto"/>
                    <w:bottom w:val="none" w:sz="0" w:space="0" w:color="auto"/>
                    <w:right w:val="none" w:sz="0" w:space="0" w:color="auto"/>
                  </w:divBdr>
                  <w:divsChild>
                    <w:div w:id="820344856">
                      <w:marLeft w:val="0"/>
                      <w:marRight w:val="0"/>
                      <w:marTop w:val="0"/>
                      <w:marBottom w:val="0"/>
                      <w:divBdr>
                        <w:top w:val="none" w:sz="0" w:space="0" w:color="auto"/>
                        <w:left w:val="none" w:sz="0" w:space="0" w:color="auto"/>
                        <w:bottom w:val="none" w:sz="0" w:space="0" w:color="auto"/>
                        <w:right w:val="none" w:sz="0" w:space="0" w:color="auto"/>
                      </w:divBdr>
                    </w:div>
                  </w:divsChild>
                </w:div>
                <w:div w:id="1064714753">
                  <w:marLeft w:val="0"/>
                  <w:marRight w:val="0"/>
                  <w:marTop w:val="0"/>
                  <w:marBottom w:val="0"/>
                  <w:divBdr>
                    <w:top w:val="none" w:sz="0" w:space="0" w:color="auto"/>
                    <w:left w:val="none" w:sz="0" w:space="0" w:color="auto"/>
                    <w:bottom w:val="none" w:sz="0" w:space="0" w:color="auto"/>
                    <w:right w:val="none" w:sz="0" w:space="0" w:color="auto"/>
                  </w:divBdr>
                  <w:divsChild>
                    <w:div w:id="1374382135">
                      <w:marLeft w:val="0"/>
                      <w:marRight w:val="0"/>
                      <w:marTop w:val="0"/>
                      <w:marBottom w:val="0"/>
                      <w:divBdr>
                        <w:top w:val="none" w:sz="0" w:space="0" w:color="auto"/>
                        <w:left w:val="none" w:sz="0" w:space="0" w:color="auto"/>
                        <w:bottom w:val="none" w:sz="0" w:space="0" w:color="auto"/>
                        <w:right w:val="none" w:sz="0" w:space="0" w:color="auto"/>
                      </w:divBdr>
                      <w:divsChild>
                        <w:div w:id="542795553">
                          <w:marLeft w:val="0"/>
                          <w:marRight w:val="0"/>
                          <w:marTop w:val="0"/>
                          <w:marBottom w:val="0"/>
                          <w:divBdr>
                            <w:top w:val="none" w:sz="0" w:space="0" w:color="auto"/>
                            <w:left w:val="none" w:sz="0" w:space="0" w:color="auto"/>
                            <w:bottom w:val="none" w:sz="0" w:space="0" w:color="auto"/>
                            <w:right w:val="none" w:sz="0" w:space="0" w:color="auto"/>
                          </w:divBdr>
                          <w:divsChild>
                            <w:div w:id="1276865404">
                              <w:marLeft w:val="0"/>
                              <w:marRight w:val="0"/>
                              <w:marTop w:val="0"/>
                              <w:marBottom w:val="0"/>
                              <w:divBdr>
                                <w:top w:val="none" w:sz="0" w:space="0" w:color="auto"/>
                                <w:left w:val="none" w:sz="0" w:space="0" w:color="auto"/>
                                <w:bottom w:val="none" w:sz="0" w:space="0" w:color="auto"/>
                                <w:right w:val="none" w:sz="0" w:space="0" w:color="auto"/>
                              </w:divBdr>
                            </w:div>
                          </w:divsChild>
                        </w:div>
                        <w:div w:id="2066680123">
                          <w:marLeft w:val="0"/>
                          <w:marRight w:val="0"/>
                          <w:marTop w:val="0"/>
                          <w:marBottom w:val="0"/>
                          <w:divBdr>
                            <w:top w:val="none" w:sz="0" w:space="0" w:color="auto"/>
                            <w:left w:val="none" w:sz="0" w:space="0" w:color="auto"/>
                            <w:bottom w:val="none" w:sz="0" w:space="0" w:color="auto"/>
                            <w:right w:val="none" w:sz="0" w:space="0" w:color="auto"/>
                          </w:divBdr>
                          <w:divsChild>
                            <w:div w:id="762384771">
                              <w:marLeft w:val="0"/>
                              <w:marRight w:val="0"/>
                              <w:marTop w:val="0"/>
                              <w:marBottom w:val="0"/>
                              <w:divBdr>
                                <w:top w:val="none" w:sz="0" w:space="0" w:color="auto"/>
                                <w:left w:val="none" w:sz="0" w:space="0" w:color="auto"/>
                                <w:bottom w:val="none" w:sz="0" w:space="0" w:color="auto"/>
                                <w:right w:val="none" w:sz="0" w:space="0" w:color="auto"/>
                              </w:divBdr>
                              <w:divsChild>
                                <w:div w:id="2100562606">
                                  <w:marLeft w:val="0"/>
                                  <w:marRight w:val="0"/>
                                  <w:marTop w:val="0"/>
                                  <w:marBottom w:val="0"/>
                                  <w:divBdr>
                                    <w:top w:val="none" w:sz="0" w:space="0" w:color="auto"/>
                                    <w:left w:val="none" w:sz="0" w:space="0" w:color="auto"/>
                                    <w:bottom w:val="none" w:sz="0" w:space="0" w:color="auto"/>
                                    <w:right w:val="none" w:sz="0" w:space="0" w:color="auto"/>
                                  </w:divBdr>
                                </w:div>
                              </w:divsChild>
                            </w:div>
                            <w:div w:id="275794485">
                              <w:marLeft w:val="0"/>
                              <w:marRight w:val="0"/>
                              <w:marTop w:val="0"/>
                              <w:marBottom w:val="0"/>
                              <w:divBdr>
                                <w:top w:val="none" w:sz="0" w:space="0" w:color="auto"/>
                                <w:left w:val="none" w:sz="0" w:space="0" w:color="auto"/>
                                <w:bottom w:val="none" w:sz="0" w:space="0" w:color="auto"/>
                                <w:right w:val="none" w:sz="0" w:space="0" w:color="auto"/>
                              </w:divBdr>
                              <w:divsChild>
                                <w:div w:id="710963468">
                                  <w:marLeft w:val="0"/>
                                  <w:marRight w:val="0"/>
                                  <w:marTop w:val="0"/>
                                  <w:marBottom w:val="0"/>
                                  <w:divBdr>
                                    <w:top w:val="none" w:sz="0" w:space="0" w:color="auto"/>
                                    <w:left w:val="none" w:sz="0" w:space="0" w:color="auto"/>
                                    <w:bottom w:val="none" w:sz="0" w:space="0" w:color="auto"/>
                                    <w:right w:val="none" w:sz="0" w:space="0" w:color="auto"/>
                                  </w:divBdr>
                                  <w:divsChild>
                                    <w:div w:id="1554728129">
                                      <w:marLeft w:val="75"/>
                                      <w:marRight w:val="75"/>
                                      <w:marTop w:val="150"/>
                                      <w:marBottom w:val="150"/>
                                      <w:divBdr>
                                        <w:top w:val="single" w:sz="6" w:space="8" w:color="999999"/>
                                        <w:left w:val="single" w:sz="6" w:space="8" w:color="999999"/>
                                        <w:bottom w:val="single" w:sz="6" w:space="8" w:color="999999"/>
                                        <w:right w:val="single" w:sz="6" w:space="8" w:color="999999"/>
                                      </w:divBdr>
                                    </w:div>
                                  </w:divsChild>
                                </w:div>
                              </w:divsChild>
                            </w:div>
                          </w:divsChild>
                        </w:div>
                        <w:div w:id="332033473">
                          <w:marLeft w:val="0"/>
                          <w:marRight w:val="0"/>
                          <w:marTop w:val="0"/>
                          <w:marBottom w:val="0"/>
                          <w:divBdr>
                            <w:top w:val="none" w:sz="0" w:space="0" w:color="auto"/>
                            <w:left w:val="none" w:sz="0" w:space="0" w:color="auto"/>
                            <w:bottom w:val="none" w:sz="0" w:space="0" w:color="auto"/>
                            <w:right w:val="none" w:sz="0" w:space="0" w:color="auto"/>
                          </w:divBdr>
                          <w:divsChild>
                            <w:div w:id="1829053109">
                              <w:marLeft w:val="0"/>
                              <w:marRight w:val="0"/>
                              <w:marTop w:val="0"/>
                              <w:marBottom w:val="0"/>
                              <w:divBdr>
                                <w:top w:val="none" w:sz="0" w:space="0" w:color="auto"/>
                                <w:left w:val="none" w:sz="0" w:space="0" w:color="auto"/>
                                <w:bottom w:val="none" w:sz="0" w:space="0" w:color="auto"/>
                                <w:right w:val="none" w:sz="0" w:space="0" w:color="auto"/>
                              </w:divBdr>
                              <w:divsChild>
                                <w:div w:id="632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112">
                          <w:marLeft w:val="0"/>
                          <w:marRight w:val="0"/>
                          <w:marTop w:val="0"/>
                          <w:marBottom w:val="0"/>
                          <w:divBdr>
                            <w:top w:val="none" w:sz="0" w:space="0" w:color="auto"/>
                            <w:left w:val="none" w:sz="0" w:space="0" w:color="auto"/>
                            <w:bottom w:val="none" w:sz="0" w:space="0" w:color="auto"/>
                            <w:right w:val="none" w:sz="0" w:space="0" w:color="auto"/>
                          </w:divBdr>
                          <w:divsChild>
                            <w:div w:id="473718222">
                              <w:marLeft w:val="0"/>
                              <w:marRight w:val="0"/>
                              <w:marTop w:val="0"/>
                              <w:marBottom w:val="0"/>
                              <w:divBdr>
                                <w:top w:val="none" w:sz="0" w:space="0" w:color="auto"/>
                                <w:left w:val="none" w:sz="0" w:space="0" w:color="auto"/>
                                <w:bottom w:val="none" w:sz="0" w:space="0" w:color="auto"/>
                                <w:right w:val="none" w:sz="0" w:space="0" w:color="auto"/>
                              </w:divBdr>
                            </w:div>
                          </w:divsChild>
                        </w:div>
                        <w:div w:id="491410182">
                          <w:marLeft w:val="0"/>
                          <w:marRight w:val="0"/>
                          <w:marTop w:val="0"/>
                          <w:marBottom w:val="0"/>
                          <w:divBdr>
                            <w:top w:val="none" w:sz="0" w:space="0" w:color="auto"/>
                            <w:left w:val="none" w:sz="0" w:space="0" w:color="auto"/>
                            <w:bottom w:val="none" w:sz="0" w:space="0" w:color="auto"/>
                            <w:right w:val="none" w:sz="0" w:space="0" w:color="auto"/>
                          </w:divBdr>
                          <w:divsChild>
                            <w:div w:id="776488643">
                              <w:marLeft w:val="0"/>
                              <w:marRight w:val="0"/>
                              <w:marTop w:val="0"/>
                              <w:marBottom w:val="0"/>
                              <w:divBdr>
                                <w:top w:val="none" w:sz="0" w:space="0" w:color="auto"/>
                                <w:left w:val="none" w:sz="0" w:space="0" w:color="auto"/>
                                <w:bottom w:val="none" w:sz="0" w:space="0" w:color="auto"/>
                                <w:right w:val="none" w:sz="0" w:space="0" w:color="auto"/>
                              </w:divBdr>
                            </w:div>
                          </w:divsChild>
                        </w:div>
                        <w:div w:id="84347684">
                          <w:marLeft w:val="0"/>
                          <w:marRight w:val="0"/>
                          <w:marTop w:val="0"/>
                          <w:marBottom w:val="0"/>
                          <w:divBdr>
                            <w:top w:val="none" w:sz="0" w:space="0" w:color="auto"/>
                            <w:left w:val="none" w:sz="0" w:space="0" w:color="auto"/>
                            <w:bottom w:val="none" w:sz="0" w:space="0" w:color="auto"/>
                            <w:right w:val="none" w:sz="0" w:space="0" w:color="auto"/>
                          </w:divBdr>
                          <w:divsChild>
                            <w:div w:id="908926621">
                              <w:marLeft w:val="0"/>
                              <w:marRight w:val="0"/>
                              <w:marTop w:val="0"/>
                              <w:marBottom w:val="0"/>
                              <w:divBdr>
                                <w:top w:val="none" w:sz="0" w:space="0" w:color="auto"/>
                                <w:left w:val="none" w:sz="0" w:space="0" w:color="auto"/>
                                <w:bottom w:val="none" w:sz="0" w:space="0" w:color="auto"/>
                                <w:right w:val="none" w:sz="0" w:space="0" w:color="auto"/>
                              </w:divBdr>
                            </w:div>
                          </w:divsChild>
                        </w:div>
                        <w:div w:id="2126846867">
                          <w:marLeft w:val="0"/>
                          <w:marRight w:val="0"/>
                          <w:marTop w:val="0"/>
                          <w:marBottom w:val="0"/>
                          <w:divBdr>
                            <w:top w:val="none" w:sz="0" w:space="0" w:color="auto"/>
                            <w:left w:val="none" w:sz="0" w:space="0" w:color="auto"/>
                            <w:bottom w:val="none" w:sz="0" w:space="0" w:color="auto"/>
                            <w:right w:val="none" w:sz="0" w:space="0" w:color="auto"/>
                          </w:divBdr>
                          <w:divsChild>
                            <w:div w:id="2041277666">
                              <w:marLeft w:val="75"/>
                              <w:marRight w:val="75"/>
                              <w:marTop w:val="150"/>
                              <w:marBottom w:val="150"/>
                              <w:divBdr>
                                <w:top w:val="single" w:sz="6" w:space="8" w:color="999999"/>
                                <w:left w:val="single" w:sz="6" w:space="8" w:color="999999"/>
                                <w:bottom w:val="single" w:sz="6" w:space="8" w:color="999999"/>
                                <w:right w:val="single" w:sz="6" w:space="8" w:color="999999"/>
                              </w:divBdr>
                            </w:div>
                            <w:div w:id="1019047320">
                              <w:marLeft w:val="0"/>
                              <w:marRight w:val="0"/>
                              <w:marTop w:val="0"/>
                              <w:marBottom w:val="0"/>
                              <w:divBdr>
                                <w:top w:val="none" w:sz="0" w:space="0" w:color="auto"/>
                                <w:left w:val="none" w:sz="0" w:space="0" w:color="auto"/>
                                <w:bottom w:val="none" w:sz="0" w:space="0" w:color="auto"/>
                                <w:right w:val="none" w:sz="0" w:space="0" w:color="auto"/>
                              </w:divBdr>
                            </w:div>
                            <w:div w:id="175465138">
                              <w:marLeft w:val="0"/>
                              <w:marRight w:val="0"/>
                              <w:marTop w:val="0"/>
                              <w:marBottom w:val="0"/>
                              <w:divBdr>
                                <w:top w:val="none" w:sz="0" w:space="0" w:color="auto"/>
                                <w:left w:val="none" w:sz="0" w:space="0" w:color="auto"/>
                                <w:bottom w:val="none" w:sz="0" w:space="0" w:color="auto"/>
                                <w:right w:val="none" w:sz="0" w:space="0" w:color="auto"/>
                              </w:divBdr>
                            </w:div>
                          </w:divsChild>
                        </w:div>
                        <w:div w:id="63190195">
                          <w:marLeft w:val="0"/>
                          <w:marRight w:val="0"/>
                          <w:marTop w:val="0"/>
                          <w:marBottom w:val="0"/>
                          <w:divBdr>
                            <w:top w:val="none" w:sz="0" w:space="0" w:color="auto"/>
                            <w:left w:val="none" w:sz="0" w:space="0" w:color="auto"/>
                            <w:bottom w:val="none" w:sz="0" w:space="0" w:color="auto"/>
                            <w:right w:val="none" w:sz="0" w:space="0" w:color="auto"/>
                          </w:divBdr>
                          <w:divsChild>
                            <w:div w:id="1809518490">
                              <w:marLeft w:val="0"/>
                              <w:marRight w:val="0"/>
                              <w:marTop w:val="0"/>
                              <w:marBottom w:val="0"/>
                              <w:divBdr>
                                <w:top w:val="none" w:sz="0" w:space="0" w:color="auto"/>
                                <w:left w:val="none" w:sz="0" w:space="0" w:color="auto"/>
                                <w:bottom w:val="none" w:sz="0" w:space="0" w:color="auto"/>
                                <w:right w:val="none" w:sz="0" w:space="0" w:color="auto"/>
                              </w:divBdr>
                              <w:divsChild>
                                <w:div w:id="18403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3758</Words>
  <Characters>20294</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Consulta - Operação Interna</vt:lpstr>
    </vt:vector>
  </TitlesOfParts>
  <Company>SISTEMA OEM</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 Operação Interna</dc:title>
  <dc:creator>OEM</dc:creator>
  <cp:lastModifiedBy>Evaldo de Oliveira da Silva</cp:lastModifiedBy>
  <cp:revision>19</cp:revision>
  <dcterms:created xsi:type="dcterms:W3CDTF">2017-11-17T19:00:00Z</dcterms:created>
  <dcterms:modified xsi:type="dcterms:W3CDTF">2017-11-23T15:51:00Z</dcterms:modified>
</cp:coreProperties>
</file>