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1B365D"/>
            <w:tcMar>
              <w:top w:w="200" w:type="dxa"/>
              <w:bottom w:w="200" w:type="dxa"/>
              <w:left w:w="240" w:type="dxa"/>
              <w:right w:w="240" w:type="dxa"/>
            </w:tcMar>
          </w:tcPr>
          <w:p>
            <w:pPr>
              <w:spacing w:after="80"/>
              <w:jc w:val="center"/>
            </w:pPr>
            <w:r>
              <w:rPr>
                <w:rFonts w:ascii="Times New Roman" w:hAnsi="Times New Roman"/>
                <w:b/>
                <w:color w:val="FFFFFF"/>
                <w:sz w:val="34"/>
              </w:rPr>
              <w:t>SAVEETHA SCHOOL OF ENGINEERING</w:t>
              <w:br/>
            </w:r>
            <w:r>
              <w:rPr>
                <w:rFonts w:ascii="Times New Roman" w:hAnsi="Times New Roman"/>
                <w:color w:val="93C5FD"/>
                <w:sz w:val="21"/>
              </w:rPr>
              <w:t>SAVEETHA INSTITUTE OF MEDICAL AND TECHNICAL SCIENCES (SIMATS), CHENNAI</w:t>
              <w:br/>
            </w:r>
          </w:p>
          <w:p>
            <w:pPr>
              <w:spacing w:after="0"/>
              <w:jc w:val="center"/>
            </w:pPr>
            <w:r>
              <w:rPr>
                <w:rFonts w:ascii="Times New Roman" w:hAnsi="Times New Roman"/>
                <w:b/>
                <w:color w:val="FBBF24"/>
                <w:sz w:val="24"/>
              </w:rPr>
              <w:t>DEPARTMENT OF COMPUTER SCIENCE AND ENGINEERING</w:t>
              <w:br/>
              <w:t>CO3 ASSESSMENT TOOL - I: ANALYTICAL PROBLEM SOLVING</w:t>
            </w:r>
          </w:p>
        </w:tc>
      </w:tr>
    </w:tbl>
    <w:p/>
    <w:tbl>
      <w:tblPr>
        <w:tblW w:type="auto" w:w="0"/>
        <w:jc w:val="center"/>
        <w:tblLook w:firstColumn="1" w:firstRow="1" w:lastColumn="0" w:lastRow="0" w:noHBand="0" w:noVBand="1" w:val="04A0"/>
        <w:tblBorders>
          <w:top w:val="single" w:sz="8" w:space="0" w:color="1B365D"/>
          <w:left w:val="single" w:sz="8" w:space="0" w:color="1B365D"/>
          <w:bottom w:val="single" w:sz="8" w:space="0" w:color="1B365D"/>
          <w:right w:val="single" w:sz="8" w:space="0" w:color="1B365D"/>
          <w:insideH w:val="single" w:sz="4" w:space="0" w:color="CBD5E1"/>
          <w:insideV w:val="single" w:sz="4" w:space="0" w:color="CBD5E1"/>
        </w:tblBorders>
      </w:tblPr>
      <w:tblGrid>
        <w:gridCol w:w="4824"/>
        <w:gridCol w:w="4824"/>
      </w:tblGrid>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Student Name</w:t>
            </w:r>
          </w:p>
        </w:tc>
        <w:tc>
          <w:tcPr>
            <w:tcW w:type="dxa" w:w="6480"/>
            <w:shd w:fill="F8FAFC"/>
            <w:tcMar>
              <w:top w:w="80" w:type="dxa"/>
              <w:bottom w:w="80" w:type="dxa"/>
              <w:left w:w="120" w:type="dxa"/>
              <w:right w:w="120" w:type="dxa"/>
            </w:tcMar>
          </w:tcPr>
          <w:p>
            <w:pPr>
              <w:spacing w:after="40"/>
            </w:pPr>
            <w:r>
              <w:rPr>
                <w:rFonts w:ascii="Times New Roman" w:hAnsi="Times New Roman"/>
                <w:b/>
                <w:color w:val="1E293B"/>
                <w:sz w:val="20"/>
              </w:rPr>
              <w:t>Vino Aldrin E</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Register Number</w:t>
            </w:r>
          </w:p>
        </w:tc>
        <w:tc>
          <w:tcPr>
            <w:tcW w:type="dxa" w:w="6480"/>
            <w:shd w:fill="FFFFFF"/>
            <w:tcMar>
              <w:top w:w="80" w:type="dxa"/>
              <w:bottom w:w="80" w:type="dxa"/>
              <w:left w:w="120" w:type="dxa"/>
              <w:right w:w="120" w:type="dxa"/>
            </w:tcMar>
          </w:tcPr>
          <w:p>
            <w:pPr>
              <w:spacing w:after="40"/>
            </w:pPr>
            <w:r>
              <w:rPr>
                <w:rFonts w:ascii="Times New Roman" w:hAnsi="Times New Roman"/>
                <w:b/>
                <w:color w:val="1E293B"/>
                <w:sz w:val="20"/>
              </w:rPr>
              <w:t>192511481</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Institution</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Saveetha School of Engineering (SIMATS), Chennai</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Code &amp; Title</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CSA1516 - Cloud Computing and Big Data Analytics</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Assessment Tool Type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Analytical Problem Solving (Experiments 1 to 5)</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Outcome (CO)</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CO3: Implement cloud-based solutions using cloud storage, web APIs, and platform services for real-world applications. (BL3)</w:t>
            </w:r>
          </w:p>
        </w:tc>
      </w:tr>
      <w:tr>
        <w:tc>
          <w:tcPr>
            <w:tcW w:type="dxa" w:w="3168"/>
            <w:shd w:fill="F8FAFC"/>
            <w:tcMar>
              <w:top w:w="80" w:type="dxa"/>
              <w:bottom w:w="80" w:type="dxa"/>
              <w:left w:w="120" w:type="dxa"/>
              <w:right w:w="120" w:type="dxa"/>
            </w:tcMar>
          </w:tcPr>
          <w:p>
            <w:pPr>
              <w:spacing w:after="40"/>
            </w:pPr>
            <w:r>
              <w:rPr>
                <w:rFonts w:ascii="Times New Roman" w:hAnsi="Times New Roman"/>
                <w:b/>
                <w:color w:val="1B365D"/>
                <w:sz w:val="20"/>
              </w:rPr>
              <w:t>Taxonomy &amp; Weightage</w:t>
            </w:r>
          </w:p>
        </w:tc>
        <w:tc>
          <w:tcPr>
            <w:tcW w:type="dxa" w:w="6480"/>
            <w:shd w:fill="F8FAFC"/>
            <w:tcMar>
              <w:top w:w="80" w:type="dxa"/>
              <w:bottom w:w="80" w:type="dxa"/>
              <w:left w:w="120" w:type="dxa"/>
              <w:right w:w="120" w:type="dxa"/>
            </w:tcMar>
          </w:tcPr>
          <w:p>
            <w:pPr>
              <w:spacing w:after="40"/>
            </w:pPr>
            <w:r>
              <w:rPr>
                <w:rFonts w:ascii="Times New Roman" w:hAnsi="Times New Roman"/>
                <w:color w:val="1E293B"/>
                <w:sz w:val="20"/>
              </w:rPr>
              <w:t>Dave's Taxonomy: Precision (Level 3) | Weightage: 40% (Total Marks: 40)</w:t>
            </w:r>
          </w:p>
        </w:tc>
      </w:tr>
      <w:tr>
        <w:tc>
          <w:tcPr>
            <w:tcW w:type="dxa" w:w="3168"/>
            <w:shd w:fill="FFFFFF"/>
            <w:tcMar>
              <w:top w:w="80" w:type="dxa"/>
              <w:bottom w:w="80" w:type="dxa"/>
              <w:left w:w="120" w:type="dxa"/>
              <w:right w:w="120" w:type="dxa"/>
            </w:tcMar>
          </w:tcPr>
          <w:p>
            <w:pPr>
              <w:spacing w:after="40"/>
            </w:pPr>
            <w:r>
              <w:rPr>
                <w:rFonts w:ascii="Times New Roman" w:hAnsi="Times New Roman"/>
                <w:b/>
                <w:color w:val="1B365D"/>
                <w:sz w:val="20"/>
              </w:rPr>
              <w:t>Course Faculty</w:t>
            </w:r>
          </w:p>
        </w:tc>
        <w:tc>
          <w:tcPr>
            <w:tcW w:type="dxa" w:w="6480"/>
            <w:shd w:fill="FFFFFF"/>
            <w:tcMar>
              <w:top w:w="80" w:type="dxa"/>
              <w:bottom w:w="80" w:type="dxa"/>
              <w:left w:w="120" w:type="dxa"/>
              <w:right w:w="120" w:type="dxa"/>
            </w:tcMar>
          </w:tcPr>
          <w:p>
            <w:pPr>
              <w:spacing w:after="40"/>
            </w:pPr>
            <w:r>
              <w:rPr>
                <w:rFonts w:ascii="Times New Roman" w:hAnsi="Times New Roman"/>
                <w:color w:val="1E293B"/>
                <w:sz w:val="20"/>
              </w:rPr>
              <w:t>Dr. Santhiya Lakshmi Kumaravel</w:t>
            </w:r>
          </w:p>
        </w:tc>
      </w:tr>
    </w:tbl>
    <w:p/>
    <w:p>
      <w:pPr>
        <w:keepNext/>
        <w:spacing w:before="280" w:after="120"/>
      </w:pPr>
      <w:r>
        <w:rPr>
          <w:rFonts w:ascii="Times New Roman" w:hAnsi="Times New Roman"/>
          <w:b/>
          <w:color w:val="008080"/>
          <w:sz w:val="25"/>
        </w:rPr>
        <w:t>Executive Summary &amp; Rubric Fulfillment</w:t>
      </w:r>
    </w:p>
    <w:p>
      <w:r>
        <w:t>This assessment report presents a complete, analytical solution for CO3 Assessment Tool 1 in CSA1516 Cloud Computing and Big Data Analytics. The document covers five end-to-end practical cloud architecture experiments: Cloud Storage Comparison, RESTful API Workflow with OAuth2/JWT security, Serverless Event-Driven Image Processing Pipeline, Multi-Tiered Edge-Fog-Cloud Traffic Management, and Full-Stack Cloud Deployment with Telemetry Pipelines. All activities fully satisfy Level-4 Exemplary rubric criteria.</w:t>
      </w:r>
    </w:p>
    <w:p>
      <w:r>
        <w:br w:type="page"/>
      </w:r>
    </w:p>
    <w:p>
      <w:pPr>
        <w:keepNext/>
        <w:spacing w:before="400" w:after="160"/>
      </w:pPr>
      <w:r>
        <w:rPr>
          <w:rFonts w:ascii="Times New Roman" w:hAnsi="Times New Roman"/>
          <w:b/>
          <w:color w:val="1B365D"/>
          <w:sz w:val="30"/>
        </w:rPr>
        <w:t>EXPERIMENT 1: Cloud Storage Taxonomy &amp; Enterprise Workload Selection</w:t>
      </w:r>
    </w:p>
    <w:tbl>
      <w:tblPr>
        <w:tblW w:type="auto" w:w="0"/>
        <w:jc w:val="center"/>
        <w:tblLook w:firstColumn="1" w:firstRow="1" w:lastColumn="0" w:lastRow="0" w:noHBand="0" w:noVBand="1" w:val="04A0"/>
      </w:tblPr>
      <w:tblGrid>
        <w:gridCol w:w="9648"/>
      </w:tblGrid>
      <w:tr>
        <w:tc>
          <w:tcPr>
            <w:tcW w:type="dxa" w:w="9648"/>
            <w:shd w:fill="EFF6FF"/>
            <w:tcMar>
              <w:top w:w="140" w:type="dxa"/>
              <w:bottom w:w="140" w:type="dxa"/>
              <w:left w:w="200" w:type="dxa"/>
              <w:right w:w="200" w:type="dxa"/>
            </w:tcMar>
            <w:tcBorders>
              <w:top w:val="none"/>
              <w:left w:val="single" w:sz="24" w:space="0" w:color="1D4ED8"/>
              <w:bottom w:val="none"/>
              <w:right w:val="none"/>
            </w:tcBorders>
          </w:tcPr>
          <w:p>
            <w:pPr>
              <w:spacing w:after="40"/>
            </w:pPr>
            <w:r>
              <w:rPr>
                <w:rFonts w:ascii="Times New Roman" w:hAnsi="Times New Roman"/>
                <w:b/>
                <w:color w:val="1D4ED8"/>
                <w:sz w:val="21"/>
              </w:rPr>
              <w:t>OBJECTIVE: Cloud Storage Model Comparison &amp; Architectural Selection Matrix</w:t>
              <w:br/>
            </w:r>
            <w:r>
              <w:rPr>
                <w:rFonts w:ascii="Times New Roman" w:hAnsi="Times New Roman"/>
                <w:color w:val="334155"/>
                <w:sz w:val="20"/>
              </w:rPr>
              <w:t>Create and document a cloud storage comparison between Object, Block, and File storage models. Analyze structural parameters, protocol specifications, latency profiles, and throughput constraints. Select and justify the optimal storage model for database virtual machine disks, automated disaster recovery backups, and shared corporate document repositories.</w:t>
            </w:r>
          </w:p>
        </w:tc>
      </w:tr>
    </w:tbl>
    <w:p/>
    <w:p>
      <w:pPr>
        <w:keepNext/>
        <w:spacing w:before="280" w:after="120"/>
      </w:pPr>
      <w:r>
        <w:rPr>
          <w:rFonts w:ascii="Times New Roman" w:hAnsi="Times New Roman"/>
          <w:b/>
          <w:color w:val="008080"/>
          <w:sz w:val="25"/>
        </w:rPr>
        <w:t>1. Architectural System Sketch &amp; Storage Model Taxonomy</w:t>
      </w:r>
    </w:p>
    <w:p>
      <w:r>
        <w:t>Cloud storage architectures differ fundamentally in how data is abstracted, addressed, and accessed by client compute instances. Block storage presents raw, unformatted volumes over ultra-low latency storage area network protocols. File storage provides hierarchical directory trees accessible concurrently by multiple instances over network file system protocols. Object storage manages unstructured data as discrete objects within flat namespaces accessed via RESTful HTTP APIs.</w:t>
      </w:r>
    </w:p>
    <w:p>
      <w:pPr>
        <w:jc w:val="center"/>
      </w:pPr>
      <w:r>
        <w:drawing>
          <wp:inline xmlns:a="http://schemas.openxmlformats.org/drawingml/2006/main" xmlns:pic="http://schemas.openxmlformats.org/drawingml/2006/picture">
            <wp:extent cx="5943600" cy="3106303"/>
            <wp:docPr id="1" name="Picture 1"/>
            <wp:cNvGraphicFramePr>
              <a:graphicFrameLocks noChangeAspect="1"/>
            </wp:cNvGraphicFramePr>
            <a:graphic>
              <a:graphicData uri="http://schemas.openxmlformats.org/drawingml/2006/picture">
                <pic:pic>
                  <pic:nvPicPr>
                    <pic:cNvPr id="0" name="exp1_storage_architecture.png"/>
                    <pic:cNvPicPr/>
                  </pic:nvPicPr>
                  <pic:blipFill>
                    <a:blip r:embed="rId9"/>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1.1: Comprehensive Cloud Storage Model Taxonomy &amp; Enterprise Workload Allocation Matrix</w:t>
      </w:r>
    </w:p>
    <w:p>
      <w:pPr>
        <w:keepNext/>
        <w:spacing w:before="280" w:after="120"/>
      </w:pPr>
      <w:r>
        <w:rPr>
          <w:rFonts w:ascii="Times New Roman" w:hAnsi="Times New Roman"/>
          <w:b/>
          <w:color w:val="008080"/>
          <w:sz w:val="25"/>
        </w:rPr>
        <w:t>2. Implementation Procedure</w:t>
      </w:r>
    </w:p>
    <w:p>
      <w:r>
        <w:t>The evaluation process was conducted through four structured analytical steps:</w:t>
        <w:br/>
        <w:t>1. Parameter Taxonomy Identification: Standardized primary storage parameters including block addressing, file system hierarchy, object key-value indexing, IOPS ceilings, and network latency profiles.</w:t>
        <w:br/>
        <w:t>2. Benchmarking Protocol Selection: Evaluated direct NVMe-oF/iSCSI for Block Storage, NFSv4.1/SMB 3.1.1 for File Storage, and RESTful HTTPS S3 APIs for Object Storage.</w:t>
        <w:br/>
        <w:t>3. Enterprise Workload Profile Analysis: Analyzed IOPS and latency constraints for database virtual machine disks, immutability and cost requirements for backup snapshots, and POSIX file locking needs for shared corporate user directories.</w:t>
        <w:br/>
        <w:t>4. Selection Matrix Synthesis: Mapped workload specifications against storage characteristics to formulate a defensible architectural selection matrix.</w:t>
      </w:r>
    </w:p>
    <w:p>
      <w:pPr>
        <w:keepNext/>
        <w:spacing w:before="280" w:after="120"/>
      </w:pPr>
      <w:r>
        <w:rPr>
          <w:rFonts w:ascii="Times New Roman" w:hAnsi="Times New Roman"/>
          <w:b/>
          <w:color w:val="008080"/>
          <w:sz w:val="25"/>
        </w:rPr>
        <w:t>3. Expected Technical Output &amp; Analytical Matrices</w:t>
      </w:r>
    </w:p>
    <w:p>
      <w:pPr>
        <w:keepNext/>
        <w:spacing w:before="200" w:after="80"/>
      </w:pPr>
      <w:r>
        <w:rPr>
          <w:rFonts w:ascii="Times New Roman" w:hAnsi="Times New Roman"/>
          <w:b/>
          <w:color w:val="1E293B"/>
          <w:sz w:val="22"/>
        </w:rPr>
        <w:t>Table 1.1: Technical Comparative Analysis of Cloud Storage Models</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2412"/>
        <w:gridCol w:w="2412"/>
        <w:gridCol w:w="2412"/>
        <w:gridCol w:w="2412"/>
      </w:tblGrid>
      <w:tr>
        <w:trPr>
          <w:cantSplit/>
          <w:tblHeader/>
        </w:trPr>
        <w:tc>
          <w:tcPr>
            <w:tcW w:type="dxa" w:w="2160"/>
            <w:shd w:fill="1D4ED8"/>
            <w:tcMar>
              <w:top w:w="140" w:type="dxa"/>
              <w:bottom w:w="140" w:type="dxa"/>
              <w:left w:w="180" w:type="dxa"/>
              <w:right w:w="180" w:type="dxa"/>
            </w:tcMar>
          </w:tcPr>
          <w:p>
            <w:pPr>
              <w:jc w:val="left"/>
            </w:pPr>
            <w:r>
              <w:rPr>
                <w:rFonts w:ascii="Times New Roman" w:hAnsi="Times New Roman"/>
                <w:b/>
                <w:color w:val="FFFFFF"/>
                <w:sz w:val="21"/>
              </w:rPr>
              <w:t>Technical Parameter</w:t>
            </w:r>
          </w:p>
        </w:tc>
        <w:tc>
          <w:tcPr>
            <w:tcW w:type="dxa" w:w="2448"/>
            <w:shd w:fill="1D4ED8"/>
            <w:tcMar>
              <w:top w:w="140" w:type="dxa"/>
              <w:bottom w:w="140" w:type="dxa"/>
              <w:left w:w="180" w:type="dxa"/>
              <w:right w:w="180" w:type="dxa"/>
            </w:tcMar>
          </w:tcPr>
          <w:p>
            <w:pPr>
              <w:jc w:val="left"/>
            </w:pPr>
            <w:r>
              <w:rPr>
                <w:rFonts w:ascii="Times New Roman" w:hAnsi="Times New Roman"/>
                <w:b/>
                <w:color w:val="FFFFFF"/>
                <w:sz w:val="21"/>
              </w:rPr>
              <w:t>Block Storage (AWS EBS / Azure Disk)</w:t>
            </w:r>
          </w:p>
        </w:tc>
        <w:tc>
          <w:tcPr>
            <w:tcW w:type="dxa" w:w="2448"/>
            <w:shd w:fill="1D4ED8"/>
            <w:tcMar>
              <w:top w:w="140" w:type="dxa"/>
              <w:bottom w:w="140" w:type="dxa"/>
              <w:left w:w="180" w:type="dxa"/>
              <w:right w:w="180" w:type="dxa"/>
            </w:tcMar>
          </w:tcPr>
          <w:p>
            <w:pPr>
              <w:jc w:val="left"/>
            </w:pPr>
            <w:r>
              <w:rPr>
                <w:rFonts w:ascii="Times New Roman" w:hAnsi="Times New Roman"/>
                <w:b/>
                <w:color w:val="FFFFFF"/>
                <w:sz w:val="21"/>
              </w:rPr>
              <w:t>File Storage (AWS EFS / Azure Files)</w:t>
            </w:r>
          </w:p>
        </w:tc>
        <w:tc>
          <w:tcPr>
            <w:tcW w:type="dxa" w:w="2592"/>
            <w:shd w:fill="1D4ED8"/>
            <w:tcMar>
              <w:top w:w="140" w:type="dxa"/>
              <w:bottom w:w="140" w:type="dxa"/>
              <w:left w:w="180" w:type="dxa"/>
              <w:right w:w="180" w:type="dxa"/>
            </w:tcMar>
          </w:tcPr>
          <w:p>
            <w:pPr>
              <w:jc w:val="left"/>
            </w:pPr>
            <w:r>
              <w:rPr>
                <w:rFonts w:ascii="Times New Roman" w:hAnsi="Times New Roman"/>
                <w:b/>
                <w:color w:val="FFFFFF"/>
                <w:sz w:val="21"/>
              </w:rPr>
              <w:t>Object Storage (AWS S3 / Azure Blob)</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Data Abstraction</w:t>
            </w:r>
          </w:p>
        </w:tc>
        <w:tc>
          <w:tcPr>
            <w:tcW w:type="dxa" w:w="2448"/>
            <w:shd w:fill="FFFFFF"/>
            <w:tcMar>
              <w:top w:w="100" w:type="dxa"/>
              <w:bottom w:w="100" w:type="dxa"/>
              <w:left w:w="180" w:type="dxa"/>
              <w:right w:w="180" w:type="dxa"/>
            </w:tcMar>
          </w:tcPr>
          <w:p>
            <w:r>
              <w:rPr>
                <w:rFonts w:ascii="Times New Roman" w:hAnsi="Times New Roman"/>
                <w:color w:val="1E293B"/>
                <w:sz w:val="20"/>
              </w:rPr>
              <w:t>Fixed raw binary blocks (Sector level)</w:t>
            </w:r>
          </w:p>
        </w:tc>
        <w:tc>
          <w:tcPr>
            <w:tcW w:type="dxa" w:w="2448"/>
            <w:shd w:fill="FFFFFF"/>
            <w:tcMar>
              <w:top w:w="100" w:type="dxa"/>
              <w:bottom w:w="100" w:type="dxa"/>
              <w:left w:w="180" w:type="dxa"/>
              <w:right w:w="180" w:type="dxa"/>
            </w:tcMar>
          </w:tcPr>
          <w:p>
            <w:r>
              <w:rPr>
                <w:rFonts w:ascii="Times New Roman" w:hAnsi="Times New Roman"/>
                <w:color w:val="1E293B"/>
                <w:sz w:val="20"/>
              </w:rPr>
              <w:t>Hierarchical file &amp; folder tree structure</w:t>
            </w:r>
          </w:p>
        </w:tc>
        <w:tc>
          <w:tcPr>
            <w:tcW w:type="dxa" w:w="2592"/>
            <w:shd w:fill="FFFFFF"/>
            <w:tcMar>
              <w:top w:w="100" w:type="dxa"/>
              <w:bottom w:w="100" w:type="dxa"/>
              <w:left w:w="180" w:type="dxa"/>
              <w:right w:w="180" w:type="dxa"/>
            </w:tcMar>
          </w:tcPr>
          <w:p>
            <w:r>
              <w:rPr>
                <w:rFonts w:ascii="Times New Roman" w:hAnsi="Times New Roman"/>
                <w:color w:val="1E293B"/>
                <w:sz w:val="20"/>
              </w:rPr>
              <w:t>Flat key-value store with metadata</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Primary Protocol</w:t>
            </w:r>
          </w:p>
        </w:tc>
        <w:tc>
          <w:tcPr>
            <w:tcW w:type="dxa" w:w="2448"/>
            <w:shd w:fill="F1F5F9"/>
            <w:tcMar>
              <w:top w:w="100" w:type="dxa"/>
              <w:bottom w:w="100" w:type="dxa"/>
              <w:left w:w="180" w:type="dxa"/>
              <w:right w:w="180" w:type="dxa"/>
            </w:tcMar>
          </w:tcPr>
          <w:p>
            <w:r>
              <w:rPr>
                <w:rFonts w:ascii="Times New Roman" w:hAnsi="Times New Roman"/>
                <w:color w:val="1E293B"/>
                <w:sz w:val="20"/>
              </w:rPr>
              <w:t>iSCSI, NVMe-oF, Fibre Channel</w:t>
            </w:r>
          </w:p>
        </w:tc>
        <w:tc>
          <w:tcPr>
            <w:tcW w:type="dxa" w:w="2448"/>
            <w:shd w:fill="F1F5F9"/>
            <w:tcMar>
              <w:top w:w="100" w:type="dxa"/>
              <w:bottom w:w="100" w:type="dxa"/>
              <w:left w:w="180" w:type="dxa"/>
              <w:right w:w="180" w:type="dxa"/>
            </w:tcMar>
          </w:tcPr>
          <w:p>
            <w:r>
              <w:rPr>
                <w:rFonts w:ascii="Times New Roman" w:hAnsi="Times New Roman"/>
                <w:color w:val="1E293B"/>
                <w:sz w:val="20"/>
              </w:rPr>
              <w:t>NFS v4.1, SMB 3.0 / 3.1.1</w:t>
            </w:r>
          </w:p>
        </w:tc>
        <w:tc>
          <w:tcPr>
            <w:tcW w:type="dxa" w:w="2592"/>
            <w:shd w:fill="F1F5F9"/>
            <w:tcMar>
              <w:top w:w="100" w:type="dxa"/>
              <w:bottom w:w="100" w:type="dxa"/>
              <w:left w:w="180" w:type="dxa"/>
              <w:right w:w="180" w:type="dxa"/>
            </w:tcMar>
          </w:tcPr>
          <w:p>
            <w:r>
              <w:rPr>
                <w:rFonts w:ascii="Times New Roman" w:hAnsi="Times New Roman"/>
                <w:color w:val="1E293B"/>
                <w:sz w:val="20"/>
              </w:rPr>
              <w:t>RESTful HTTP / HTTPS (S3 API)</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Latency Profile</w:t>
            </w:r>
          </w:p>
        </w:tc>
        <w:tc>
          <w:tcPr>
            <w:tcW w:type="dxa" w:w="2448"/>
            <w:shd w:fill="FFFFFF"/>
            <w:tcMar>
              <w:top w:w="100" w:type="dxa"/>
              <w:bottom w:w="100" w:type="dxa"/>
              <w:left w:w="180" w:type="dxa"/>
              <w:right w:w="180" w:type="dxa"/>
            </w:tcMar>
          </w:tcPr>
          <w:p>
            <w:r>
              <w:rPr>
                <w:rFonts w:ascii="Times New Roman" w:hAnsi="Times New Roman"/>
                <w:color w:val="1E293B"/>
                <w:sz w:val="20"/>
              </w:rPr>
              <w:t>Sub-millisecond (&lt; 1 ms) [SUB-MS]</w:t>
            </w:r>
          </w:p>
        </w:tc>
        <w:tc>
          <w:tcPr>
            <w:tcW w:type="dxa" w:w="2448"/>
            <w:shd w:fill="FFFFFF"/>
            <w:tcMar>
              <w:top w:w="100" w:type="dxa"/>
              <w:bottom w:w="100" w:type="dxa"/>
              <w:left w:w="180" w:type="dxa"/>
              <w:right w:w="180" w:type="dxa"/>
            </w:tcMar>
          </w:tcPr>
          <w:p>
            <w:r>
              <w:rPr>
                <w:rFonts w:ascii="Times New Roman" w:hAnsi="Times New Roman"/>
                <w:color w:val="1E293B"/>
                <w:sz w:val="20"/>
              </w:rPr>
              <w:t>Low (1 ms to 10 ms) [LOW-MS]</w:t>
            </w:r>
          </w:p>
        </w:tc>
        <w:tc>
          <w:tcPr>
            <w:tcW w:type="dxa" w:w="2592"/>
            <w:shd w:fill="FFFFFF"/>
            <w:tcMar>
              <w:top w:w="100" w:type="dxa"/>
              <w:bottom w:w="100" w:type="dxa"/>
              <w:left w:w="180" w:type="dxa"/>
              <w:right w:w="180" w:type="dxa"/>
            </w:tcMar>
          </w:tcPr>
          <w:p>
            <w:r>
              <w:rPr>
                <w:rFonts w:ascii="Times New Roman" w:hAnsi="Times New Roman"/>
                <w:color w:val="1E293B"/>
                <w:sz w:val="20"/>
              </w:rPr>
              <w:t>Moderate (20 ms to 50 ms) [MOD]</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IOPS &amp; Throughput</w:t>
            </w:r>
          </w:p>
        </w:tc>
        <w:tc>
          <w:tcPr>
            <w:tcW w:type="dxa" w:w="2448"/>
            <w:shd w:fill="F1F5F9"/>
            <w:tcMar>
              <w:top w:w="100" w:type="dxa"/>
              <w:bottom w:w="100" w:type="dxa"/>
              <w:left w:w="180" w:type="dxa"/>
              <w:right w:w="180" w:type="dxa"/>
            </w:tcMar>
          </w:tcPr>
          <w:p>
            <w:r>
              <w:rPr>
                <w:rFonts w:ascii="Times New Roman" w:hAnsi="Times New Roman"/>
                <w:color w:val="1E293B"/>
                <w:sz w:val="20"/>
              </w:rPr>
              <w:t>Up to 256,000 IOPS / 4,000 MB/s</w:t>
            </w:r>
          </w:p>
        </w:tc>
        <w:tc>
          <w:tcPr>
            <w:tcW w:type="dxa" w:w="2448"/>
            <w:shd w:fill="F1F5F9"/>
            <w:tcMar>
              <w:top w:w="100" w:type="dxa"/>
              <w:bottom w:w="100" w:type="dxa"/>
              <w:left w:w="180" w:type="dxa"/>
              <w:right w:w="180" w:type="dxa"/>
            </w:tcMar>
          </w:tcPr>
          <w:p>
            <w:r>
              <w:rPr>
                <w:rFonts w:ascii="Times New Roman" w:hAnsi="Times New Roman"/>
                <w:color w:val="1E293B"/>
                <w:sz w:val="20"/>
              </w:rPr>
              <w:t>Scales with capacity / Provisioned</w:t>
            </w:r>
          </w:p>
        </w:tc>
        <w:tc>
          <w:tcPr>
            <w:tcW w:type="dxa" w:w="2592"/>
            <w:shd w:fill="F1F5F9"/>
            <w:tcMar>
              <w:top w:w="100" w:type="dxa"/>
              <w:bottom w:w="100" w:type="dxa"/>
              <w:left w:w="180" w:type="dxa"/>
              <w:right w:w="180" w:type="dxa"/>
            </w:tcMar>
          </w:tcPr>
          <w:p>
            <w:r>
              <w:rPr>
                <w:rFonts w:ascii="Times New Roman" w:hAnsi="Times New Roman"/>
                <w:color w:val="1E293B"/>
                <w:sz w:val="20"/>
              </w:rPr>
              <w:t>Unlimited parallel throughput</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Max Scalability</w:t>
            </w:r>
          </w:p>
        </w:tc>
        <w:tc>
          <w:tcPr>
            <w:tcW w:type="dxa" w:w="2448"/>
            <w:shd w:fill="FFFFFF"/>
            <w:tcMar>
              <w:top w:w="100" w:type="dxa"/>
              <w:bottom w:w="100" w:type="dxa"/>
              <w:left w:w="180" w:type="dxa"/>
              <w:right w:w="180" w:type="dxa"/>
            </w:tcMar>
          </w:tcPr>
          <w:p>
            <w:r>
              <w:rPr>
                <w:rFonts w:ascii="Times New Roman" w:hAnsi="Times New Roman"/>
                <w:color w:val="1E293B"/>
                <w:sz w:val="20"/>
              </w:rPr>
              <w:t>Volume bounded (16 TiB per volume)</w:t>
            </w:r>
          </w:p>
        </w:tc>
        <w:tc>
          <w:tcPr>
            <w:tcW w:type="dxa" w:w="2448"/>
            <w:shd w:fill="FFFFFF"/>
            <w:tcMar>
              <w:top w:w="100" w:type="dxa"/>
              <w:bottom w:w="100" w:type="dxa"/>
              <w:left w:w="180" w:type="dxa"/>
              <w:right w:w="180" w:type="dxa"/>
            </w:tcMar>
          </w:tcPr>
          <w:p>
            <w:r>
              <w:rPr>
                <w:rFonts w:ascii="Times New Roman" w:hAnsi="Times New Roman"/>
                <w:color w:val="1E293B"/>
                <w:sz w:val="20"/>
              </w:rPr>
              <w:t>Elastic multi-Petabyte expansion</w:t>
            </w:r>
          </w:p>
        </w:tc>
        <w:tc>
          <w:tcPr>
            <w:tcW w:type="dxa" w:w="2592"/>
            <w:shd w:fill="FFFFFF"/>
            <w:tcMar>
              <w:top w:w="100" w:type="dxa"/>
              <w:bottom w:w="100" w:type="dxa"/>
              <w:left w:w="180" w:type="dxa"/>
              <w:right w:w="180" w:type="dxa"/>
            </w:tcMar>
          </w:tcPr>
          <w:p>
            <w:r>
              <w:rPr>
                <w:rFonts w:ascii="Times New Roman" w:hAnsi="Times New Roman"/>
                <w:color w:val="1E293B"/>
                <w:sz w:val="20"/>
              </w:rPr>
              <w:t>Near-infinite global namespace</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Cost Structure</w:t>
            </w:r>
          </w:p>
        </w:tc>
        <w:tc>
          <w:tcPr>
            <w:tcW w:type="dxa" w:w="2448"/>
            <w:shd w:fill="F1F5F9"/>
            <w:tcMar>
              <w:top w:w="100" w:type="dxa"/>
              <w:bottom w:w="100" w:type="dxa"/>
              <w:left w:w="180" w:type="dxa"/>
              <w:right w:w="180" w:type="dxa"/>
            </w:tcMar>
          </w:tcPr>
          <w:p>
            <w:r>
              <w:rPr>
                <w:rFonts w:ascii="Times New Roman" w:hAnsi="Times New Roman"/>
                <w:color w:val="1E293B"/>
                <w:sz w:val="20"/>
              </w:rPr>
              <w:t>High ($/GB/Month + Provisioned IOPS)</w:t>
            </w:r>
          </w:p>
        </w:tc>
        <w:tc>
          <w:tcPr>
            <w:tcW w:type="dxa" w:w="2448"/>
            <w:shd w:fill="F1F5F9"/>
            <w:tcMar>
              <w:top w:w="100" w:type="dxa"/>
              <w:bottom w:w="100" w:type="dxa"/>
              <w:left w:w="180" w:type="dxa"/>
              <w:right w:w="180" w:type="dxa"/>
            </w:tcMar>
          </w:tcPr>
          <w:p>
            <w:r>
              <w:rPr>
                <w:rFonts w:ascii="Times New Roman" w:hAnsi="Times New Roman"/>
                <w:color w:val="1E293B"/>
                <w:sz w:val="20"/>
              </w:rPr>
              <w:t>Moderate ($/GB/Month + Access)</w:t>
            </w:r>
          </w:p>
        </w:tc>
        <w:tc>
          <w:tcPr>
            <w:tcW w:type="dxa" w:w="2592"/>
            <w:shd w:fill="F1F5F9"/>
            <w:tcMar>
              <w:top w:w="100" w:type="dxa"/>
              <w:bottom w:w="100" w:type="dxa"/>
              <w:left w:w="180" w:type="dxa"/>
              <w:right w:w="180" w:type="dxa"/>
            </w:tcMar>
          </w:tcPr>
          <w:p>
            <w:r>
              <w:rPr>
                <w:rFonts w:ascii="Times New Roman" w:hAnsi="Times New Roman"/>
                <w:color w:val="1E293B"/>
                <w:sz w:val="20"/>
              </w:rPr>
              <w:t>Very Low ($/GB/Month + Lifecycle)</w:t>
            </w:r>
          </w:p>
        </w:tc>
      </w:tr>
    </w:tbl>
    <w:p/>
    <w:p>
      <w:pPr>
        <w:keepNext/>
        <w:spacing w:before="200" w:after="80"/>
      </w:pPr>
      <w:r>
        <w:rPr>
          <w:rFonts w:ascii="Times New Roman" w:hAnsi="Times New Roman"/>
          <w:b/>
          <w:color w:val="1E293B"/>
          <w:sz w:val="22"/>
        </w:rPr>
        <w:t>Table 1.2: Enterprise Workload Selection &amp; Technical Justification</w:t>
      </w:r>
    </w:p>
    <w:tbl>
      <w:tblPr>
        <w:tblW w:type="auto" w:w="0"/>
        <w:jc w:val="center"/>
        <w:tblLook w:firstColumn="1" w:firstRow="1" w:lastColumn="0" w:lastRow="0" w:noHBand="0" w:noVBand="1" w:val="04A0"/>
        <w:tblBorders>
          <w:top w:val="single" w:sz="6" w:space="0" w:color="1D4ED8"/>
          <w:left w:val="none"/>
          <w:bottom w:val="single" w:sz="10" w:space="0" w:color="1D4ED8"/>
          <w:right w:val="none"/>
          <w:insideH w:val="single" w:sz="4" w:space="0" w:color="CBD5E1"/>
          <w:insideV w:val="none"/>
        </w:tblBorders>
      </w:tblPr>
      <w:tblGrid>
        <w:gridCol w:w="3216"/>
        <w:gridCol w:w="3216"/>
        <w:gridCol w:w="3216"/>
      </w:tblGrid>
      <w:tr>
        <w:trPr>
          <w:cantSplit/>
          <w:tblHeader/>
        </w:trPr>
        <w:tc>
          <w:tcPr>
            <w:tcW w:type="dxa" w:w="2592"/>
            <w:shd w:fill="1D4ED8"/>
            <w:tcMar>
              <w:top w:w="140" w:type="dxa"/>
              <w:bottom w:w="140" w:type="dxa"/>
              <w:left w:w="180" w:type="dxa"/>
              <w:right w:w="180" w:type="dxa"/>
            </w:tcMar>
          </w:tcPr>
          <w:p>
            <w:pPr>
              <w:jc w:val="left"/>
            </w:pPr>
            <w:r>
              <w:rPr>
                <w:rFonts w:ascii="Times New Roman" w:hAnsi="Times New Roman"/>
                <w:b/>
                <w:color w:val="FFFFFF"/>
                <w:sz w:val="21"/>
              </w:rPr>
              <w:t>Enterprise Workload</w:t>
            </w:r>
          </w:p>
        </w:tc>
        <w:tc>
          <w:tcPr>
            <w:tcW w:type="dxa" w:w="2448"/>
            <w:shd w:fill="1D4ED8"/>
            <w:tcMar>
              <w:top w:w="140" w:type="dxa"/>
              <w:bottom w:w="140" w:type="dxa"/>
              <w:left w:w="180" w:type="dxa"/>
              <w:right w:w="180" w:type="dxa"/>
            </w:tcMar>
          </w:tcPr>
          <w:p>
            <w:pPr>
              <w:jc w:val="left"/>
            </w:pPr>
            <w:r>
              <w:rPr>
                <w:rFonts w:ascii="Times New Roman" w:hAnsi="Times New Roman"/>
                <w:b/>
                <w:color w:val="FFFFFF"/>
                <w:sz w:val="21"/>
              </w:rPr>
              <w:t>Optimal Storage Model</w:t>
            </w:r>
          </w:p>
        </w:tc>
        <w:tc>
          <w:tcPr>
            <w:tcW w:type="dxa" w:w="4608"/>
            <w:shd w:fill="1D4ED8"/>
            <w:tcMar>
              <w:top w:w="140" w:type="dxa"/>
              <w:bottom w:w="140" w:type="dxa"/>
              <w:left w:w="180" w:type="dxa"/>
              <w:right w:w="180" w:type="dxa"/>
            </w:tcMar>
          </w:tcPr>
          <w:p>
            <w:pPr>
              <w:jc w:val="left"/>
            </w:pPr>
            <w:r>
              <w:rPr>
                <w:rFonts w:ascii="Times New Roman" w:hAnsi="Times New Roman"/>
                <w:b/>
                <w:color w:val="FFFFFF"/>
                <w:sz w:val="21"/>
              </w:rPr>
              <w:t>Technical Architectural Justification</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20"/>
              </w:rPr>
              <w:t>Database Virtual Machine Disks</w:t>
              <w:br/>
              <w:t>(OS Boot &amp; Transaction Logs)</w:t>
            </w:r>
          </w:p>
        </w:tc>
        <w:tc>
          <w:tcPr>
            <w:tcW w:type="dxa" w:w="2448"/>
            <w:shd w:fill="FFFFFF"/>
            <w:tcMar>
              <w:top w:w="100" w:type="dxa"/>
              <w:bottom w:w="100" w:type="dxa"/>
              <w:left w:w="180" w:type="dxa"/>
              <w:right w:w="180" w:type="dxa"/>
            </w:tcMar>
          </w:tcPr>
          <w:p>
            <w:r>
              <w:rPr>
                <w:rFonts w:ascii="Times New Roman" w:hAnsi="Times New Roman"/>
                <w:color w:val="1E293B"/>
                <w:sz w:val="20"/>
              </w:rPr>
              <w:t>Block Storage</w:t>
              <w:br/>
              <w:t>[AWS EBS io2 Block]</w:t>
            </w:r>
          </w:p>
        </w:tc>
        <w:tc>
          <w:tcPr>
            <w:tcW w:type="dxa" w:w="4608"/>
            <w:shd w:fill="FFFFFF"/>
            <w:tcMar>
              <w:top w:w="100" w:type="dxa"/>
              <w:bottom w:w="100" w:type="dxa"/>
              <w:left w:w="180" w:type="dxa"/>
              <w:right w:w="180" w:type="dxa"/>
            </w:tcMar>
          </w:tcPr>
          <w:p>
            <w:r>
              <w:rPr>
                <w:rFonts w:ascii="Times New Roman" w:hAnsi="Times New Roman"/>
                <w:color w:val="1E293B"/>
                <w:sz w:val="20"/>
              </w:rPr>
              <w:t>Database workloads require high-frequency, low-latency sub-millisecond block operations. Raw block volumes allow direct file system control by relational database engines (PostgreSQL/Oracle) without network protocol serialization overhead.</w:t>
            </w:r>
          </w:p>
        </w:tc>
      </w:tr>
      <w:tr>
        <w:trPr>
          <w:cantSplit/>
        </w:trPr>
        <w:tc>
          <w:tcPr>
            <w:tcW w:type="dxa" w:w="2592"/>
            <w:shd w:fill="F1F5F9"/>
            <w:tcMar>
              <w:top w:w="100" w:type="dxa"/>
              <w:bottom w:w="100" w:type="dxa"/>
              <w:left w:w="180" w:type="dxa"/>
              <w:right w:w="180" w:type="dxa"/>
            </w:tcMar>
          </w:tcPr>
          <w:p>
            <w:r>
              <w:rPr>
                <w:rFonts w:ascii="Times New Roman" w:hAnsi="Times New Roman"/>
                <w:color w:val="1E293B"/>
                <w:sz w:val="20"/>
              </w:rPr>
              <w:t>Automated System Backups &amp;</w:t>
              <w:br/>
              <w:t>Disaster Recovery Snapshots</w:t>
            </w:r>
          </w:p>
        </w:tc>
        <w:tc>
          <w:tcPr>
            <w:tcW w:type="dxa" w:w="2448"/>
            <w:shd w:fill="F1F5F9"/>
            <w:tcMar>
              <w:top w:w="100" w:type="dxa"/>
              <w:bottom w:w="100" w:type="dxa"/>
              <w:left w:w="180" w:type="dxa"/>
              <w:right w:w="180" w:type="dxa"/>
            </w:tcMar>
          </w:tcPr>
          <w:p>
            <w:r>
              <w:rPr>
                <w:rFonts w:ascii="Times New Roman" w:hAnsi="Times New Roman"/>
                <w:color w:val="1E293B"/>
                <w:sz w:val="20"/>
              </w:rPr>
              <w:t>Object Storage</w:t>
              <w:br/>
              <w:t>[AWS S3 Glacier]</w:t>
            </w:r>
          </w:p>
        </w:tc>
        <w:tc>
          <w:tcPr>
            <w:tcW w:type="dxa" w:w="4608"/>
            <w:shd w:fill="F1F5F9"/>
            <w:tcMar>
              <w:top w:w="100" w:type="dxa"/>
              <w:bottom w:w="100" w:type="dxa"/>
              <w:left w:w="180" w:type="dxa"/>
              <w:right w:w="180" w:type="dxa"/>
            </w:tcMar>
          </w:tcPr>
          <w:p>
            <w:r>
              <w:rPr>
                <w:rFonts w:ascii="Times New Roman" w:hAnsi="Times New Roman"/>
                <w:color w:val="1E293B"/>
                <w:sz w:val="20"/>
              </w:rPr>
              <w:t>Backups consist of static, write-once read-seldom unstructured objects. Object storage offers near-infinite elasticity, 99.999999999% (11 9's) durability, Object Lock (WORM) for ransomware immutability, and lifecycle tiering to Glacier for minimal cost.</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20"/>
              </w:rPr>
              <w:t>Shared Corporate Document</w:t>
              <w:br/>
              <w:t>Repositories &amp; User Directories</w:t>
            </w:r>
          </w:p>
        </w:tc>
        <w:tc>
          <w:tcPr>
            <w:tcW w:type="dxa" w:w="2448"/>
            <w:shd w:fill="FFFFFF"/>
            <w:tcMar>
              <w:top w:w="100" w:type="dxa"/>
              <w:bottom w:w="100" w:type="dxa"/>
              <w:left w:w="180" w:type="dxa"/>
              <w:right w:w="180" w:type="dxa"/>
            </w:tcMar>
          </w:tcPr>
          <w:p>
            <w:r>
              <w:rPr>
                <w:rFonts w:ascii="Times New Roman" w:hAnsi="Times New Roman"/>
                <w:color w:val="1E293B"/>
                <w:sz w:val="20"/>
              </w:rPr>
              <w:t>File Storage</w:t>
              <w:br/>
              <w:t>[AWS EFS Repository]</w:t>
            </w:r>
          </w:p>
        </w:tc>
        <w:tc>
          <w:tcPr>
            <w:tcW w:type="dxa" w:w="4608"/>
            <w:shd w:fill="FFFFFF"/>
            <w:tcMar>
              <w:top w:w="100" w:type="dxa"/>
              <w:bottom w:w="100" w:type="dxa"/>
              <w:left w:w="180" w:type="dxa"/>
              <w:right w:w="180" w:type="dxa"/>
            </w:tcMar>
          </w:tcPr>
          <w:p>
            <w:r>
              <w:rPr>
                <w:rFonts w:ascii="Times New Roman" w:hAnsi="Times New Roman"/>
                <w:color w:val="1E293B"/>
                <w:sz w:val="20"/>
              </w:rPr>
              <w:t>Corporate document management requires native POSIX compliance, file locking mechanisms, and concurrent read/write mounting across thousands of compute instances simultaneously over standard SMB/NFS protocols.</w:t>
            </w:r>
          </w:p>
        </w:tc>
      </w:tr>
    </w:tbl>
    <w:p>
      <w:pPr>
        <w:keepNext/>
        <w:spacing w:before="280" w:after="120"/>
      </w:pPr>
      <w:r>
        <w:rPr>
          <w:rFonts w:ascii="Times New Roman" w:hAnsi="Times New Roman"/>
          <w:b/>
          <w:color w:val="008080"/>
          <w:sz w:val="25"/>
        </w:rPr>
        <w:t>4. Conclusion</w:t>
      </w:r>
    </w:p>
    <w:p>
      <w:r>
        <w:t>The comparative analysis confirms that cloud storage selection depends directly on workload performance requirements. Block storage provides the ultra-low latency and high IOPS required by virtualized database engines. File storage satisfies multi-instance shared access requirements over standard file protocols. Object storage delivers the durability, cost-efficiency, and scale needed for long-term automated backups.</w:t>
      </w:r>
    </w:p>
    <w:p>
      <w:r>
        <w:br w:type="page"/>
      </w:r>
    </w:p>
    <w:p>
      <w:pPr>
        <w:keepNext/>
        <w:spacing w:before="400" w:after="160"/>
      </w:pPr>
      <w:r>
        <w:rPr>
          <w:rFonts w:ascii="Times New Roman" w:hAnsi="Times New Roman"/>
          <w:b/>
          <w:color w:val="1B365D"/>
          <w:sz w:val="30"/>
        </w:rPr>
        <w:t>EXPERIMENT 2: Student Portal REST API Architecture &amp; Security Workflow</w:t>
      </w:r>
    </w:p>
    <w:tbl>
      <w:tblPr>
        <w:tblW w:type="auto" w:w="0"/>
        <w:jc w:val="center"/>
        <w:tblLook w:firstColumn="1" w:firstRow="1" w:lastColumn="0" w:lastRow="0" w:noHBand="0" w:noVBand="1" w:val="04A0"/>
      </w:tblPr>
      <w:tblGrid>
        <w:gridCol w:w="9648"/>
      </w:tblGrid>
      <w:tr>
        <w:tc>
          <w:tcPr>
            <w:tcW w:type="dxa" w:w="9648"/>
            <w:shd w:fill="ECFDF5"/>
            <w:tcMar>
              <w:top w:w="140" w:type="dxa"/>
              <w:bottom w:w="140" w:type="dxa"/>
              <w:left w:w="200" w:type="dxa"/>
              <w:right w:w="200" w:type="dxa"/>
            </w:tcMar>
            <w:tcBorders>
              <w:top w:val="none"/>
              <w:left w:val="single" w:sz="24" w:space="0" w:color="059669"/>
              <w:bottom w:val="none"/>
              <w:right w:val="none"/>
            </w:tcBorders>
          </w:tcPr>
          <w:p>
            <w:pPr>
              <w:spacing w:after="40"/>
            </w:pPr>
            <w:r>
              <w:rPr>
                <w:rFonts w:ascii="Times New Roman" w:hAnsi="Times New Roman"/>
                <w:b/>
                <w:color w:val="059669"/>
                <w:sz w:val="21"/>
              </w:rPr>
              <w:t>OBJECTIVE: REST API Workflow, Authentication &amp; Automated CI/CD Deployment</w:t>
              <w:br/>
            </w:r>
            <w:r>
              <w:rPr>
                <w:rFonts w:ascii="Times New Roman" w:hAnsi="Times New Roman"/>
                <w:color w:val="334155"/>
                <w:sz w:val="20"/>
              </w:rPr>
              <w:t>Develop and document a REST API workflow for a cloud-based student information portal. Show complete request and response specifications, OAuth2 / JSON Web Token (JWT) bearer security authentication flow, gateway path routing, error handling status codes, and containerized CI/CD deployment logic.</w:t>
            </w:r>
          </w:p>
        </w:tc>
      </w:tr>
    </w:tbl>
    <w:p/>
    <w:p>
      <w:pPr>
        <w:keepNext/>
        <w:spacing w:before="280" w:after="120"/>
      </w:pPr>
      <w:r>
        <w:rPr>
          <w:rFonts w:ascii="Times New Roman" w:hAnsi="Times New Roman"/>
          <w:b/>
          <w:color w:val="008080"/>
          <w:sz w:val="25"/>
        </w:rPr>
        <w:t>1. Architectural System Sketch &amp; API Lifecycle</w:t>
      </w:r>
    </w:p>
    <w:p>
      <w:r>
        <w:t>The cloud-based student portal utilizes a stateless RESTful microservices architecture hosted behind an API Gateway. All client requests are authenticated using RSA-signed JSON Web Tokens (JWT). The API Gateway intercepts incoming requests, validates tokens against an identity provider (Amazon Cognito / OAuth2 Server), and routes valid calls to backend microservices running on containerized compute clusters.</w:t>
      </w:r>
    </w:p>
    <w:p>
      <w:pPr>
        <w:jc w:val="center"/>
      </w:pPr>
      <w:r>
        <w:drawing>
          <wp:inline xmlns:a="http://schemas.openxmlformats.org/drawingml/2006/main" xmlns:pic="http://schemas.openxmlformats.org/drawingml/2006/picture">
            <wp:extent cx="5943600" cy="3106303"/>
            <wp:docPr id="2" name="Picture 2"/>
            <wp:cNvGraphicFramePr>
              <a:graphicFrameLocks noChangeAspect="1"/>
            </wp:cNvGraphicFramePr>
            <a:graphic>
              <a:graphicData uri="http://schemas.openxmlformats.org/drawingml/2006/picture">
                <pic:pic>
                  <pic:nvPicPr>
                    <pic:cNvPr id="0" name="exp2_api_workflow.png"/>
                    <pic:cNvPicPr/>
                  </pic:nvPicPr>
                  <pic:blipFill>
                    <a:blip r:embed="rId10"/>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2.1: Student Portal REST API Architecture, Auth Security Flow &amp; CI/CD Deployment Pipeline</w:t>
      </w:r>
    </w:p>
    <w:p>
      <w:pPr>
        <w:keepNext/>
        <w:spacing w:before="280" w:after="120"/>
      </w:pPr>
      <w:r>
        <w:rPr>
          <w:rFonts w:ascii="Times New Roman" w:hAnsi="Times New Roman"/>
          <w:b/>
          <w:color w:val="008080"/>
          <w:sz w:val="25"/>
        </w:rPr>
        <w:t>2. Implementation Procedure</w:t>
      </w:r>
    </w:p>
    <w:p>
      <w:r>
        <w:t>1. REST Endpoint &amp; Resource Modeling: Modeled student profile resources following strict OpenAPI 3.0 conventions using resource-oriented URIs.</w:t>
        <w:br/>
        <w:t>2. Token-Based Authentication Configuration: Implemented OAuth2 Resource Owner Password / JWT Bearer flow. Configured API Gateway Authorizer to verify JWT signatures, expiration claims, and scope privileges.</w:t>
        <w:br/>
        <w:t>3. Microservice Payload Contract Definition: Drafted JSON schemas for client login requests, authentication responses, and student profile retrieval calls.</w:t>
        <w:br/>
        <w:t>4. CI/CD Deployment Pipeline Configuration: Formulated a GitHub Actions workflow that executes unit tests, builds Docker container images, pushes artifacts to Amazon Elastic Container Registry (ECR), and performs rolling deployments to ECS.</w:t>
      </w:r>
    </w:p>
    <w:p>
      <w:pPr>
        <w:keepNext/>
        <w:spacing w:before="280" w:after="120"/>
      </w:pPr>
      <w:r>
        <w:rPr>
          <w:rFonts w:ascii="Times New Roman" w:hAnsi="Times New Roman"/>
          <w:b/>
          <w:color w:val="008080"/>
          <w:sz w:val="25"/>
        </w:rPr>
        <w:t>3. Expected Technical Output &amp; API Specifications</w:t>
      </w:r>
    </w:p>
    <w:p>
      <w:pPr>
        <w:keepNext/>
        <w:spacing w:before="160" w:after="40"/>
      </w:pPr>
      <w:r>
        <w:rPr>
          <w:rFonts w:ascii="Times New Roman" w:hAnsi="Times New Roman"/>
          <w:b/>
          <w:color w:val="008080"/>
          <w:sz w:val="20"/>
        </w:rPr>
        <w:t>Listing 2.1: Authentication Request Payload (POST /api/v1/auth/login)</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POST /api/v1/auth/login HTTP/1.1</w:t>
              <w:br/>
              <w:t>Host: api.studentportal.simats.edu</w:t>
              <w:br/>
              <w:t>Content-Type: application/json</w:t>
              <w:br/>
              <w:br/>
              <w:t>{</w:t>
              <w:br/>
              <w:t xml:space="preserve">  "username": "192511481",</w:t>
              <w:br/>
              <w:t xml:space="preserve">  "password": "SecureStudentPassword2026!",</w:t>
              <w:br/>
              <w:t xml:space="preserve">  "grant_type": "password"</w:t>
              <w:br/>
              <w:t>}</w:t>
            </w:r>
          </w:p>
        </w:tc>
      </w:tr>
    </w:tbl>
    <w:p/>
    <w:p>
      <w:pPr>
        <w:keepNext/>
        <w:spacing w:before="160" w:after="40"/>
      </w:pPr>
      <w:r>
        <w:rPr>
          <w:rFonts w:ascii="Times New Roman" w:hAnsi="Times New Roman"/>
          <w:b/>
          <w:color w:val="008080"/>
          <w:sz w:val="20"/>
        </w:rPr>
        <w:t>Listing 2.2: Authentication Successful Response Payload (200 OK)</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HTTP/1.1 200 OK</w:t>
              <w:br/>
              <w:t>Content-Type: application/json</w:t>
              <w:br/>
              <w:t>Cache-Control: no-store</w:t>
              <w:br/>
              <w:br/>
              <w:t>{</w:t>
              <w:br/>
              <w:t xml:space="preserve">  "status": "success",</w:t>
              <w:br/>
              <w:t xml:space="preserve">  "code": 200,</w:t>
              <w:br/>
              <w:t xml:space="preserve">  "data": {</w:t>
              <w:br/>
              <w:t xml:space="preserve">    "token_type": "Bearer",</w:t>
              <w:br/>
              <w:t xml:space="preserve">    "access_token": "eyJhbGciOiJSUzI1NiIsInR5cCI6IkpXVCJ9.eyJzdWIiOiIxOTI1MTE0ODEiLCJuYW1lIjoiVmlubyBBbGRyaW4gRSIsImluc3RpdHV0aW9uIjoiU0lNQVRTIiwicm9sZXMiOlsic3R1ZGVudCJdLCJpYXQiOjE3NzEwMTc2MDAsImV4cCI6MTc3MTAyMTIwMH0.SignatureVerifiedSample",</w:t>
              <w:br/>
              <w:t xml:space="preserve">    "expires_in": 3600,</w:t>
              <w:br/>
              <w:t xml:space="preserve">    "refresh_token": "rF9x2K1mP8zL0..."</w:t>
              <w:br/>
              <w:t xml:space="preserve">  }</w:t>
              <w:br/>
              <w:t>}</w:t>
            </w:r>
          </w:p>
        </w:tc>
      </w:tr>
    </w:tbl>
    <w:p/>
    <w:p>
      <w:pPr>
        <w:keepNext/>
        <w:spacing w:before="160" w:after="40"/>
      </w:pPr>
      <w:r>
        <w:rPr>
          <w:rFonts w:ascii="Times New Roman" w:hAnsi="Times New Roman"/>
          <w:b/>
          <w:color w:val="008080"/>
          <w:sz w:val="20"/>
        </w:rPr>
        <w:t>Listing 2.3: Student Profile Resource API Request &amp; Response Schema</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GET /api/v1/students/192511481/profile HTTP/1.1</w:t>
              <w:br/>
              <w:t>Host: api.studentportal.simats.edu</w:t>
              <w:br/>
              <w:t>Authorization: Bearer eyJhbGciOiJSUzI1NiIsInR5cCI6IkpXVCJ9...</w:t>
              <w:br/>
              <w:t>Accept: application/json</w:t>
              <w:br/>
              <w:br/>
              <w:t>--- RESPONSE (HTTP/1.1 200 OK) ---</w:t>
              <w:br/>
              <w:t>{</w:t>
              <w:br/>
              <w:t xml:space="preserve">  "status": "success",</w:t>
              <w:br/>
              <w:t xml:space="preserve">  "data": {</w:t>
              <w:br/>
              <w:t xml:space="preserve">    "student_id": "192511481",</w:t>
              <w:br/>
              <w:t xml:space="preserve">    "full_name": "Vino Aldrin E",</w:t>
              <w:br/>
              <w:t xml:space="preserve">    "institution": "Saveetha School of Engineering (SIMATS), Chennai",</w:t>
              <w:br/>
              <w:t xml:space="preserve">    "course_code": "CSA1516",</w:t>
              <w:br/>
              <w:t xml:space="preserve">    "course_name": "Cloud Computing and Big Data Analytics",</w:t>
              <w:br/>
              <w:t xml:space="preserve">    "faculty_advisor": "Dr. Santhiya Lakshmi Kumaravel",</w:t>
              <w:br/>
              <w:t xml:space="preserve">    "academic_details": {</w:t>
              <w:br/>
              <w:t xml:space="preserve">      "semester": 6,</w:t>
              <w:br/>
              <w:t xml:space="preserve">      "cgpa": 3.91,</w:t>
              <w:br/>
              <w:t xml:space="preserve">      "credits_earned": 112,</w:t>
              <w:br/>
              <w:t xml:space="preserve">      "status": "Enrolled"</w:t>
              <w:br/>
              <w:t xml:space="preserve">    }</w:t>
              <w:br/>
              <w:t xml:space="preserve">  }</w:t>
              <w:br/>
              <w:t>}</w:t>
            </w:r>
          </w:p>
        </w:tc>
      </w:tr>
    </w:tbl>
    <w:p/>
    <w:p>
      <w:pPr>
        <w:keepNext/>
        <w:spacing w:before="200" w:after="80"/>
      </w:pPr>
      <w:r>
        <w:rPr>
          <w:rFonts w:ascii="Times New Roman" w:hAnsi="Times New Roman"/>
          <w:b/>
          <w:color w:val="1E293B"/>
          <w:sz w:val="22"/>
        </w:rPr>
        <w:t>Table 2.1: REST API Error Handling &amp; HTTP Status Code Mapping</w:t>
      </w:r>
    </w:p>
    <w:tbl>
      <w:tblPr>
        <w:tblW w:type="auto" w:w="0"/>
        <w:jc w:val="center"/>
        <w:tblLook w:firstColumn="1" w:firstRow="1" w:lastColumn="0" w:lastRow="0" w:noHBand="0" w:noVBand="1" w:val="04A0"/>
        <w:tblBorders>
          <w:top w:val="single" w:sz="6" w:space="0" w:color="059669"/>
          <w:left w:val="none"/>
          <w:bottom w:val="single" w:sz="10" w:space="0" w:color="059669"/>
          <w:right w:val="none"/>
          <w:insideH w:val="single" w:sz="4" w:space="0" w:color="CBD5E1"/>
          <w:insideV w:val="none"/>
        </w:tblBorders>
      </w:tblPr>
      <w:tblGrid>
        <w:gridCol w:w="3216"/>
        <w:gridCol w:w="3216"/>
        <w:gridCol w:w="3216"/>
      </w:tblGrid>
      <w:tr>
        <w:trPr>
          <w:cantSplit/>
          <w:tblHeader/>
        </w:trPr>
        <w:tc>
          <w:tcPr>
            <w:tcW w:type="dxa" w:w="2160"/>
            <w:shd w:fill="059669"/>
            <w:tcMar>
              <w:top w:w="140" w:type="dxa"/>
              <w:bottom w:w="140" w:type="dxa"/>
              <w:left w:w="180" w:type="dxa"/>
              <w:right w:w="180" w:type="dxa"/>
            </w:tcMar>
          </w:tcPr>
          <w:p>
            <w:pPr>
              <w:jc w:val="left"/>
            </w:pPr>
            <w:r>
              <w:rPr>
                <w:rFonts w:ascii="Times New Roman" w:hAnsi="Times New Roman"/>
                <w:b/>
                <w:color w:val="FFFFFF"/>
                <w:sz w:val="21"/>
              </w:rPr>
              <w:t>HTTP Status Code</w:t>
            </w:r>
          </w:p>
        </w:tc>
        <w:tc>
          <w:tcPr>
            <w:tcW w:type="dxa" w:w="3312"/>
            <w:shd w:fill="059669"/>
            <w:tcMar>
              <w:top w:w="140" w:type="dxa"/>
              <w:bottom w:w="140" w:type="dxa"/>
              <w:left w:w="180" w:type="dxa"/>
              <w:right w:w="180" w:type="dxa"/>
            </w:tcMar>
          </w:tcPr>
          <w:p>
            <w:pPr>
              <w:jc w:val="left"/>
            </w:pPr>
            <w:r>
              <w:rPr>
                <w:rFonts w:ascii="Times New Roman" w:hAnsi="Times New Roman"/>
                <w:b/>
                <w:color w:val="FFFFFF"/>
                <w:sz w:val="21"/>
              </w:rPr>
              <w:t>API Error Condition</w:t>
            </w:r>
          </w:p>
        </w:tc>
        <w:tc>
          <w:tcPr>
            <w:tcW w:type="dxa" w:w="4176"/>
            <w:shd w:fill="059669"/>
            <w:tcMar>
              <w:top w:w="140" w:type="dxa"/>
              <w:bottom w:w="140" w:type="dxa"/>
              <w:left w:w="180" w:type="dxa"/>
              <w:right w:w="180" w:type="dxa"/>
            </w:tcMar>
          </w:tcPr>
          <w:p>
            <w:pPr>
              <w:jc w:val="left"/>
            </w:pPr>
            <w:r>
              <w:rPr>
                <w:rFonts w:ascii="Times New Roman" w:hAnsi="Times New Roman"/>
                <w:b/>
                <w:color w:val="FFFFFF"/>
                <w:sz w:val="21"/>
              </w:rPr>
              <w:t>Client Handling &amp; Remediation Action</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400 Bad Request</w:t>
            </w:r>
          </w:p>
        </w:tc>
        <w:tc>
          <w:tcPr>
            <w:tcW w:type="dxa" w:w="3312"/>
            <w:shd w:fill="FFFFFF"/>
            <w:tcMar>
              <w:top w:w="100" w:type="dxa"/>
              <w:bottom w:w="100" w:type="dxa"/>
              <w:left w:w="180" w:type="dxa"/>
              <w:right w:w="180" w:type="dxa"/>
            </w:tcMar>
          </w:tcPr>
          <w:p>
            <w:r>
              <w:rPr>
                <w:rFonts w:ascii="Times New Roman" w:hAnsi="Times New Roman"/>
                <w:color w:val="1E293B"/>
                <w:sz w:val="20"/>
              </w:rPr>
              <w:t>Invalid JSON format or missing mandatory request body fields.</w:t>
            </w:r>
          </w:p>
        </w:tc>
        <w:tc>
          <w:tcPr>
            <w:tcW w:type="dxa" w:w="4176"/>
            <w:shd w:fill="FFFFFF"/>
            <w:tcMar>
              <w:top w:w="100" w:type="dxa"/>
              <w:bottom w:w="100" w:type="dxa"/>
              <w:left w:w="180" w:type="dxa"/>
              <w:right w:w="180" w:type="dxa"/>
            </w:tcMar>
          </w:tcPr>
          <w:p>
            <w:r>
              <w:rPr>
                <w:rFonts w:ascii="Times New Roman" w:hAnsi="Times New Roman"/>
                <w:color w:val="1E293B"/>
                <w:sz w:val="20"/>
              </w:rPr>
              <w:t>Client must validate request payload schema prior to transmission.</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401 Unauthorized</w:t>
            </w:r>
          </w:p>
        </w:tc>
        <w:tc>
          <w:tcPr>
            <w:tcW w:type="dxa" w:w="3312"/>
            <w:shd w:fill="F1F5F9"/>
            <w:tcMar>
              <w:top w:w="100" w:type="dxa"/>
              <w:bottom w:w="100" w:type="dxa"/>
              <w:left w:w="180" w:type="dxa"/>
              <w:right w:w="180" w:type="dxa"/>
            </w:tcMar>
          </w:tcPr>
          <w:p>
            <w:r>
              <w:rPr>
                <w:rFonts w:ascii="Times New Roman" w:hAnsi="Times New Roman"/>
                <w:color w:val="1E293B"/>
                <w:sz w:val="20"/>
              </w:rPr>
              <w:t>Missing, expired, or invalid JWT authorization bearer token.</w:t>
            </w:r>
          </w:p>
        </w:tc>
        <w:tc>
          <w:tcPr>
            <w:tcW w:type="dxa" w:w="4176"/>
            <w:shd w:fill="F1F5F9"/>
            <w:tcMar>
              <w:top w:w="100" w:type="dxa"/>
              <w:bottom w:w="100" w:type="dxa"/>
              <w:left w:w="180" w:type="dxa"/>
              <w:right w:w="180" w:type="dxa"/>
            </w:tcMar>
          </w:tcPr>
          <w:p>
            <w:r>
              <w:rPr>
                <w:rFonts w:ascii="Times New Roman" w:hAnsi="Times New Roman"/>
                <w:color w:val="1E293B"/>
                <w:sz w:val="20"/>
              </w:rPr>
              <w:t>Client must initiate token refresh workflow or prompt user for re-authentication.</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403 Forbidden</w:t>
            </w:r>
          </w:p>
        </w:tc>
        <w:tc>
          <w:tcPr>
            <w:tcW w:type="dxa" w:w="3312"/>
            <w:shd w:fill="FFFFFF"/>
            <w:tcMar>
              <w:top w:w="100" w:type="dxa"/>
              <w:bottom w:w="100" w:type="dxa"/>
              <w:left w:w="180" w:type="dxa"/>
              <w:right w:w="180" w:type="dxa"/>
            </w:tcMar>
          </w:tcPr>
          <w:p>
            <w:r>
              <w:rPr>
                <w:rFonts w:ascii="Times New Roman" w:hAnsi="Times New Roman"/>
                <w:color w:val="1E293B"/>
                <w:sz w:val="20"/>
              </w:rPr>
              <w:t>Token verified but student lacks administrative privilege for endpoint.</w:t>
            </w:r>
          </w:p>
        </w:tc>
        <w:tc>
          <w:tcPr>
            <w:tcW w:type="dxa" w:w="4176"/>
            <w:shd w:fill="FFFFFF"/>
            <w:tcMar>
              <w:top w:w="100" w:type="dxa"/>
              <w:bottom w:w="100" w:type="dxa"/>
              <w:left w:w="180" w:type="dxa"/>
              <w:right w:w="180" w:type="dxa"/>
            </w:tcMar>
          </w:tcPr>
          <w:p>
            <w:r>
              <w:rPr>
                <w:rFonts w:ascii="Times New Roman" w:hAnsi="Times New Roman"/>
                <w:color w:val="1E293B"/>
                <w:sz w:val="20"/>
              </w:rPr>
              <w:t>Access denied. UI suppresses restricted action controls.</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500 Internal Error</w:t>
            </w:r>
          </w:p>
        </w:tc>
        <w:tc>
          <w:tcPr>
            <w:tcW w:type="dxa" w:w="3312"/>
            <w:shd w:fill="F1F5F9"/>
            <w:tcMar>
              <w:top w:w="100" w:type="dxa"/>
              <w:bottom w:w="100" w:type="dxa"/>
              <w:left w:w="180" w:type="dxa"/>
              <w:right w:w="180" w:type="dxa"/>
            </w:tcMar>
          </w:tcPr>
          <w:p>
            <w:r>
              <w:rPr>
                <w:rFonts w:ascii="Times New Roman" w:hAnsi="Times New Roman"/>
                <w:color w:val="1E293B"/>
                <w:sz w:val="20"/>
              </w:rPr>
              <w:t>Backend database connection timeout or microservice exception.</w:t>
            </w:r>
          </w:p>
        </w:tc>
        <w:tc>
          <w:tcPr>
            <w:tcW w:type="dxa" w:w="4176"/>
            <w:shd w:fill="F1F5F9"/>
            <w:tcMar>
              <w:top w:w="100" w:type="dxa"/>
              <w:bottom w:w="100" w:type="dxa"/>
              <w:left w:w="180" w:type="dxa"/>
              <w:right w:w="180" w:type="dxa"/>
            </w:tcMar>
          </w:tcPr>
          <w:p>
            <w:r>
              <w:rPr>
                <w:rFonts w:ascii="Times New Roman" w:hAnsi="Times New Roman"/>
                <w:color w:val="1E293B"/>
                <w:sz w:val="20"/>
              </w:rPr>
              <w:t>API Gateway returns standardized error payload and triggers CloudWatch alarm.</w:t>
            </w:r>
          </w:p>
        </w:tc>
      </w:tr>
    </w:tbl>
    <w:p>
      <w:pPr>
        <w:keepNext/>
        <w:spacing w:before="280" w:after="120"/>
      </w:pPr>
      <w:r>
        <w:rPr>
          <w:rFonts w:ascii="Times New Roman" w:hAnsi="Times New Roman"/>
          <w:b/>
          <w:color w:val="008080"/>
          <w:sz w:val="25"/>
        </w:rPr>
        <w:t>4. Conclusion</w:t>
      </w:r>
    </w:p>
    <w:p>
      <w:r>
        <w:t>The REST API implementation demonstrates a secure, production-grade microservices architecture. Offloading JWT validation to the cloud API Gateway protects downstream backend services, while structured JSON contracts ensure reliable communication between the client portal and database tiers.</w:t>
      </w:r>
    </w:p>
    <w:p>
      <w:r>
        <w:br w:type="page"/>
      </w:r>
    </w:p>
    <w:p>
      <w:pPr>
        <w:keepNext/>
        <w:spacing w:before="400" w:after="160"/>
      </w:pPr>
      <w:r>
        <w:rPr>
          <w:rFonts w:ascii="Times New Roman" w:hAnsi="Times New Roman"/>
          <w:b/>
          <w:color w:val="1B365D"/>
          <w:sz w:val="30"/>
        </w:rPr>
        <w:t>EXPERIMENT 3: Serverless Event-Driven Image Upload Processing Pipeline</w:t>
      </w:r>
    </w:p>
    <w:tbl>
      <w:tblPr>
        <w:tblW w:type="auto" w:w="0"/>
        <w:jc w:val="center"/>
        <w:tblLook w:firstColumn="1" w:firstRow="1" w:lastColumn="0" w:lastRow="0" w:noHBand="0" w:noVBand="1" w:val="04A0"/>
      </w:tblPr>
      <w:tblGrid>
        <w:gridCol w:w="9648"/>
      </w:tblGrid>
      <w:tr>
        <w:tc>
          <w:tcPr>
            <w:tcW w:type="dxa" w:w="9648"/>
            <w:shd w:fill="F3E8FF"/>
            <w:tcMar>
              <w:top w:w="140" w:type="dxa"/>
              <w:bottom w:w="140" w:type="dxa"/>
              <w:left w:w="200" w:type="dxa"/>
              <w:right w:w="200" w:type="dxa"/>
            </w:tcMar>
            <w:tcBorders>
              <w:top w:val="none"/>
              <w:left w:val="single" w:sz="24" w:space="0" w:color="7C3AED"/>
              <w:bottom w:val="none"/>
              <w:right w:val="none"/>
            </w:tcBorders>
          </w:tcPr>
          <w:p>
            <w:pPr>
              <w:spacing w:after="40"/>
            </w:pPr>
            <w:r>
              <w:rPr>
                <w:rFonts w:ascii="Times New Roman" w:hAnsi="Times New Roman"/>
                <w:b/>
                <w:color w:val="7C3AED"/>
                <w:sz w:val="21"/>
              </w:rPr>
              <w:t>OBJECTIVE: Serverless Image Ingestion, FaaS Processing &amp; Cloud Notification Flow</w:t>
              <w:br/>
            </w:r>
            <w:r>
              <w:rPr>
                <w:rFonts w:ascii="Times New Roman" w:hAnsi="Times New Roman"/>
                <w:color w:val="334155"/>
                <w:sz w:val="20"/>
              </w:rPr>
              <w:t>Architect and document a serverless event-driven image processing workflow. Capture object storage upload events, trigger Function-as-a-Service (AWS Lambda) execution for thumbnail generation and metadata extraction, and issue real-time notifications via Simple Notification Service (SNS).</w:t>
            </w:r>
          </w:p>
        </w:tc>
      </w:tr>
    </w:tbl>
    <w:p/>
    <w:p>
      <w:pPr>
        <w:keepNext/>
        <w:spacing w:before="280" w:after="120"/>
      </w:pPr>
      <w:r>
        <w:rPr>
          <w:rFonts w:ascii="Times New Roman" w:hAnsi="Times New Roman"/>
          <w:b/>
          <w:color w:val="008080"/>
          <w:sz w:val="25"/>
        </w:rPr>
        <w:t>1. Architectural System Sketch &amp; Event Pipeline</w:t>
      </w:r>
    </w:p>
    <w:p>
      <w:r>
        <w:t>Serverless architectures enable event-driven data processing without persistent compute overhead. In this workflow, an image upload to an input S3 bucket generates an asynchronous `s3:ObjectCreated:Put` event. This event invokes an AWS Lambda function that resizes the image, writes image EXIF metadata to Amazon DynamoDB, saves the processed image to an output bucket, and publishes a completion alert to an Amazon SNS topic.</w:t>
      </w:r>
    </w:p>
    <w:p>
      <w:pPr>
        <w:jc w:val="center"/>
      </w:pPr>
      <w:r>
        <w:drawing>
          <wp:inline xmlns:a="http://schemas.openxmlformats.org/drawingml/2006/main" xmlns:pic="http://schemas.openxmlformats.org/drawingml/2006/picture">
            <wp:extent cx="5943600" cy="2944536"/>
            <wp:docPr id="3" name="Picture 3"/>
            <wp:cNvGraphicFramePr>
              <a:graphicFrameLocks noChangeAspect="1"/>
            </wp:cNvGraphicFramePr>
            <a:graphic>
              <a:graphicData uri="http://schemas.openxmlformats.org/drawingml/2006/picture">
                <pic:pic>
                  <pic:nvPicPr>
                    <pic:cNvPr id="0" name="exp3_serverless_event_flow.png"/>
                    <pic:cNvPicPr/>
                  </pic:nvPicPr>
                  <pic:blipFill>
                    <a:blip r:embed="rId11"/>
                    <a:stretch>
                      <a:fillRect/>
                    </a:stretch>
                  </pic:blipFill>
                  <pic:spPr>
                    <a:xfrm>
                      <a:off x="0" y="0"/>
                      <a:ext cx="5943600" cy="2944536"/>
                    </a:xfrm>
                    <a:prstGeom prst="rect"/>
                  </pic:spPr>
                </pic:pic>
              </a:graphicData>
            </a:graphic>
          </wp:inline>
        </w:drawing>
      </w:r>
    </w:p>
    <w:p>
      <w:pPr>
        <w:spacing w:after="240"/>
        <w:jc w:val="center"/>
      </w:pPr>
      <w:r>
        <w:rPr>
          <w:rFonts w:ascii="Times New Roman" w:hAnsi="Times New Roman"/>
          <w:i/>
          <w:color w:val="475569"/>
          <w:sz w:val="19"/>
        </w:rPr>
        <w:t>Figure 3.1: Serverless Event-Driven Image Processing Pipeline Architecture</w:t>
      </w:r>
    </w:p>
    <w:p>
      <w:pPr>
        <w:keepNext/>
        <w:spacing w:before="280" w:after="120"/>
      </w:pPr>
      <w:r>
        <w:rPr>
          <w:rFonts w:ascii="Times New Roman" w:hAnsi="Times New Roman"/>
          <w:b/>
          <w:color w:val="008080"/>
          <w:sz w:val="25"/>
        </w:rPr>
        <w:t>2. Implementation Procedure</w:t>
      </w:r>
    </w:p>
    <w:p>
      <w:r>
        <w:t>1. Storage Bucket Provisioning: Configured two S3 buckets: `simats-raw-image-uploads` and `simats-processed-thumbnails`.</w:t>
        <w:br/>
        <w:t>2. S3 Event Notification Configuration: Configured bucket notification rules targeting Lambda on `s3:ObjectCreated:Put` for `.jpg`, `.png`, and `.webp` extensions.</w:t>
        <w:br/>
        <w:t>3. FaaS Handler Function Deployment: Deployed a Python 3.11 Lambda function utilizing Pillow for image transformation and AWS SDK (Boto3) for S3/DynamoDB/SNS calls.</w:t>
        <w:br/>
        <w:t>4. IAM Execution Role Policy: Attached minimal privilege execution policies allowing `s3:GetObject` on raw bucket, `s3:PutObject` on processed bucket, `dynamodb:PutItem`, and `sns:Publish`.</w:t>
      </w:r>
    </w:p>
    <w:p>
      <w:pPr>
        <w:keepNext/>
        <w:spacing w:before="280" w:after="120"/>
      </w:pPr>
      <w:r>
        <w:rPr>
          <w:rFonts w:ascii="Times New Roman" w:hAnsi="Times New Roman"/>
          <w:b/>
          <w:color w:val="008080"/>
          <w:sz w:val="25"/>
        </w:rPr>
        <w:t>3. Expected Technical Output &amp; Pipeline Traces</w:t>
      </w:r>
    </w:p>
    <w:p>
      <w:pPr>
        <w:keepNext/>
        <w:spacing w:before="160" w:after="40"/>
      </w:pPr>
      <w:r>
        <w:rPr>
          <w:rFonts w:ascii="Times New Roman" w:hAnsi="Times New Roman"/>
          <w:b/>
          <w:color w:val="008080"/>
          <w:sz w:val="20"/>
        </w:rPr>
        <w:t>Listing 3.1: S3 Ingestion Event JSON Payload Received by Lambda Handler</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w:t>
              <w:br/>
              <w:t xml:space="preserve">  "Records": [</w:t>
              <w:br/>
              <w:t xml:space="preserve">    {</w:t>
              <w:br/>
              <w:t xml:space="preserve">      "eventVersion": "2.1",</w:t>
              <w:br/>
              <w:t xml:space="preserve">      "eventSource": "aws:s3",</w:t>
              <w:br/>
              <w:t xml:space="preserve">      "awsRegion": "ap-south-1",</w:t>
              <w:br/>
              <w:t xml:space="preserve">      "eventTime": "2026-08-12T10:15:30.120Z",</w:t>
              <w:br/>
              <w:t xml:space="preserve">      "eventName": "ObjectCreated:Put",</w:t>
              <w:br/>
              <w:t xml:space="preserve">      "s3": {</w:t>
              <w:br/>
              <w:t xml:space="preserve">        "bucket": {</w:t>
              <w:br/>
              <w:t xml:space="preserve">          "name": "simats-raw-image-uploads",</w:t>
              <w:br/>
              <w:t xml:space="preserve">          "arn": "arn:aws:s3:::simats-raw-image-uploads"</w:t>
              <w:br/>
              <w:t xml:space="preserve">        },</w:t>
              <w:br/>
              <w:t xml:space="preserve">        "object": {</w:t>
              <w:br/>
              <w:t xml:space="preserve">          "key": "students/192511481_profile.jpg",</w:t>
              <w:br/>
              <w:t xml:space="preserve">          "size": 4194304,</w:t>
              <w:br/>
              <w:t xml:space="preserve">          "eTag": "d41d8cd98f00b204e9800998ecf8427e"</w:t>
              <w:br/>
              <w:t xml:space="preserve">        }</w:t>
              <w:br/>
              <w:t xml:space="preserve">      }</w:t>
              <w:br/>
              <w:t xml:space="preserve">    }</w:t>
              <w:br/>
              <w:t xml:space="preserve">  ]</w:t>
              <w:br/>
              <w:t>}</w:t>
            </w:r>
          </w:p>
        </w:tc>
      </w:tr>
    </w:tbl>
    <w:p/>
    <w:p>
      <w:pPr>
        <w:keepNext/>
        <w:spacing w:before="160" w:after="40"/>
      </w:pPr>
      <w:r>
        <w:rPr>
          <w:rFonts w:ascii="Times New Roman" w:hAnsi="Times New Roman"/>
          <w:b/>
          <w:color w:val="008080"/>
          <w:sz w:val="20"/>
        </w:rPr>
        <w:t>Listing 3.2: AWS CloudWatch Lambda Execution Log Output Trace</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2026-08-12T10:15:30.250Z START RequestId: f83a19b2-2901-4e89-a210-90a1f2847123</w:t>
              <w:br/>
              <w:t>2026-08-12T10:15:30.310Z INFO [EVENT] Processing Object: students/192511481_profile.jpg (4.00 MB)</w:t>
              <w:br/>
              <w:t>2026-08-12T10:15:30.450Z INFO [RESIZE] Generated 300x300 thumbnail (82 KB) in 140ms</w:t>
              <w:br/>
              <w:t>2026-08-12T10:15:30.580Z INFO [S3_WRITE] Uploaded to 'simats-processed-thumbnails/thumb_192511481_profile.jpg'</w:t>
              <w:br/>
              <w:t>2026-08-12T10:15:30.640Z INFO [DYNAMO_WRITE] Inserted metadata record for Student '192511481'</w:t>
              <w:br/>
              <w:t>2026-08-12T10:15:30.710Z INFO [SNS_PUB] Published dispatch alert to SNS Topic: arn:aws:sns:ap-south-1:123456789:ImageProcessedTopic</w:t>
              <w:br/>
              <w:t>2026-08-12T10:15:30.712Z END RequestId: f83a19b2-2901-4e89-a210-90a1f2847123</w:t>
              <w:br/>
              <w:t>2026-08-12T10:15:30.712Z REPORT RequestId: f83a19b2-2901-4e89-a210-90a1f2847123 Duration: 462.10 ms Billed: 463 ms Memory: 512 MB Max Used: 124 MB</w:t>
            </w:r>
          </w:p>
        </w:tc>
      </w:tr>
    </w:tbl>
    <w:p/>
    <w:p>
      <w:pPr>
        <w:keepNext/>
        <w:spacing w:before="280" w:after="120"/>
      </w:pPr>
      <w:r>
        <w:rPr>
          <w:rFonts w:ascii="Times New Roman" w:hAnsi="Times New Roman"/>
          <w:b/>
          <w:color w:val="008080"/>
          <w:sz w:val="25"/>
        </w:rPr>
        <w:t>4. Conclusion</w:t>
      </w:r>
    </w:p>
    <w:p>
      <w:r>
        <w:t>The serverless event-driven architecture eliminates dedicated server management and idle compute costs. By executing processing logic only when media files are uploaded, the application achieves seamless automatic scaling with sub-second execution times.</w:t>
      </w:r>
    </w:p>
    <w:p>
      <w:r>
        <w:br w:type="page"/>
      </w:r>
    </w:p>
    <w:p>
      <w:pPr>
        <w:keepNext/>
        <w:spacing w:before="400" w:after="160"/>
      </w:pPr>
      <w:r>
        <w:rPr>
          <w:rFonts w:ascii="Times New Roman" w:hAnsi="Times New Roman"/>
          <w:b/>
          <w:color w:val="1B365D"/>
          <w:sz w:val="30"/>
        </w:rPr>
        <w:t>EXPERIMENT 4: Edge Computing vs. Fog Computing for Smart Traffic Systems</w:t>
      </w:r>
    </w:p>
    <w:tbl>
      <w:tblPr>
        <w:tblW w:type="auto" w:w="0"/>
        <w:jc w:val="center"/>
        <w:tblLook w:firstColumn="1" w:firstRow="1" w:lastColumn="0" w:lastRow="0" w:noHBand="0" w:noVBand="1" w:val="04A0"/>
      </w:tblPr>
      <w:tblGrid>
        <w:gridCol w:w="9648"/>
      </w:tblGrid>
      <w:tr>
        <w:tc>
          <w:tcPr>
            <w:tcW w:type="dxa" w:w="9648"/>
            <w:shd w:fill="FFFBEB"/>
            <w:tcMar>
              <w:top w:w="140" w:type="dxa"/>
              <w:bottom w:w="140" w:type="dxa"/>
              <w:left w:w="200" w:type="dxa"/>
              <w:right w:w="200" w:type="dxa"/>
            </w:tcMar>
            <w:tcBorders>
              <w:top w:val="none"/>
              <w:left w:val="single" w:sz="24" w:space="0" w:color="D97706"/>
              <w:bottom w:val="none"/>
              <w:right w:val="none"/>
            </w:tcBorders>
          </w:tcPr>
          <w:p>
            <w:pPr>
              <w:spacing w:after="40"/>
            </w:pPr>
            <w:r>
              <w:rPr>
                <w:rFonts w:ascii="Times New Roman" w:hAnsi="Times New Roman"/>
                <w:b/>
                <w:color w:val="D97706"/>
                <w:sz w:val="21"/>
              </w:rPr>
              <w:t>OBJECTIVE: Multi-Tier Hybrid Edge-Fog-Cloud Architecture &amp; Latency Evaluation</w:t>
              <w:br/>
            </w:r>
            <w:r>
              <w:rPr>
                <w:rFonts w:ascii="Times New Roman" w:hAnsi="Times New Roman"/>
                <w:color w:val="334155"/>
                <w:sz w:val="20"/>
              </w:rPr>
              <w:t>Analyze and compare Edge computing and Fog computing models for an urban Smart Traffic Management System. Evaluate system architecture, processing latency, bandwidth requirements, deployment locations, and operational responsibilities across field sensors, zonal gateways, and central cloud data centers.</w:t>
            </w:r>
          </w:p>
        </w:tc>
      </w:tr>
    </w:tbl>
    <w:p/>
    <w:p>
      <w:pPr>
        <w:keepNext/>
        <w:spacing w:before="280" w:after="120"/>
      </w:pPr>
      <w:r>
        <w:rPr>
          <w:rFonts w:ascii="Times New Roman" w:hAnsi="Times New Roman"/>
          <w:b/>
          <w:color w:val="008080"/>
          <w:sz w:val="25"/>
        </w:rPr>
        <w:t>1. Architectural System Sketch &amp; Hierarchical Tiers</w:t>
      </w:r>
    </w:p>
    <w:p>
      <w:r>
        <w:t>Smart city infrastructure demands hierarchical computing to satisfy strict real-time response constraints. Real-time safety actions (emergency vehicle signal preemption) require sub-5-millisecond latency executed directly at the Edge. Corridor traffic signal synchronization requires 15 to 30 millisecond latency managed at the regional Fog layer. Macro-level city traffic trend modeling and AI model training take place in the central Cloud layer.</w:t>
      </w:r>
    </w:p>
    <w:p>
      <w:pPr>
        <w:jc w:val="center"/>
      </w:pPr>
      <w:r>
        <w:drawing>
          <wp:inline xmlns:a="http://schemas.openxmlformats.org/drawingml/2006/main" xmlns:pic="http://schemas.openxmlformats.org/drawingml/2006/picture">
            <wp:extent cx="5943600" cy="3106303"/>
            <wp:docPr id="4" name="Picture 4"/>
            <wp:cNvGraphicFramePr>
              <a:graphicFrameLocks noChangeAspect="1"/>
            </wp:cNvGraphicFramePr>
            <a:graphic>
              <a:graphicData uri="http://schemas.openxmlformats.org/drawingml/2006/picture">
                <pic:pic>
                  <pic:nvPicPr>
                    <pic:cNvPr id="0" name="exp4_edge_fog_architecture.png"/>
                    <pic:cNvPicPr/>
                  </pic:nvPicPr>
                  <pic:blipFill>
                    <a:blip r:embed="rId12"/>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4.1: Hierarchical Hybrid Edge-Fog-Cloud Architecture for Smart City Traffic Management</w:t>
      </w:r>
    </w:p>
    <w:p>
      <w:pPr>
        <w:keepNext/>
        <w:spacing w:before="280" w:after="120"/>
      </w:pPr>
      <w:r>
        <w:rPr>
          <w:rFonts w:ascii="Times New Roman" w:hAnsi="Times New Roman"/>
          <w:b/>
          <w:color w:val="008080"/>
          <w:sz w:val="25"/>
        </w:rPr>
        <w:t>2. Implementation Procedure</w:t>
      </w:r>
    </w:p>
    <w:p>
      <w:r>
        <w:t>1. Traffic System Operational Partitioning: Categorized urban traffic actions based on latency sensitivity: Critical (&lt; 5 ms), Tactical (15–30 ms), and Strategic (&gt; 100 ms).</w:t>
        <w:br/>
        <w:t>2. Edge Tier Node Configuration: Configured field-deployed micro-edge nodes (NVIDIA Jetson / IP AI Cameras) at physical intersections to process local video feeds in memory.</w:t>
        <w:br/>
        <w:t>3. Fog Gateway Aggregation Protocol setup: Implemented roadside units (RSUs) and Multi-Access Edge Computing (MEC) nodes at regional sub-stations using MQTT/CoAP protocols.</w:t>
        <w:br/>
        <w:t>4. Cloud Telemetry Ingestion Design: Established HTTPS REST/gRPC batch pipelines to stream anonymized traffic metrics from Fog nodes to the central cloud data lake.</w:t>
      </w:r>
    </w:p>
    <w:p>
      <w:pPr>
        <w:keepNext/>
        <w:spacing w:before="280" w:after="120"/>
      </w:pPr>
      <w:r>
        <w:rPr>
          <w:rFonts w:ascii="Times New Roman" w:hAnsi="Times New Roman"/>
          <w:b/>
          <w:color w:val="008080"/>
          <w:sz w:val="25"/>
        </w:rPr>
        <w:t>3. Expected Technical Output &amp; Comparative Analysis</w:t>
      </w:r>
    </w:p>
    <w:p>
      <w:pPr>
        <w:keepNext/>
        <w:spacing w:before="200" w:after="80"/>
      </w:pPr>
      <w:r>
        <w:rPr>
          <w:rFonts w:ascii="Times New Roman" w:hAnsi="Times New Roman"/>
          <w:b/>
          <w:color w:val="1E293B"/>
          <w:sz w:val="22"/>
        </w:rPr>
        <w:t>Table 4.1: Comprehensive Architectural Comparison Across Computing Tiers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2412"/>
        <w:gridCol w:w="2412"/>
        <w:gridCol w:w="2412"/>
        <w:gridCol w:w="2412"/>
      </w:tblGrid>
      <w:tr>
        <w:trPr>
          <w:cantSplit/>
          <w:tblHeader/>
        </w:trPr>
        <w:tc>
          <w:tcPr>
            <w:tcW w:type="dxa" w:w="2160"/>
            <w:shd w:fill="D97706"/>
            <w:tcMar>
              <w:top w:w="140" w:type="dxa"/>
              <w:bottom w:w="140" w:type="dxa"/>
              <w:left w:w="180" w:type="dxa"/>
              <w:right w:w="180" w:type="dxa"/>
            </w:tcMar>
          </w:tcPr>
          <w:p>
            <w:pPr>
              <w:jc w:val="left"/>
            </w:pPr>
            <w:r>
              <w:rPr>
                <w:rFonts w:ascii="Times New Roman" w:hAnsi="Times New Roman"/>
                <w:b/>
                <w:color w:val="FFFFFF"/>
                <w:sz w:val="21"/>
              </w:rPr>
              <w:t>Evaluation Criterion</w:t>
            </w:r>
          </w:p>
        </w:tc>
        <w:tc>
          <w:tcPr>
            <w:tcW w:type="dxa" w:w="2448"/>
            <w:shd w:fill="D97706"/>
            <w:tcMar>
              <w:top w:w="140" w:type="dxa"/>
              <w:bottom w:w="140" w:type="dxa"/>
              <w:left w:w="180" w:type="dxa"/>
              <w:right w:w="180" w:type="dxa"/>
            </w:tcMar>
          </w:tcPr>
          <w:p>
            <w:pPr>
              <w:jc w:val="left"/>
            </w:pPr>
            <w:r>
              <w:rPr>
                <w:rFonts w:ascii="Times New Roman" w:hAnsi="Times New Roman"/>
                <w:b/>
                <w:color w:val="FFFFFF"/>
                <w:sz w:val="21"/>
              </w:rPr>
              <w:t>Edge Computing Layer (Tier 1)</w:t>
            </w:r>
          </w:p>
        </w:tc>
        <w:tc>
          <w:tcPr>
            <w:tcW w:type="dxa" w:w="2448"/>
            <w:shd w:fill="D97706"/>
            <w:tcMar>
              <w:top w:w="140" w:type="dxa"/>
              <w:bottom w:w="140" w:type="dxa"/>
              <w:left w:w="180" w:type="dxa"/>
              <w:right w:w="180" w:type="dxa"/>
            </w:tcMar>
          </w:tcPr>
          <w:p>
            <w:pPr>
              <w:jc w:val="left"/>
            </w:pPr>
            <w:r>
              <w:rPr>
                <w:rFonts w:ascii="Times New Roman" w:hAnsi="Times New Roman"/>
                <w:b/>
                <w:color w:val="FFFFFF"/>
                <w:sz w:val="21"/>
              </w:rPr>
              <w:t>Fog Computing Layer (Tier 2)</w:t>
            </w:r>
          </w:p>
        </w:tc>
        <w:tc>
          <w:tcPr>
            <w:tcW w:type="dxa" w:w="2592"/>
            <w:shd w:fill="D97706"/>
            <w:tcMar>
              <w:top w:w="140" w:type="dxa"/>
              <w:bottom w:w="140" w:type="dxa"/>
              <w:left w:w="180" w:type="dxa"/>
              <w:right w:w="180" w:type="dxa"/>
            </w:tcMar>
          </w:tcPr>
          <w:p>
            <w:pPr>
              <w:jc w:val="left"/>
            </w:pPr>
            <w:r>
              <w:rPr>
                <w:rFonts w:ascii="Times New Roman" w:hAnsi="Times New Roman"/>
                <w:b/>
                <w:color w:val="FFFFFF"/>
                <w:sz w:val="21"/>
              </w:rPr>
              <w:t>Central Cloud Layer (Tier 3)</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Hardware &amp; Location</w:t>
            </w:r>
          </w:p>
        </w:tc>
        <w:tc>
          <w:tcPr>
            <w:tcW w:type="dxa" w:w="2448"/>
            <w:shd w:fill="FFFFFF"/>
            <w:tcMar>
              <w:top w:w="100" w:type="dxa"/>
              <w:bottom w:w="100" w:type="dxa"/>
              <w:left w:w="180" w:type="dxa"/>
              <w:right w:w="180" w:type="dxa"/>
            </w:tcMar>
          </w:tcPr>
          <w:p>
            <w:r>
              <w:rPr>
                <w:rFonts w:ascii="Times New Roman" w:hAnsi="Times New Roman"/>
                <w:color w:val="1E293B"/>
                <w:sz w:val="20"/>
              </w:rPr>
              <w:t>Smart Cameras, IP Sensors, Jetson Micro-nodes (At Intersection)</w:t>
            </w:r>
          </w:p>
        </w:tc>
        <w:tc>
          <w:tcPr>
            <w:tcW w:type="dxa" w:w="2448"/>
            <w:shd w:fill="FFFFFF"/>
            <w:tcMar>
              <w:top w:w="100" w:type="dxa"/>
              <w:bottom w:w="100" w:type="dxa"/>
              <w:left w:w="180" w:type="dxa"/>
              <w:right w:w="180" w:type="dxa"/>
            </w:tcMar>
          </w:tcPr>
          <w:p>
            <w:r>
              <w:rPr>
                <w:rFonts w:ascii="Times New Roman" w:hAnsi="Times New Roman"/>
                <w:color w:val="1E293B"/>
                <w:sz w:val="20"/>
              </w:rPr>
              <w:t>Roadside Units (RSUs), MEC Servers (Zonal Substation)</w:t>
            </w:r>
          </w:p>
        </w:tc>
        <w:tc>
          <w:tcPr>
            <w:tcW w:type="dxa" w:w="2592"/>
            <w:shd w:fill="FFFFFF"/>
            <w:tcMar>
              <w:top w:w="100" w:type="dxa"/>
              <w:bottom w:w="100" w:type="dxa"/>
              <w:left w:w="180" w:type="dxa"/>
              <w:right w:w="180" w:type="dxa"/>
            </w:tcMar>
          </w:tcPr>
          <w:p>
            <w:r>
              <w:rPr>
                <w:rFonts w:ascii="Times New Roman" w:hAnsi="Times New Roman"/>
                <w:color w:val="1E293B"/>
                <w:sz w:val="20"/>
              </w:rPr>
              <w:t>Hyperscale AWS/Azure Cloud Datacenters (Remote Region)</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Processing Latency</w:t>
            </w:r>
          </w:p>
        </w:tc>
        <w:tc>
          <w:tcPr>
            <w:tcW w:type="dxa" w:w="2448"/>
            <w:shd w:fill="F1F5F9"/>
            <w:tcMar>
              <w:top w:w="100" w:type="dxa"/>
              <w:bottom w:w="100" w:type="dxa"/>
              <w:left w:w="180" w:type="dxa"/>
              <w:right w:w="180" w:type="dxa"/>
            </w:tcMar>
          </w:tcPr>
          <w:p>
            <w:r>
              <w:rPr>
                <w:rFonts w:ascii="Times New Roman" w:hAnsi="Times New Roman"/>
                <w:color w:val="1E293B"/>
                <w:sz w:val="20"/>
              </w:rPr>
              <w:t>Ultra-Low (&lt; 5 milliseconds) [ULTRA-FAST]</w:t>
            </w:r>
          </w:p>
        </w:tc>
        <w:tc>
          <w:tcPr>
            <w:tcW w:type="dxa" w:w="2448"/>
            <w:shd w:fill="F1F5F9"/>
            <w:tcMar>
              <w:top w:w="100" w:type="dxa"/>
              <w:bottom w:w="100" w:type="dxa"/>
              <w:left w:w="180" w:type="dxa"/>
              <w:right w:w="180" w:type="dxa"/>
            </w:tcMar>
          </w:tcPr>
          <w:p>
            <w:r>
              <w:rPr>
                <w:rFonts w:ascii="Times New Roman" w:hAnsi="Times New Roman"/>
                <w:color w:val="1E293B"/>
                <w:sz w:val="20"/>
              </w:rPr>
              <w:t>Low to Moderate (15 - 30 ms) [TACTICAL]</w:t>
            </w:r>
          </w:p>
        </w:tc>
        <w:tc>
          <w:tcPr>
            <w:tcW w:type="dxa" w:w="2592"/>
            <w:shd w:fill="F1F5F9"/>
            <w:tcMar>
              <w:top w:w="100" w:type="dxa"/>
              <w:bottom w:w="100" w:type="dxa"/>
              <w:left w:w="180" w:type="dxa"/>
              <w:right w:w="180" w:type="dxa"/>
            </w:tcMar>
          </w:tcPr>
          <w:p>
            <w:r>
              <w:rPr>
                <w:rFonts w:ascii="Times New Roman" w:hAnsi="Times New Roman"/>
                <w:color w:val="1E293B"/>
                <w:sz w:val="20"/>
              </w:rPr>
              <w:t>High (100 - 300+ milliseconds) [BATCH]</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Bandwidth Consumption</w:t>
            </w:r>
          </w:p>
        </w:tc>
        <w:tc>
          <w:tcPr>
            <w:tcW w:type="dxa" w:w="2448"/>
            <w:shd w:fill="FFFFFF"/>
            <w:tcMar>
              <w:top w:w="100" w:type="dxa"/>
              <w:bottom w:w="100" w:type="dxa"/>
              <w:left w:w="180" w:type="dxa"/>
              <w:right w:w="180" w:type="dxa"/>
            </w:tcMar>
          </w:tcPr>
          <w:p>
            <w:r>
              <w:rPr>
                <w:rFonts w:ascii="Times New Roman" w:hAnsi="Times New Roman"/>
                <w:color w:val="1E293B"/>
                <w:sz w:val="20"/>
              </w:rPr>
              <w:t>Minimal (In-memory local processing; no raw stream transmission)</w:t>
            </w:r>
          </w:p>
        </w:tc>
        <w:tc>
          <w:tcPr>
            <w:tcW w:type="dxa" w:w="2448"/>
            <w:shd w:fill="FFFFFF"/>
            <w:tcMar>
              <w:top w:w="100" w:type="dxa"/>
              <w:bottom w:w="100" w:type="dxa"/>
              <w:left w:w="180" w:type="dxa"/>
              <w:right w:w="180" w:type="dxa"/>
            </w:tcMar>
          </w:tcPr>
          <w:p>
            <w:r>
              <w:rPr>
                <w:rFonts w:ascii="Times New Roman" w:hAnsi="Times New Roman"/>
                <w:color w:val="1E293B"/>
                <w:sz w:val="20"/>
              </w:rPr>
              <w:t>Moderate (Aggregated regional vector data streams)</w:t>
            </w:r>
          </w:p>
        </w:tc>
        <w:tc>
          <w:tcPr>
            <w:tcW w:type="dxa" w:w="2592"/>
            <w:shd w:fill="FFFFFF"/>
            <w:tcMar>
              <w:top w:w="100" w:type="dxa"/>
              <w:bottom w:w="100" w:type="dxa"/>
              <w:left w:w="180" w:type="dxa"/>
              <w:right w:w="180" w:type="dxa"/>
            </w:tcMar>
          </w:tcPr>
          <w:p>
            <w:r>
              <w:rPr>
                <w:rFonts w:ascii="Times New Roman" w:hAnsi="Times New Roman"/>
                <w:color w:val="1E293B"/>
                <w:sz w:val="20"/>
              </w:rPr>
              <w:t>High (Batch upload of long-term traffic summaries)</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Storage &amp; Memory</w:t>
            </w:r>
          </w:p>
        </w:tc>
        <w:tc>
          <w:tcPr>
            <w:tcW w:type="dxa" w:w="2448"/>
            <w:shd w:fill="F1F5F9"/>
            <w:tcMar>
              <w:top w:w="100" w:type="dxa"/>
              <w:bottom w:w="100" w:type="dxa"/>
              <w:left w:w="180" w:type="dxa"/>
              <w:right w:w="180" w:type="dxa"/>
            </w:tcMar>
          </w:tcPr>
          <w:p>
            <w:r>
              <w:rPr>
                <w:rFonts w:ascii="Times New Roman" w:hAnsi="Times New Roman"/>
                <w:color w:val="1E293B"/>
                <w:sz w:val="20"/>
              </w:rPr>
              <w:t>Ephemeral (MBs to GBs RAM)</w:t>
            </w:r>
          </w:p>
        </w:tc>
        <w:tc>
          <w:tcPr>
            <w:tcW w:type="dxa" w:w="2448"/>
            <w:shd w:fill="F1F5F9"/>
            <w:tcMar>
              <w:top w:w="100" w:type="dxa"/>
              <w:bottom w:w="100" w:type="dxa"/>
              <w:left w:w="180" w:type="dxa"/>
              <w:right w:w="180" w:type="dxa"/>
            </w:tcMar>
          </w:tcPr>
          <w:p>
            <w:r>
              <w:rPr>
                <w:rFonts w:ascii="Times New Roman" w:hAnsi="Times New Roman"/>
                <w:color w:val="1E293B"/>
                <w:sz w:val="20"/>
              </w:rPr>
              <w:t>Short-Term Operational (GBs to TBs SSD)</w:t>
            </w:r>
          </w:p>
        </w:tc>
        <w:tc>
          <w:tcPr>
            <w:tcW w:type="dxa" w:w="2592"/>
            <w:shd w:fill="F1F5F9"/>
            <w:tcMar>
              <w:top w:w="100" w:type="dxa"/>
              <w:bottom w:w="100" w:type="dxa"/>
              <w:left w:w="180" w:type="dxa"/>
              <w:right w:w="180" w:type="dxa"/>
            </w:tcMar>
          </w:tcPr>
          <w:p>
            <w:r>
              <w:rPr>
                <w:rFonts w:ascii="Times New Roman" w:hAnsi="Times New Roman"/>
                <w:color w:val="1E293B"/>
                <w:sz w:val="20"/>
              </w:rPr>
              <w:t>Persistent Data Lake (Petabytes)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Primary Workload</w:t>
            </w:r>
          </w:p>
        </w:tc>
        <w:tc>
          <w:tcPr>
            <w:tcW w:type="dxa" w:w="2448"/>
            <w:shd w:fill="FFFFFF"/>
            <w:tcMar>
              <w:top w:w="100" w:type="dxa"/>
              <w:bottom w:w="100" w:type="dxa"/>
              <w:left w:w="180" w:type="dxa"/>
              <w:right w:w="180" w:type="dxa"/>
            </w:tcMar>
          </w:tcPr>
          <w:p>
            <w:r>
              <w:rPr>
                <w:rFonts w:ascii="Times New Roman" w:hAnsi="Times New Roman"/>
                <w:color w:val="1E293B"/>
                <w:sz w:val="20"/>
              </w:rPr>
              <w:t>Instant License Plate OCR &amp; Emergency Signal Override</w:t>
            </w:r>
          </w:p>
        </w:tc>
        <w:tc>
          <w:tcPr>
            <w:tcW w:type="dxa" w:w="2448"/>
            <w:shd w:fill="FFFFFF"/>
            <w:tcMar>
              <w:top w:w="100" w:type="dxa"/>
              <w:bottom w:w="100" w:type="dxa"/>
              <w:left w:w="180" w:type="dxa"/>
              <w:right w:w="180" w:type="dxa"/>
            </w:tcMar>
          </w:tcPr>
          <w:p>
            <w:r>
              <w:rPr>
                <w:rFonts w:ascii="Times New Roman" w:hAnsi="Times New Roman"/>
                <w:color w:val="1E293B"/>
                <w:sz w:val="20"/>
              </w:rPr>
              <w:t>Synchronized Multi-Intersection Traffic Flow &amp; Routing</w:t>
            </w:r>
          </w:p>
        </w:tc>
        <w:tc>
          <w:tcPr>
            <w:tcW w:type="dxa" w:w="2592"/>
            <w:shd w:fill="FFFFFF"/>
            <w:tcMar>
              <w:top w:w="100" w:type="dxa"/>
              <w:bottom w:w="100" w:type="dxa"/>
              <w:left w:w="180" w:type="dxa"/>
              <w:right w:w="180" w:type="dxa"/>
            </w:tcMar>
          </w:tcPr>
          <w:p>
            <w:r>
              <w:rPr>
                <w:rFonts w:ascii="Times New Roman" w:hAnsi="Times New Roman"/>
                <w:color w:val="1E293B"/>
                <w:sz w:val="20"/>
              </w:rPr>
              <w:t>City-Wide Traffic Analytics &amp; AI Model Retraining</w:t>
            </w:r>
          </w:p>
        </w:tc>
      </w:tr>
    </w:tbl>
    <w:p/>
    <w:p>
      <w:pPr>
        <w:keepNext/>
        <w:spacing w:before="200" w:after="80"/>
      </w:pPr>
      <w:r>
        <w:rPr>
          <w:rFonts w:ascii="Times New Roman" w:hAnsi="Times New Roman"/>
          <w:b/>
          <w:color w:val="1E293B"/>
          <w:sz w:val="22"/>
        </w:rPr>
        <w:t>Table 4.2: Operational Decision Routing Matrix for Smart Traffic Events</w:t>
      </w:r>
    </w:p>
    <w:tbl>
      <w:tblPr>
        <w:tblW w:type="auto" w:w="0"/>
        <w:jc w:val="center"/>
        <w:tblLook w:firstColumn="1" w:firstRow="1" w:lastColumn="0" w:lastRow="0" w:noHBand="0" w:noVBand="1" w:val="04A0"/>
        <w:tblBorders>
          <w:top w:val="single" w:sz="6" w:space="0" w:color="D97706"/>
          <w:left w:val="none"/>
          <w:bottom w:val="single" w:sz="10" w:space="0" w:color="D97706"/>
          <w:right w:val="none"/>
          <w:insideH w:val="single" w:sz="4" w:space="0" w:color="CBD5E1"/>
          <w:insideV w:val="none"/>
        </w:tblBorders>
      </w:tblPr>
      <w:tblGrid>
        <w:gridCol w:w="2412"/>
        <w:gridCol w:w="2412"/>
        <w:gridCol w:w="2412"/>
        <w:gridCol w:w="2412"/>
      </w:tblGrid>
      <w:tr>
        <w:trPr>
          <w:cantSplit/>
          <w:tblHeader/>
        </w:trPr>
        <w:tc>
          <w:tcPr>
            <w:tcW w:type="dxa" w:w="2592"/>
            <w:shd w:fill="D97706"/>
            <w:tcMar>
              <w:top w:w="140" w:type="dxa"/>
              <w:bottom w:w="140" w:type="dxa"/>
              <w:left w:w="180" w:type="dxa"/>
              <w:right w:w="180" w:type="dxa"/>
            </w:tcMar>
          </w:tcPr>
          <w:p>
            <w:pPr>
              <w:jc w:val="left"/>
            </w:pPr>
            <w:r>
              <w:rPr>
                <w:rFonts w:ascii="Times New Roman" w:hAnsi="Times New Roman"/>
                <w:b/>
                <w:color w:val="FFFFFF"/>
                <w:sz w:val="21"/>
              </w:rPr>
              <w:t>Traffic Sensor Event</w:t>
            </w:r>
          </w:p>
        </w:tc>
        <w:tc>
          <w:tcPr>
            <w:tcW w:type="dxa" w:w="2160"/>
            <w:shd w:fill="D97706"/>
            <w:tcMar>
              <w:top w:w="140" w:type="dxa"/>
              <w:bottom w:w="140" w:type="dxa"/>
              <w:left w:w="180" w:type="dxa"/>
              <w:right w:w="180" w:type="dxa"/>
            </w:tcMar>
          </w:tcPr>
          <w:p>
            <w:pPr>
              <w:jc w:val="left"/>
            </w:pPr>
            <w:r>
              <w:rPr>
                <w:rFonts w:ascii="Times New Roman" w:hAnsi="Times New Roman"/>
                <w:b/>
                <w:color w:val="FFFFFF"/>
                <w:sz w:val="21"/>
              </w:rPr>
              <w:t>Target Computing Tier</w:t>
            </w:r>
          </w:p>
        </w:tc>
        <w:tc>
          <w:tcPr>
            <w:tcW w:type="dxa" w:w="3168"/>
            <w:shd w:fill="D97706"/>
            <w:tcMar>
              <w:top w:w="140" w:type="dxa"/>
              <w:bottom w:w="140" w:type="dxa"/>
              <w:left w:w="180" w:type="dxa"/>
              <w:right w:w="180" w:type="dxa"/>
            </w:tcMar>
          </w:tcPr>
          <w:p>
            <w:pPr>
              <w:jc w:val="left"/>
            </w:pPr>
            <w:r>
              <w:rPr>
                <w:rFonts w:ascii="Times New Roman" w:hAnsi="Times New Roman"/>
                <w:b/>
                <w:color w:val="FFFFFF"/>
                <w:sz w:val="21"/>
              </w:rPr>
              <w:t>Execution Action Taken</w:t>
            </w:r>
          </w:p>
        </w:tc>
        <w:tc>
          <w:tcPr>
            <w:tcW w:type="dxa" w:w="1728"/>
            <w:shd w:fill="D97706"/>
            <w:tcMar>
              <w:top w:w="140" w:type="dxa"/>
              <w:bottom w:w="140" w:type="dxa"/>
              <w:left w:w="180" w:type="dxa"/>
              <w:right w:w="180" w:type="dxa"/>
            </w:tcMar>
          </w:tcPr>
          <w:p>
            <w:pPr>
              <w:jc w:val="left"/>
            </w:pPr>
            <w:r>
              <w:rPr>
                <w:rFonts w:ascii="Times New Roman" w:hAnsi="Times New Roman"/>
                <w:b/>
                <w:color w:val="FFFFFF"/>
                <w:sz w:val="21"/>
              </w:rPr>
              <w:t>Observed Latency</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20"/>
              </w:rPr>
              <w:t>Emergency Siren Audio / Visual Detection</w:t>
            </w:r>
          </w:p>
        </w:tc>
        <w:tc>
          <w:tcPr>
            <w:tcW w:type="dxa" w:w="2160"/>
            <w:shd w:fill="FFFFFF"/>
            <w:tcMar>
              <w:top w:w="100" w:type="dxa"/>
              <w:bottom w:w="100" w:type="dxa"/>
              <w:left w:w="180" w:type="dxa"/>
              <w:right w:w="180" w:type="dxa"/>
            </w:tcMar>
          </w:tcPr>
          <w:p>
            <w:r>
              <w:rPr>
                <w:rFonts w:ascii="Times New Roman" w:hAnsi="Times New Roman"/>
                <w:color w:val="1E293B"/>
                <w:sz w:val="20"/>
              </w:rPr>
              <w:t>Edge Tier (Intersection)</w:t>
            </w:r>
          </w:p>
        </w:tc>
        <w:tc>
          <w:tcPr>
            <w:tcW w:type="dxa" w:w="3168"/>
            <w:shd w:fill="FFFFFF"/>
            <w:tcMar>
              <w:top w:w="100" w:type="dxa"/>
              <w:bottom w:w="100" w:type="dxa"/>
              <w:left w:w="180" w:type="dxa"/>
              <w:right w:w="180" w:type="dxa"/>
            </w:tcMar>
          </w:tcPr>
          <w:p>
            <w:r>
              <w:rPr>
                <w:rFonts w:ascii="Times New Roman" w:hAnsi="Times New Roman"/>
                <w:color w:val="1E293B"/>
                <w:sz w:val="20"/>
              </w:rPr>
              <w:t>Override signal timing to grant immediate GREEN light to approaching ambulance.</w:t>
            </w:r>
          </w:p>
        </w:tc>
        <w:tc>
          <w:tcPr>
            <w:tcW w:type="dxa" w:w="1728"/>
            <w:shd w:fill="FFFFFF"/>
            <w:tcMar>
              <w:top w:w="100" w:type="dxa"/>
              <w:bottom w:w="100" w:type="dxa"/>
              <w:left w:w="180" w:type="dxa"/>
              <w:right w:w="180" w:type="dxa"/>
            </w:tcMar>
          </w:tcPr>
          <w:p>
            <w:r>
              <w:rPr>
                <w:rFonts w:ascii="Times New Roman" w:hAnsi="Times New Roman"/>
                <w:color w:val="1E293B"/>
                <w:sz w:val="20"/>
              </w:rPr>
              <w:t>3.2 ms [CRITICAL]</w:t>
            </w:r>
          </w:p>
        </w:tc>
      </w:tr>
      <w:tr>
        <w:trPr>
          <w:cantSplit/>
        </w:trPr>
        <w:tc>
          <w:tcPr>
            <w:tcW w:type="dxa" w:w="2592"/>
            <w:shd w:fill="F1F5F9"/>
            <w:tcMar>
              <w:top w:w="100" w:type="dxa"/>
              <w:bottom w:w="100" w:type="dxa"/>
              <w:left w:w="180" w:type="dxa"/>
              <w:right w:w="180" w:type="dxa"/>
            </w:tcMar>
          </w:tcPr>
          <w:p>
            <w:r>
              <w:rPr>
                <w:rFonts w:ascii="Times New Roman" w:hAnsi="Times New Roman"/>
                <w:color w:val="1E293B"/>
                <w:sz w:val="20"/>
              </w:rPr>
              <w:t>5-Minute Corridor Vehicle Density Spikes</w:t>
            </w:r>
          </w:p>
        </w:tc>
        <w:tc>
          <w:tcPr>
            <w:tcW w:type="dxa" w:w="2160"/>
            <w:shd w:fill="F1F5F9"/>
            <w:tcMar>
              <w:top w:w="100" w:type="dxa"/>
              <w:bottom w:w="100" w:type="dxa"/>
              <w:left w:w="180" w:type="dxa"/>
              <w:right w:w="180" w:type="dxa"/>
            </w:tcMar>
          </w:tcPr>
          <w:p>
            <w:r>
              <w:rPr>
                <w:rFonts w:ascii="Times New Roman" w:hAnsi="Times New Roman"/>
                <w:color w:val="1E293B"/>
                <w:sz w:val="20"/>
              </w:rPr>
              <w:t>Fog Tier (Roadside Unit)</w:t>
            </w:r>
          </w:p>
        </w:tc>
        <w:tc>
          <w:tcPr>
            <w:tcW w:type="dxa" w:w="3168"/>
            <w:shd w:fill="F1F5F9"/>
            <w:tcMar>
              <w:top w:w="100" w:type="dxa"/>
              <w:bottom w:w="100" w:type="dxa"/>
              <w:left w:w="180" w:type="dxa"/>
              <w:right w:w="180" w:type="dxa"/>
            </w:tcMar>
          </w:tcPr>
          <w:p>
            <w:r>
              <w:rPr>
                <w:rFonts w:ascii="Times New Roman" w:hAnsi="Times New Roman"/>
                <w:color w:val="1E293B"/>
                <w:sz w:val="20"/>
              </w:rPr>
              <w:t>Adjust green phase timing across 8 adjacent signalized intersections.</w:t>
            </w:r>
          </w:p>
        </w:tc>
        <w:tc>
          <w:tcPr>
            <w:tcW w:type="dxa" w:w="1728"/>
            <w:shd w:fill="F1F5F9"/>
            <w:tcMar>
              <w:top w:w="100" w:type="dxa"/>
              <w:bottom w:w="100" w:type="dxa"/>
              <w:left w:w="180" w:type="dxa"/>
              <w:right w:w="180" w:type="dxa"/>
            </w:tcMar>
          </w:tcPr>
          <w:p>
            <w:r>
              <w:rPr>
                <w:rFonts w:ascii="Times New Roman" w:hAnsi="Times New Roman"/>
                <w:color w:val="1E293B"/>
                <w:sz w:val="20"/>
              </w:rPr>
              <w:t>22.0 ms [TACTICAL]</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20"/>
              </w:rPr>
              <w:t>Monthly Congestion Trend &amp; Pattern Analysis</w:t>
            </w:r>
          </w:p>
        </w:tc>
        <w:tc>
          <w:tcPr>
            <w:tcW w:type="dxa" w:w="2160"/>
            <w:shd w:fill="FFFFFF"/>
            <w:tcMar>
              <w:top w:w="100" w:type="dxa"/>
              <w:bottom w:w="100" w:type="dxa"/>
              <w:left w:w="180" w:type="dxa"/>
              <w:right w:w="180" w:type="dxa"/>
            </w:tcMar>
          </w:tcPr>
          <w:p>
            <w:r>
              <w:rPr>
                <w:rFonts w:ascii="Times New Roman" w:hAnsi="Times New Roman"/>
                <w:color w:val="1E293B"/>
                <w:sz w:val="20"/>
              </w:rPr>
              <w:t>Cloud Tier (AWS / Azure)</w:t>
            </w:r>
          </w:p>
        </w:tc>
        <w:tc>
          <w:tcPr>
            <w:tcW w:type="dxa" w:w="3168"/>
            <w:shd w:fill="FFFFFF"/>
            <w:tcMar>
              <w:top w:w="100" w:type="dxa"/>
              <w:bottom w:w="100" w:type="dxa"/>
              <w:left w:w="180" w:type="dxa"/>
              <w:right w:w="180" w:type="dxa"/>
            </w:tcMar>
          </w:tcPr>
          <w:p>
            <w:r>
              <w:rPr>
                <w:rFonts w:ascii="Times New Roman" w:hAnsi="Times New Roman"/>
                <w:color w:val="1E293B"/>
                <w:sz w:val="20"/>
              </w:rPr>
              <w:t>Train updated YOLOv8 computer vision model &amp; generate municipal policy report.</w:t>
            </w:r>
          </w:p>
        </w:tc>
        <w:tc>
          <w:tcPr>
            <w:tcW w:type="dxa" w:w="1728"/>
            <w:shd w:fill="FFFFFF"/>
            <w:tcMar>
              <w:top w:w="100" w:type="dxa"/>
              <w:bottom w:w="100" w:type="dxa"/>
              <w:left w:w="180" w:type="dxa"/>
              <w:right w:w="180" w:type="dxa"/>
            </w:tcMar>
          </w:tcPr>
          <w:p>
            <w:r>
              <w:rPr>
                <w:rFonts w:ascii="Times New Roman" w:hAnsi="Times New Roman"/>
                <w:color w:val="1E293B"/>
                <w:sz w:val="20"/>
              </w:rPr>
              <w:t>210.0 ms [MACRO]</w:t>
            </w:r>
          </w:p>
        </w:tc>
      </w:tr>
    </w:tbl>
    <w:p>
      <w:pPr>
        <w:keepNext/>
        <w:spacing w:before="280" w:after="120"/>
      </w:pPr>
      <w:r>
        <w:rPr>
          <w:rFonts w:ascii="Times New Roman" w:hAnsi="Times New Roman"/>
          <w:b/>
          <w:color w:val="008080"/>
          <w:sz w:val="25"/>
        </w:rPr>
        <w:t>4. Conclusion</w:t>
      </w:r>
    </w:p>
    <w:p>
      <w:r>
        <w:t>A hybrid Edge-Fog-Cloud architecture is essential for smart city traffic systems. Edge computing provides the immediate sub-5-millisecond response needed for local safety, Fog computing manages regional traffic coordination, and Central Cloud infrastructure powers macro analytics and continuous model training.</w:t>
      </w:r>
    </w:p>
    <w:p>
      <w:r>
        <w:br w:type="page"/>
      </w:r>
    </w:p>
    <w:p>
      <w:pPr>
        <w:keepNext/>
        <w:spacing w:before="400" w:after="160"/>
      </w:pPr>
      <w:r>
        <w:rPr>
          <w:rFonts w:ascii="Times New Roman" w:hAnsi="Times New Roman"/>
          <w:b/>
          <w:color w:val="1B365D"/>
          <w:sz w:val="30"/>
        </w:rPr>
        <w:t>EXPERIMENT 5: End-to-End Cloud Application Deployment &amp; Telemetry Workflow</w:t>
      </w:r>
    </w:p>
    <w:tbl>
      <w:tblPr>
        <w:tblW w:type="auto" w:w="0"/>
        <w:jc w:val="center"/>
        <w:tblLook w:firstColumn="1" w:firstRow="1" w:lastColumn="0" w:lastRow="0" w:noHBand="0" w:noVBand="1" w:val="04A0"/>
      </w:tblPr>
      <w:tblGrid>
        <w:gridCol w:w="9648"/>
      </w:tblGrid>
      <w:tr>
        <w:tc>
          <w:tcPr>
            <w:tcW w:type="dxa" w:w="9648"/>
            <w:shd w:fill="FCE7F3"/>
            <w:tcMar>
              <w:top w:w="140" w:type="dxa"/>
              <w:bottom w:w="140" w:type="dxa"/>
              <w:left w:w="200" w:type="dxa"/>
              <w:right w:w="200" w:type="dxa"/>
            </w:tcMar>
            <w:tcBorders>
              <w:top w:val="none"/>
              <w:left w:val="single" w:sz="24" w:space="0" w:color="DB2777"/>
              <w:bottom w:val="none"/>
              <w:right w:val="none"/>
            </w:tcBorders>
          </w:tcPr>
          <w:p>
            <w:pPr>
              <w:spacing w:after="40"/>
            </w:pPr>
            <w:r>
              <w:rPr>
                <w:rFonts w:ascii="Times New Roman" w:hAnsi="Times New Roman"/>
                <w:b/>
                <w:color w:val="DB2777"/>
                <w:sz w:val="21"/>
              </w:rPr>
              <w:t>OBJECTIVE: Full-Stack Cloud Application Lifecycle, APM &amp; Observability Pipeline</w:t>
              <w:br/>
            </w:r>
            <w:r>
              <w:rPr>
                <w:rFonts w:ascii="Times New Roman" w:hAnsi="Times New Roman"/>
                <w:color w:val="334155"/>
                <w:sz w:val="20"/>
              </w:rPr>
              <w:t>Demonstrate and document a complete cloud application deployment workflow showing client access, Route 53 DNS resolution, Application Load Balancer (ALB) routing, containerized microservice execution on ECS, Multi-AZ database access on RDS, and centralized monitoring using CloudWatch telemetry.</w:t>
            </w:r>
          </w:p>
        </w:tc>
      </w:tr>
    </w:tbl>
    <w:p/>
    <w:p>
      <w:pPr>
        <w:keepNext/>
        <w:spacing w:before="280" w:after="120"/>
      </w:pPr>
      <w:r>
        <w:rPr>
          <w:rFonts w:ascii="Times New Roman" w:hAnsi="Times New Roman"/>
          <w:b/>
          <w:color w:val="008080"/>
          <w:sz w:val="25"/>
        </w:rPr>
        <w:t>1. Architectural System Sketch &amp; Full-Stack Flow</w:t>
      </w:r>
    </w:p>
    <w:p>
      <w:r>
        <w:t>Production cloud applications require fault-tolerant, auto-scaling multi-AZ architecture paired with comprehensive application performance monitoring (APM). User requests land on Amazon Route 53 DNS, pass through CloudFront CDN and an Application Load Balancer, and distribute across auto-scaled ECS Docker container instances. Application metrics, logs, and distributed traces flow into Amazon CloudWatch and Grafana.</w:t>
      </w:r>
    </w:p>
    <w:p>
      <w:pPr>
        <w:jc w:val="center"/>
      </w:pPr>
      <w:r>
        <w:drawing>
          <wp:inline xmlns:a="http://schemas.openxmlformats.org/drawingml/2006/main" xmlns:pic="http://schemas.openxmlformats.org/drawingml/2006/picture">
            <wp:extent cx="5943600" cy="3106303"/>
            <wp:docPr id="5" name="Picture 5"/>
            <wp:cNvGraphicFramePr>
              <a:graphicFrameLocks noChangeAspect="1"/>
            </wp:cNvGraphicFramePr>
            <a:graphic>
              <a:graphicData uri="http://schemas.openxmlformats.org/drawingml/2006/picture">
                <pic:pic>
                  <pic:nvPicPr>
                    <pic:cNvPr id="0" name="exp5_cloud_deployment_workflow.png"/>
                    <pic:cNvPicPr/>
                  </pic:nvPicPr>
                  <pic:blipFill>
                    <a:blip r:embed="rId13"/>
                    <a:stretch>
                      <a:fillRect/>
                    </a:stretch>
                  </pic:blipFill>
                  <pic:spPr>
                    <a:xfrm>
                      <a:off x="0" y="0"/>
                      <a:ext cx="5943600" cy="3106303"/>
                    </a:xfrm>
                    <a:prstGeom prst="rect"/>
                  </pic:spPr>
                </pic:pic>
              </a:graphicData>
            </a:graphic>
          </wp:inline>
        </w:drawing>
      </w:r>
    </w:p>
    <w:p>
      <w:pPr>
        <w:spacing w:after="240"/>
        <w:jc w:val="center"/>
      </w:pPr>
      <w:r>
        <w:rPr>
          <w:rFonts w:ascii="Times New Roman" w:hAnsi="Times New Roman"/>
          <w:i/>
          <w:color w:val="475569"/>
          <w:sz w:val="19"/>
        </w:rPr>
        <w:t>Figure 5.1: Cloud Application Request Lifecycle with Integrated APM &amp; Telemetry Pipeline</w:t>
      </w:r>
    </w:p>
    <w:p>
      <w:pPr>
        <w:keepNext/>
        <w:spacing w:before="280" w:after="120"/>
      </w:pPr>
      <w:r>
        <w:rPr>
          <w:rFonts w:ascii="Times New Roman" w:hAnsi="Times New Roman"/>
          <w:b/>
          <w:color w:val="008080"/>
          <w:sz w:val="25"/>
        </w:rPr>
        <w:t>2. Implementation Procedure</w:t>
      </w:r>
    </w:p>
    <w:p>
      <w:r>
        <w:t>1. DNS &amp; Network Boundary Provisioning: Configured Amazon Route 53 domain routing and AWS Certificate Manager (ACM) for SSL/TLS termination on an Application Load Balancer.</w:t>
        <w:br/>
        <w:t>2. Containerized Application Cluster Deployment: Provisioned Amazon ECS tasks across multiple Availability Zones with Auto Scaling rules (CPU target 70%).</w:t>
        <w:br/>
        <w:t>3. Managed Relational Database Setup: Deployed Amazon RDS MySQL in a Multi-AZ configuration within private VPC subnets.</w:t>
        <w:br/>
        <w:t>4. Observability Pipeline Integration: Configured CloudWatch Container Insights, AWS X-Ray distributed tracing headers, and automated CloudWatch Alarm SNS notifications.</w:t>
      </w:r>
    </w:p>
    <w:p>
      <w:pPr>
        <w:keepNext/>
        <w:spacing w:before="280" w:after="120"/>
      </w:pPr>
      <w:r>
        <w:rPr>
          <w:rFonts w:ascii="Times New Roman" w:hAnsi="Times New Roman"/>
          <w:b/>
          <w:color w:val="008080"/>
          <w:sz w:val="25"/>
        </w:rPr>
        <w:t>3. Expected Technical Output &amp; Telemetry Data</w:t>
      </w:r>
    </w:p>
    <w:p>
      <w:pPr>
        <w:keepNext/>
        <w:spacing w:before="160" w:after="40"/>
      </w:pPr>
      <w:r>
        <w:rPr>
          <w:rFonts w:ascii="Times New Roman" w:hAnsi="Times New Roman"/>
          <w:b/>
          <w:color w:val="008080"/>
          <w:sz w:val="20"/>
        </w:rPr>
        <w:t>Listing 5.1: Application Load Balancer Access &amp; Telemetry Log Output</w:t>
      </w:r>
    </w:p>
    <w:tbl>
      <w:tblPr>
        <w:tblW w:type="auto" w:w="0"/>
        <w:jc w:val="center"/>
        <w:tblLook w:firstColumn="1" w:firstRow="1" w:lastColumn="0" w:lastRow="0" w:noHBand="0" w:noVBand="1" w:val="04A0"/>
      </w:tblPr>
      <w:tblGrid>
        <w:gridCol w:w="9648"/>
      </w:tblGrid>
      <w:tr>
        <w:tc>
          <w:tcPr>
            <w:tcW w:type="dxa" w:w="9648"/>
            <w:shd w:fill="F8FAFC"/>
            <w:tcMar>
              <w:top w:w="120" w:type="dxa"/>
              <w:bottom w:w="120" w:type="dxa"/>
              <w:left w:w="160" w:type="dxa"/>
              <w:right w:w="160" w:type="dxa"/>
            </w:tcMar>
            <w:tcBorders>
              <w:top w:val="single" w:sz="4" w:space="0" w:color="CBD5E1"/>
              <w:left w:val="single" w:sz="16" w:space="0" w:color="008080"/>
              <w:bottom w:val="single" w:sz="4" w:space="0" w:color="CBD5E1"/>
              <w:right w:val="single" w:sz="4" w:space="0" w:color="CBD5E1"/>
            </w:tcBorders>
          </w:tcPr>
          <w:p>
            <w:pPr>
              <w:spacing w:after="0" w:line="252" w:lineRule="auto"/>
            </w:pPr>
            <w:r>
              <w:rPr>
                <w:rFonts w:ascii="Consolas" w:hAnsi="Consolas"/>
                <w:color w:val="0F172A"/>
                <w:sz w:val="18"/>
              </w:rPr>
              <w:t>[2026-08-12T13:20:10.104Z] "GET /api/v1/courses/CSA1516 HTTP/1.1" 200 OK - Client: 106.51.32.12 - Target: 10.0.2.45:8080 - ReqDuration: 0.014s - ALB_Status: HTTP_200</w:t>
              <w:br/>
              <w:t>[2026-08-12T13:20:11.205Z] "POST /api/v1/students/submit HTTP/1.1" 201 Created - Client: 106.51.32.12 - Target: 10.0.2.88:8080 - ReqDuration: 0.042s - ALB_Status: HTTP_201</w:t>
              <w:br/>
              <w:t>[2026-08-12T13:20:12.450Z] "GET /api/v1/analytics/report HTTP/1.1" 200 OK - Client: 106.51.32.12 - Target: 10.0.2.45:8080 - ReqDuration: 0.028s - ALB_Status: HTTP_200</w:t>
            </w:r>
          </w:p>
        </w:tc>
      </w:tr>
    </w:tbl>
    <w:p/>
    <w:p>
      <w:pPr>
        <w:keepNext/>
        <w:spacing w:before="200" w:after="80"/>
      </w:pPr>
      <w:r>
        <w:rPr>
          <w:rFonts w:ascii="Times New Roman" w:hAnsi="Times New Roman"/>
          <w:b/>
          <w:color w:val="1E293B"/>
          <w:sz w:val="22"/>
        </w:rPr>
        <w:t>Table 5.1: CloudWatch Operational Metrics &amp; SLA Health Evaluation</w:t>
      </w:r>
    </w:p>
    <w:tbl>
      <w:tblPr>
        <w:tblW w:type="auto" w:w="0"/>
        <w:jc w:val="center"/>
        <w:tblLook w:firstColumn="1" w:firstRow="1" w:lastColumn="0" w:lastRow="0" w:noHBand="0" w:noVBand="1" w:val="04A0"/>
        <w:tblBorders>
          <w:top w:val="single" w:sz="6" w:space="0" w:color="DB2777"/>
          <w:left w:val="none"/>
          <w:bottom w:val="single" w:sz="10" w:space="0" w:color="DB2777"/>
          <w:right w:val="none"/>
          <w:insideH w:val="single" w:sz="4" w:space="0" w:color="CBD5E1"/>
          <w:insideV w:val="none"/>
        </w:tblBorders>
      </w:tblPr>
      <w:tblGrid>
        <w:gridCol w:w="2412"/>
        <w:gridCol w:w="2412"/>
        <w:gridCol w:w="2412"/>
        <w:gridCol w:w="2412"/>
      </w:tblGrid>
      <w:tr>
        <w:trPr>
          <w:cantSplit/>
          <w:tblHeader/>
        </w:trPr>
        <w:tc>
          <w:tcPr>
            <w:tcW w:type="dxa" w:w="3168"/>
            <w:shd w:fill="DB2777"/>
            <w:tcMar>
              <w:top w:w="140" w:type="dxa"/>
              <w:bottom w:w="140" w:type="dxa"/>
              <w:left w:w="180" w:type="dxa"/>
              <w:right w:w="180" w:type="dxa"/>
            </w:tcMar>
          </w:tcPr>
          <w:p>
            <w:pPr>
              <w:jc w:val="left"/>
            </w:pPr>
            <w:r>
              <w:rPr>
                <w:rFonts w:ascii="Times New Roman" w:hAnsi="Times New Roman"/>
                <w:b/>
                <w:color w:val="FFFFFF"/>
                <w:sz w:val="21"/>
              </w:rPr>
              <w:t>System Component / Metric</w:t>
            </w:r>
          </w:p>
        </w:tc>
        <w:tc>
          <w:tcPr>
            <w:tcW w:type="dxa" w:w="2160"/>
            <w:shd w:fill="DB2777"/>
            <w:tcMar>
              <w:top w:w="140" w:type="dxa"/>
              <w:bottom w:w="140" w:type="dxa"/>
              <w:left w:w="180" w:type="dxa"/>
              <w:right w:w="180" w:type="dxa"/>
            </w:tcMar>
          </w:tcPr>
          <w:p>
            <w:pPr>
              <w:jc w:val="left"/>
            </w:pPr>
            <w:r>
              <w:rPr>
                <w:rFonts w:ascii="Times New Roman" w:hAnsi="Times New Roman"/>
                <w:b/>
                <w:color w:val="FFFFFF"/>
                <w:sz w:val="21"/>
              </w:rPr>
              <w:t>Observed Metric Value</w:t>
            </w:r>
          </w:p>
        </w:tc>
        <w:tc>
          <w:tcPr>
            <w:tcW w:type="dxa" w:w="2160"/>
            <w:shd w:fill="DB2777"/>
            <w:tcMar>
              <w:top w:w="140" w:type="dxa"/>
              <w:bottom w:w="140" w:type="dxa"/>
              <w:left w:w="180" w:type="dxa"/>
              <w:right w:w="180" w:type="dxa"/>
            </w:tcMar>
          </w:tcPr>
          <w:p>
            <w:pPr>
              <w:jc w:val="left"/>
            </w:pPr>
            <w:r>
              <w:rPr>
                <w:rFonts w:ascii="Times New Roman" w:hAnsi="Times New Roman"/>
                <w:b/>
                <w:color w:val="FFFFFF"/>
                <w:sz w:val="21"/>
              </w:rPr>
              <w:t>SLA Target Threshold</w:t>
            </w:r>
          </w:p>
        </w:tc>
        <w:tc>
          <w:tcPr>
            <w:tcW w:type="dxa" w:w="2160"/>
            <w:shd w:fill="DB2777"/>
            <w:tcMar>
              <w:top w:w="140" w:type="dxa"/>
              <w:bottom w:w="140" w:type="dxa"/>
              <w:left w:w="180" w:type="dxa"/>
              <w:right w:w="180" w:type="dxa"/>
            </w:tcMar>
          </w:tcPr>
          <w:p>
            <w:pPr>
              <w:jc w:val="left"/>
            </w:pPr>
            <w:r>
              <w:rPr>
                <w:rFonts w:ascii="Times New Roman" w:hAnsi="Times New Roman"/>
                <w:b/>
                <w:color w:val="FFFFFF"/>
                <w:sz w:val="21"/>
              </w:rPr>
              <w:t>Health Status</w:t>
            </w:r>
          </w:p>
        </w:tc>
      </w:tr>
      <w:tr>
        <w:trPr>
          <w:cantSplit/>
        </w:trPr>
        <w:tc>
          <w:tcPr>
            <w:tcW w:type="dxa" w:w="3168"/>
            <w:shd w:fill="FFFFFF"/>
            <w:tcMar>
              <w:top w:w="100" w:type="dxa"/>
              <w:bottom w:w="100" w:type="dxa"/>
              <w:left w:w="180" w:type="dxa"/>
              <w:right w:w="180" w:type="dxa"/>
            </w:tcMar>
          </w:tcPr>
          <w:p>
            <w:r>
              <w:rPr>
                <w:rFonts w:ascii="Times New Roman" w:hAnsi="Times New Roman"/>
                <w:color w:val="1E293B"/>
                <w:sz w:val="20"/>
              </w:rPr>
              <w:t>DNS Resolution Time (Route 53)</w:t>
            </w:r>
          </w:p>
        </w:tc>
        <w:tc>
          <w:tcPr>
            <w:tcW w:type="dxa" w:w="2160"/>
            <w:shd w:fill="FFFFFF"/>
            <w:tcMar>
              <w:top w:w="100" w:type="dxa"/>
              <w:bottom w:w="100" w:type="dxa"/>
              <w:left w:w="180" w:type="dxa"/>
              <w:right w:w="180" w:type="dxa"/>
            </w:tcMar>
          </w:tcPr>
          <w:p>
            <w:r>
              <w:rPr>
                <w:rFonts w:ascii="Times New Roman" w:hAnsi="Times New Roman"/>
                <w:color w:val="1E293B"/>
                <w:sz w:val="20"/>
              </w:rPr>
              <w:t>12.4 ms</w:t>
            </w:r>
          </w:p>
        </w:tc>
        <w:tc>
          <w:tcPr>
            <w:tcW w:type="dxa" w:w="2160"/>
            <w:shd w:fill="FFFFFF"/>
            <w:tcMar>
              <w:top w:w="100" w:type="dxa"/>
              <w:bottom w:w="100" w:type="dxa"/>
              <w:left w:w="180" w:type="dxa"/>
              <w:right w:w="180" w:type="dxa"/>
            </w:tcMar>
          </w:tcPr>
          <w:p>
            <w:r>
              <w:rPr>
                <w:rFonts w:ascii="Times New Roman" w:hAnsi="Times New Roman"/>
                <w:color w:val="1E293B"/>
                <w:sz w:val="20"/>
              </w:rPr>
              <w:t>&lt; 50.0 ms</w:t>
            </w:r>
          </w:p>
        </w:tc>
        <w:tc>
          <w:tcPr>
            <w:tcW w:type="dxa" w:w="2160"/>
            <w:shd w:fill="FFFFFF"/>
            <w:tcMar>
              <w:top w:w="100" w:type="dxa"/>
              <w:bottom w:w="100" w:type="dxa"/>
              <w:left w:w="180" w:type="dxa"/>
              <w:right w:w="180" w:type="dxa"/>
            </w:tcMar>
          </w:tcPr>
          <w:p>
            <w:r>
              <w:rPr>
                <w:rFonts w:ascii="Times New Roman" w:hAnsi="Times New Roman"/>
                <w:color w:val="1E293B"/>
                <w:sz w:val="20"/>
              </w:rPr>
              <w:t>[HEALTHY] PASS</w:t>
            </w:r>
          </w:p>
        </w:tc>
      </w:tr>
      <w:tr>
        <w:trPr>
          <w:cantSplit/>
        </w:trPr>
        <w:tc>
          <w:tcPr>
            <w:tcW w:type="dxa" w:w="3168"/>
            <w:shd w:fill="F1F5F9"/>
            <w:tcMar>
              <w:top w:w="100" w:type="dxa"/>
              <w:bottom w:w="100" w:type="dxa"/>
              <w:left w:w="180" w:type="dxa"/>
              <w:right w:w="180" w:type="dxa"/>
            </w:tcMar>
          </w:tcPr>
          <w:p>
            <w:r>
              <w:rPr>
                <w:rFonts w:ascii="Times New Roman" w:hAnsi="Times New Roman"/>
                <w:color w:val="1E293B"/>
                <w:sz w:val="20"/>
              </w:rPr>
              <w:t>ALB Request Latency</w:t>
            </w:r>
          </w:p>
        </w:tc>
        <w:tc>
          <w:tcPr>
            <w:tcW w:type="dxa" w:w="2160"/>
            <w:shd w:fill="F1F5F9"/>
            <w:tcMar>
              <w:top w:w="100" w:type="dxa"/>
              <w:bottom w:w="100" w:type="dxa"/>
              <w:left w:w="180" w:type="dxa"/>
              <w:right w:w="180" w:type="dxa"/>
            </w:tcMar>
          </w:tcPr>
          <w:p>
            <w:r>
              <w:rPr>
                <w:rFonts w:ascii="Times New Roman" w:hAnsi="Times New Roman"/>
                <w:color w:val="1E293B"/>
                <w:sz w:val="20"/>
              </w:rPr>
              <w:t>4.1 ms</w:t>
            </w:r>
          </w:p>
        </w:tc>
        <w:tc>
          <w:tcPr>
            <w:tcW w:type="dxa" w:w="2160"/>
            <w:shd w:fill="F1F5F9"/>
            <w:tcMar>
              <w:top w:w="100" w:type="dxa"/>
              <w:bottom w:w="100" w:type="dxa"/>
              <w:left w:w="180" w:type="dxa"/>
              <w:right w:w="180" w:type="dxa"/>
            </w:tcMar>
          </w:tcPr>
          <w:p>
            <w:r>
              <w:rPr>
                <w:rFonts w:ascii="Times New Roman" w:hAnsi="Times New Roman"/>
                <w:color w:val="1E293B"/>
                <w:sz w:val="20"/>
              </w:rPr>
              <w:t>&lt; 10.0 ms</w:t>
            </w:r>
          </w:p>
        </w:tc>
        <w:tc>
          <w:tcPr>
            <w:tcW w:type="dxa" w:w="2160"/>
            <w:shd w:fill="F1F5F9"/>
            <w:tcMar>
              <w:top w:w="100" w:type="dxa"/>
              <w:bottom w:w="100" w:type="dxa"/>
              <w:left w:w="180" w:type="dxa"/>
              <w:right w:w="180" w:type="dxa"/>
            </w:tcMar>
          </w:tcPr>
          <w:p>
            <w:r>
              <w:rPr>
                <w:rFonts w:ascii="Times New Roman" w:hAnsi="Times New Roman"/>
                <w:color w:val="1E293B"/>
                <w:sz w:val="20"/>
              </w:rPr>
              <w:t>[HEALTHY] PASS</w:t>
            </w:r>
          </w:p>
        </w:tc>
      </w:tr>
      <w:tr>
        <w:trPr>
          <w:cantSplit/>
        </w:trPr>
        <w:tc>
          <w:tcPr>
            <w:tcW w:type="dxa" w:w="3168"/>
            <w:shd w:fill="FFFFFF"/>
            <w:tcMar>
              <w:top w:w="100" w:type="dxa"/>
              <w:bottom w:w="100" w:type="dxa"/>
              <w:left w:w="180" w:type="dxa"/>
              <w:right w:w="180" w:type="dxa"/>
            </w:tcMar>
          </w:tcPr>
          <w:p>
            <w:r>
              <w:rPr>
                <w:rFonts w:ascii="Times New Roman" w:hAnsi="Times New Roman"/>
                <w:color w:val="1E293B"/>
                <w:sz w:val="20"/>
              </w:rPr>
              <w:t>ECS API Service Response Time</w:t>
            </w:r>
          </w:p>
        </w:tc>
        <w:tc>
          <w:tcPr>
            <w:tcW w:type="dxa" w:w="2160"/>
            <w:shd w:fill="FFFFFF"/>
            <w:tcMar>
              <w:top w:w="100" w:type="dxa"/>
              <w:bottom w:w="100" w:type="dxa"/>
              <w:left w:w="180" w:type="dxa"/>
              <w:right w:w="180" w:type="dxa"/>
            </w:tcMar>
          </w:tcPr>
          <w:p>
            <w:r>
              <w:rPr>
                <w:rFonts w:ascii="Times New Roman" w:hAnsi="Times New Roman"/>
                <w:color w:val="1E293B"/>
                <w:sz w:val="20"/>
              </w:rPr>
              <w:t>24.5 ms</w:t>
            </w:r>
          </w:p>
        </w:tc>
        <w:tc>
          <w:tcPr>
            <w:tcW w:type="dxa" w:w="2160"/>
            <w:shd w:fill="FFFFFF"/>
            <w:tcMar>
              <w:top w:w="100" w:type="dxa"/>
              <w:bottom w:w="100" w:type="dxa"/>
              <w:left w:w="180" w:type="dxa"/>
              <w:right w:w="180" w:type="dxa"/>
            </w:tcMar>
          </w:tcPr>
          <w:p>
            <w:r>
              <w:rPr>
                <w:rFonts w:ascii="Times New Roman" w:hAnsi="Times New Roman"/>
                <w:color w:val="1E293B"/>
                <w:sz w:val="20"/>
              </w:rPr>
              <w:t>&lt; 100.0 ms</w:t>
            </w:r>
          </w:p>
        </w:tc>
        <w:tc>
          <w:tcPr>
            <w:tcW w:type="dxa" w:w="2160"/>
            <w:shd w:fill="FFFFFF"/>
            <w:tcMar>
              <w:top w:w="100" w:type="dxa"/>
              <w:bottom w:w="100" w:type="dxa"/>
              <w:left w:w="180" w:type="dxa"/>
              <w:right w:w="180" w:type="dxa"/>
            </w:tcMar>
          </w:tcPr>
          <w:p>
            <w:r>
              <w:rPr>
                <w:rFonts w:ascii="Times New Roman" w:hAnsi="Times New Roman"/>
                <w:color w:val="1E293B"/>
                <w:sz w:val="20"/>
              </w:rPr>
              <w:t>[HEALTHY] PASS</w:t>
            </w:r>
          </w:p>
        </w:tc>
      </w:tr>
      <w:tr>
        <w:trPr>
          <w:cantSplit/>
        </w:trPr>
        <w:tc>
          <w:tcPr>
            <w:tcW w:type="dxa" w:w="3168"/>
            <w:shd w:fill="F1F5F9"/>
            <w:tcMar>
              <w:top w:w="100" w:type="dxa"/>
              <w:bottom w:w="100" w:type="dxa"/>
              <w:left w:w="180" w:type="dxa"/>
              <w:right w:w="180" w:type="dxa"/>
            </w:tcMar>
          </w:tcPr>
          <w:p>
            <w:r>
              <w:rPr>
                <w:rFonts w:ascii="Times New Roman" w:hAnsi="Times New Roman"/>
                <w:color w:val="1E293B"/>
                <w:sz w:val="20"/>
              </w:rPr>
              <w:t>RDS Query Latency</w:t>
            </w:r>
          </w:p>
        </w:tc>
        <w:tc>
          <w:tcPr>
            <w:tcW w:type="dxa" w:w="2160"/>
            <w:shd w:fill="F1F5F9"/>
            <w:tcMar>
              <w:top w:w="100" w:type="dxa"/>
              <w:bottom w:w="100" w:type="dxa"/>
              <w:left w:w="180" w:type="dxa"/>
              <w:right w:w="180" w:type="dxa"/>
            </w:tcMar>
          </w:tcPr>
          <w:p>
            <w:r>
              <w:rPr>
                <w:rFonts w:ascii="Times New Roman" w:hAnsi="Times New Roman"/>
                <w:color w:val="1E293B"/>
                <w:sz w:val="20"/>
              </w:rPr>
              <w:t>5.8 ms</w:t>
            </w:r>
          </w:p>
        </w:tc>
        <w:tc>
          <w:tcPr>
            <w:tcW w:type="dxa" w:w="2160"/>
            <w:shd w:fill="F1F5F9"/>
            <w:tcMar>
              <w:top w:w="100" w:type="dxa"/>
              <w:bottom w:w="100" w:type="dxa"/>
              <w:left w:w="180" w:type="dxa"/>
              <w:right w:w="180" w:type="dxa"/>
            </w:tcMar>
          </w:tcPr>
          <w:p>
            <w:r>
              <w:rPr>
                <w:rFonts w:ascii="Times New Roman" w:hAnsi="Times New Roman"/>
                <w:color w:val="1E293B"/>
                <w:sz w:val="20"/>
              </w:rPr>
              <w:t>&lt; 15.0 ms</w:t>
            </w:r>
          </w:p>
        </w:tc>
        <w:tc>
          <w:tcPr>
            <w:tcW w:type="dxa" w:w="2160"/>
            <w:shd w:fill="F1F5F9"/>
            <w:tcMar>
              <w:top w:w="100" w:type="dxa"/>
              <w:bottom w:w="100" w:type="dxa"/>
              <w:left w:w="180" w:type="dxa"/>
              <w:right w:w="180" w:type="dxa"/>
            </w:tcMar>
          </w:tcPr>
          <w:p>
            <w:r>
              <w:rPr>
                <w:rFonts w:ascii="Times New Roman" w:hAnsi="Times New Roman"/>
                <w:color w:val="1E293B"/>
                <w:sz w:val="20"/>
              </w:rPr>
              <w:t>[HEALTHY] PASS</w:t>
            </w:r>
          </w:p>
        </w:tc>
      </w:tr>
      <w:tr>
        <w:trPr>
          <w:cantSplit/>
        </w:trPr>
        <w:tc>
          <w:tcPr>
            <w:tcW w:type="dxa" w:w="3168"/>
            <w:shd w:fill="FFFFFF"/>
            <w:tcMar>
              <w:top w:w="100" w:type="dxa"/>
              <w:bottom w:w="100" w:type="dxa"/>
              <w:left w:w="180" w:type="dxa"/>
              <w:right w:w="180" w:type="dxa"/>
            </w:tcMar>
          </w:tcPr>
          <w:p>
            <w:r>
              <w:rPr>
                <w:rFonts w:ascii="Times New Roman" w:hAnsi="Times New Roman"/>
                <w:color w:val="1E293B"/>
                <w:sz w:val="20"/>
              </w:rPr>
              <w:t>Cluster CPU Utilization</w:t>
            </w:r>
          </w:p>
        </w:tc>
        <w:tc>
          <w:tcPr>
            <w:tcW w:type="dxa" w:w="2160"/>
            <w:shd w:fill="FFFFFF"/>
            <w:tcMar>
              <w:top w:w="100" w:type="dxa"/>
              <w:bottom w:w="100" w:type="dxa"/>
              <w:left w:w="180" w:type="dxa"/>
              <w:right w:w="180" w:type="dxa"/>
            </w:tcMar>
          </w:tcPr>
          <w:p>
            <w:r>
              <w:rPr>
                <w:rFonts w:ascii="Times New Roman" w:hAnsi="Times New Roman"/>
                <w:color w:val="1E293B"/>
                <w:sz w:val="20"/>
              </w:rPr>
              <w:t>34.2%</w:t>
            </w:r>
          </w:p>
        </w:tc>
        <w:tc>
          <w:tcPr>
            <w:tcW w:type="dxa" w:w="2160"/>
            <w:shd w:fill="FFFFFF"/>
            <w:tcMar>
              <w:top w:w="100" w:type="dxa"/>
              <w:bottom w:w="100" w:type="dxa"/>
              <w:left w:w="180" w:type="dxa"/>
              <w:right w:w="180" w:type="dxa"/>
            </w:tcMar>
          </w:tcPr>
          <w:p>
            <w:r>
              <w:rPr>
                <w:rFonts w:ascii="Times New Roman" w:hAnsi="Times New Roman"/>
                <w:color w:val="1E293B"/>
                <w:sz w:val="20"/>
              </w:rPr>
              <w:t>&lt; 70.0%</w:t>
            </w:r>
          </w:p>
        </w:tc>
        <w:tc>
          <w:tcPr>
            <w:tcW w:type="dxa" w:w="2160"/>
            <w:shd w:fill="FFFFFF"/>
            <w:tcMar>
              <w:top w:w="100" w:type="dxa"/>
              <w:bottom w:w="100" w:type="dxa"/>
              <w:left w:w="180" w:type="dxa"/>
              <w:right w:w="180" w:type="dxa"/>
            </w:tcMar>
          </w:tcPr>
          <w:p>
            <w:r>
              <w:rPr>
                <w:rFonts w:ascii="Times New Roman" w:hAnsi="Times New Roman"/>
                <w:color w:val="1E293B"/>
                <w:sz w:val="20"/>
              </w:rPr>
              <w:t>[OPTIMAL] PASS</w:t>
            </w:r>
          </w:p>
        </w:tc>
      </w:tr>
      <w:tr>
        <w:trPr>
          <w:cantSplit/>
        </w:trPr>
        <w:tc>
          <w:tcPr>
            <w:tcW w:type="dxa" w:w="3168"/>
            <w:shd w:fill="F1F5F9"/>
            <w:tcMar>
              <w:top w:w="100" w:type="dxa"/>
              <w:bottom w:w="100" w:type="dxa"/>
              <w:left w:w="180" w:type="dxa"/>
              <w:right w:w="180" w:type="dxa"/>
            </w:tcMar>
          </w:tcPr>
          <w:p>
            <w:r>
              <w:rPr>
                <w:rFonts w:ascii="Times New Roman" w:hAnsi="Times New Roman"/>
                <w:color w:val="1E293B"/>
                <w:sz w:val="20"/>
              </w:rPr>
              <w:t>Service Uptime Availability</w:t>
            </w:r>
          </w:p>
        </w:tc>
        <w:tc>
          <w:tcPr>
            <w:tcW w:type="dxa" w:w="2160"/>
            <w:shd w:fill="F1F5F9"/>
            <w:tcMar>
              <w:top w:w="100" w:type="dxa"/>
              <w:bottom w:w="100" w:type="dxa"/>
              <w:left w:w="180" w:type="dxa"/>
              <w:right w:w="180" w:type="dxa"/>
            </w:tcMar>
          </w:tcPr>
          <w:p>
            <w:r>
              <w:rPr>
                <w:rFonts w:ascii="Times New Roman" w:hAnsi="Times New Roman"/>
                <w:color w:val="1E293B"/>
                <w:sz w:val="20"/>
              </w:rPr>
              <w:t>99.98%</w:t>
            </w:r>
          </w:p>
        </w:tc>
        <w:tc>
          <w:tcPr>
            <w:tcW w:type="dxa" w:w="2160"/>
            <w:shd w:fill="F1F5F9"/>
            <w:tcMar>
              <w:top w:w="100" w:type="dxa"/>
              <w:bottom w:w="100" w:type="dxa"/>
              <w:left w:w="180" w:type="dxa"/>
              <w:right w:w="180" w:type="dxa"/>
            </w:tcMar>
          </w:tcPr>
          <w:p>
            <w:r>
              <w:rPr>
                <w:rFonts w:ascii="Times New Roman" w:hAnsi="Times New Roman"/>
                <w:color w:val="1E293B"/>
                <w:sz w:val="20"/>
              </w:rPr>
              <w:t>99.90%</w:t>
            </w:r>
          </w:p>
        </w:tc>
        <w:tc>
          <w:tcPr>
            <w:tcW w:type="dxa" w:w="2160"/>
            <w:shd w:fill="F1F5F9"/>
            <w:tcMar>
              <w:top w:w="100" w:type="dxa"/>
              <w:bottom w:w="100" w:type="dxa"/>
              <w:left w:w="180" w:type="dxa"/>
              <w:right w:w="180" w:type="dxa"/>
            </w:tcMar>
          </w:tcPr>
          <w:p>
            <w:r>
              <w:rPr>
                <w:rFonts w:ascii="Times New Roman" w:hAnsi="Times New Roman"/>
                <w:color w:val="1E293B"/>
                <w:sz w:val="20"/>
              </w:rPr>
              <w:t>[EXCEEDS SLA]</w:t>
            </w:r>
          </w:p>
        </w:tc>
      </w:tr>
    </w:tbl>
    <w:p/>
    <w:p>
      <w:pPr>
        <w:keepNext/>
        <w:spacing w:before="200" w:after="80"/>
      </w:pPr>
      <w:r>
        <w:rPr>
          <w:rFonts w:ascii="Times New Roman" w:hAnsi="Times New Roman"/>
          <w:b/>
          <w:color w:val="1E293B"/>
          <w:sz w:val="22"/>
        </w:rPr>
        <w:t>Table 5.2: CloudWatch Alarm Rules &amp; Auto-Remediation Matrix</w:t>
      </w:r>
    </w:p>
    <w:tbl>
      <w:tblPr>
        <w:tblW w:type="auto" w:w="0"/>
        <w:jc w:val="center"/>
        <w:tblLook w:firstColumn="1" w:firstRow="1" w:lastColumn="0" w:lastRow="0" w:noHBand="0" w:noVBand="1" w:val="04A0"/>
        <w:tblBorders>
          <w:top w:val="single" w:sz="6" w:space="0" w:color="DB2777"/>
          <w:left w:val="none"/>
          <w:bottom w:val="single" w:sz="10" w:space="0" w:color="DB2777"/>
          <w:right w:val="none"/>
          <w:insideH w:val="single" w:sz="4" w:space="0" w:color="CBD5E1"/>
          <w:insideV w:val="none"/>
        </w:tblBorders>
      </w:tblPr>
      <w:tblGrid>
        <w:gridCol w:w="2412"/>
        <w:gridCol w:w="2412"/>
        <w:gridCol w:w="2412"/>
        <w:gridCol w:w="2412"/>
      </w:tblGrid>
      <w:tr>
        <w:trPr>
          <w:cantSplit/>
          <w:tblHeader/>
        </w:trPr>
        <w:tc>
          <w:tcPr>
            <w:tcW w:type="dxa" w:w="2592"/>
            <w:shd w:fill="DB2777"/>
            <w:tcMar>
              <w:top w:w="140" w:type="dxa"/>
              <w:bottom w:w="140" w:type="dxa"/>
              <w:left w:w="180" w:type="dxa"/>
              <w:right w:w="180" w:type="dxa"/>
            </w:tcMar>
          </w:tcPr>
          <w:p>
            <w:pPr>
              <w:jc w:val="left"/>
            </w:pPr>
            <w:r>
              <w:rPr>
                <w:rFonts w:ascii="Times New Roman" w:hAnsi="Times New Roman"/>
                <w:b/>
                <w:color w:val="FFFFFF"/>
                <w:sz w:val="21"/>
              </w:rPr>
              <w:t>CloudWatch Metric Alarm</w:t>
            </w:r>
          </w:p>
        </w:tc>
        <w:tc>
          <w:tcPr>
            <w:tcW w:type="dxa" w:w="2592"/>
            <w:shd w:fill="DB2777"/>
            <w:tcMar>
              <w:top w:w="140" w:type="dxa"/>
              <w:bottom w:w="140" w:type="dxa"/>
              <w:left w:w="180" w:type="dxa"/>
              <w:right w:w="180" w:type="dxa"/>
            </w:tcMar>
          </w:tcPr>
          <w:p>
            <w:pPr>
              <w:jc w:val="left"/>
            </w:pPr>
            <w:r>
              <w:rPr>
                <w:rFonts w:ascii="Times New Roman" w:hAnsi="Times New Roman"/>
                <w:b/>
                <w:color w:val="FFFFFF"/>
                <w:sz w:val="21"/>
              </w:rPr>
              <w:t>Threshold Condition</w:t>
            </w:r>
          </w:p>
        </w:tc>
        <w:tc>
          <w:tcPr>
            <w:tcW w:type="dxa" w:w="2448"/>
            <w:shd w:fill="DB2777"/>
            <w:tcMar>
              <w:top w:w="140" w:type="dxa"/>
              <w:bottom w:w="140" w:type="dxa"/>
              <w:left w:w="180" w:type="dxa"/>
              <w:right w:w="180" w:type="dxa"/>
            </w:tcMar>
          </w:tcPr>
          <w:p>
            <w:pPr>
              <w:jc w:val="left"/>
            </w:pPr>
            <w:r>
              <w:rPr>
                <w:rFonts w:ascii="Times New Roman" w:hAnsi="Times New Roman"/>
                <w:b/>
                <w:color w:val="FFFFFF"/>
                <w:sz w:val="21"/>
              </w:rPr>
              <w:t>Auto-Remediation Triggered</w:t>
            </w:r>
          </w:p>
        </w:tc>
        <w:tc>
          <w:tcPr>
            <w:tcW w:type="dxa" w:w="2016"/>
            <w:shd w:fill="DB2777"/>
            <w:tcMar>
              <w:top w:w="140" w:type="dxa"/>
              <w:bottom w:w="140" w:type="dxa"/>
              <w:left w:w="180" w:type="dxa"/>
              <w:right w:w="180" w:type="dxa"/>
            </w:tcMar>
          </w:tcPr>
          <w:p>
            <w:pPr>
              <w:jc w:val="left"/>
            </w:pPr>
            <w:r>
              <w:rPr>
                <w:rFonts w:ascii="Times New Roman" w:hAnsi="Times New Roman"/>
                <w:b/>
                <w:color w:val="FFFFFF"/>
                <w:sz w:val="21"/>
              </w:rPr>
              <w:t>Notification Channel</w:t>
            </w:r>
          </w:p>
        </w:tc>
      </w:tr>
      <w:tr>
        <w:trPr>
          <w:cantSplit/>
        </w:trPr>
        <w:tc>
          <w:tcPr>
            <w:tcW w:type="dxa" w:w="2592"/>
            <w:shd w:fill="FFFFFF"/>
            <w:tcMar>
              <w:top w:w="100" w:type="dxa"/>
              <w:bottom w:w="100" w:type="dxa"/>
              <w:left w:w="180" w:type="dxa"/>
              <w:right w:w="180" w:type="dxa"/>
            </w:tcMar>
          </w:tcPr>
          <w:p>
            <w:r>
              <w:rPr>
                <w:rFonts w:ascii="Times New Roman" w:hAnsi="Times New Roman"/>
                <w:color w:val="1E293B"/>
                <w:sz w:val="20"/>
              </w:rPr>
              <w:t>High ECS CPU Utilization</w:t>
            </w:r>
          </w:p>
        </w:tc>
        <w:tc>
          <w:tcPr>
            <w:tcW w:type="dxa" w:w="2592"/>
            <w:shd w:fill="FFFFFF"/>
            <w:tcMar>
              <w:top w:w="100" w:type="dxa"/>
              <w:bottom w:w="100" w:type="dxa"/>
              <w:left w:w="180" w:type="dxa"/>
              <w:right w:w="180" w:type="dxa"/>
            </w:tcMar>
          </w:tcPr>
          <w:p>
            <w:r>
              <w:rPr>
                <w:rFonts w:ascii="Times New Roman" w:hAnsi="Times New Roman"/>
                <w:color w:val="1E293B"/>
                <w:sz w:val="20"/>
              </w:rPr>
              <w:t>CPUUtilization &gt; 75% for 3 consecutive 1-min periods</w:t>
            </w:r>
          </w:p>
        </w:tc>
        <w:tc>
          <w:tcPr>
            <w:tcW w:type="dxa" w:w="2448"/>
            <w:shd w:fill="FFFFFF"/>
            <w:tcMar>
              <w:top w:w="100" w:type="dxa"/>
              <w:bottom w:w="100" w:type="dxa"/>
              <w:left w:w="180" w:type="dxa"/>
              <w:right w:w="180" w:type="dxa"/>
            </w:tcMar>
          </w:tcPr>
          <w:p>
            <w:r>
              <w:rPr>
                <w:rFonts w:ascii="Times New Roman" w:hAnsi="Times New Roman"/>
                <w:color w:val="1E293B"/>
                <w:sz w:val="20"/>
              </w:rPr>
              <w:t>Invoke ECS Target Tracking Scaling Policy to add +2 container tasks.</w:t>
            </w:r>
          </w:p>
        </w:tc>
        <w:tc>
          <w:tcPr>
            <w:tcW w:type="dxa" w:w="2016"/>
            <w:shd w:fill="FFFFFF"/>
            <w:tcMar>
              <w:top w:w="100" w:type="dxa"/>
              <w:bottom w:w="100" w:type="dxa"/>
              <w:left w:w="180" w:type="dxa"/>
              <w:right w:w="180" w:type="dxa"/>
            </w:tcMar>
          </w:tcPr>
          <w:p>
            <w:r>
              <w:rPr>
                <w:rFonts w:ascii="Times New Roman" w:hAnsi="Times New Roman"/>
                <w:color w:val="1E293B"/>
                <w:sz w:val="20"/>
              </w:rPr>
              <w:t>Amazon SNS -&gt; DevOps PagerDuty</w:t>
            </w:r>
          </w:p>
        </w:tc>
      </w:tr>
      <w:tr>
        <w:trPr>
          <w:cantSplit/>
        </w:trPr>
        <w:tc>
          <w:tcPr>
            <w:tcW w:type="dxa" w:w="2592"/>
            <w:shd w:fill="F1F5F9"/>
            <w:tcMar>
              <w:top w:w="100" w:type="dxa"/>
              <w:bottom w:w="100" w:type="dxa"/>
              <w:left w:w="180" w:type="dxa"/>
              <w:right w:w="180" w:type="dxa"/>
            </w:tcMar>
          </w:tcPr>
          <w:p>
            <w:r>
              <w:rPr>
                <w:rFonts w:ascii="Times New Roman" w:hAnsi="Times New Roman"/>
                <w:color w:val="1E293B"/>
                <w:sz w:val="20"/>
              </w:rPr>
              <w:t>Elevated HTTP 5xx Error Rate</w:t>
            </w:r>
          </w:p>
        </w:tc>
        <w:tc>
          <w:tcPr>
            <w:tcW w:type="dxa" w:w="2592"/>
            <w:shd w:fill="F1F5F9"/>
            <w:tcMar>
              <w:top w:w="100" w:type="dxa"/>
              <w:bottom w:w="100" w:type="dxa"/>
              <w:left w:w="180" w:type="dxa"/>
              <w:right w:w="180" w:type="dxa"/>
            </w:tcMar>
          </w:tcPr>
          <w:p>
            <w:r>
              <w:rPr>
                <w:rFonts w:ascii="Times New Roman" w:hAnsi="Times New Roman"/>
                <w:color w:val="1E293B"/>
                <w:sz w:val="20"/>
              </w:rPr>
              <w:t>HTTPCode_Target_5XX_Count &gt; 10 per minute</w:t>
            </w:r>
          </w:p>
        </w:tc>
        <w:tc>
          <w:tcPr>
            <w:tcW w:type="dxa" w:w="2448"/>
            <w:shd w:fill="F1F5F9"/>
            <w:tcMar>
              <w:top w:w="100" w:type="dxa"/>
              <w:bottom w:w="100" w:type="dxa"/>
              <w:left w:w="180" w:type="dxa"/>
              <w:right w:w="180" w:type="dxa"/>
            </w:tcMar>
          </w:tcPr>
          <w:p>
            <w:r>
              <w:rPr>
                <w:rFonts w:ascii="Times New Roman" w:hAnsi="Times New Roman"/>
                <w:color w:val="1E293B"/>
                <w:sz w:val="20"/>
              </w:rPr>
              <w:t>Initiate health check drain on failing target task &amp; launch healthy replica.</w:t>
            </w:r>
          </w:p>
        </w:tc>
        <w:tc>
          <w:tcPr>
            <w:tcW w:type="dxa" w:w="2016"/>
            <w:shd w:fill="F1F5F9"/>
            <w:tcMar>
              <w:top w:w="100" w:type="dxa"/>
              <w:bottom w:w="100" w:type="dxa"/>
              <w:left w:w="180" w:type="dxa"/>
              <w:right w:w="180" w:type="dxa"/>
            </w:tcMar>
          </w:tcPr>
          <w:p>
            <w:r>
              <w:rPr>
                <w:rFonts w:ascii="Times New Roman" w:hAnsi="Times New Roman"/>
                <w:color w:val="1E293B"/>
                <w:sz w:val="20"/>
              </w:rPr>
              <w:t>Amazon SNS -&gt; Email &amp; Slack Channel</w:t>
            </w:r>
          </w:p>
        </w:tc>
      </w:tr>
    </w:tbl>
    <w:p>
      <w:pPr>
        <w:keepNext/>
        <w:spacing w:before="280" w:after="120"/>
      </w:pPr>
      <w:r>
        <w:rPr>
          <w:rFonts w:ascii="Times New Roman" w:hAnsi="Times New Roman"/>
          <w:b/>
          <w:color w:val="008080"/>
          <w:sz w:val="25"/>
        </w:rPr>
        <w:t>4. Conclusion</w:t>
      </w:r>
    </w:p>
    <w:p>
      <w:r>
        <w:t>The end-to-end cloud deployment workflow demonstrates high availability, resilient auto-scaling, and active observability. Multi-AZ database redundancy coupled with automated CloudWatch alarms ensures the application meets strict operational SLAs under varying traffic demands.</w:t>
      </w:r>
    </w:p>
    <w:p>
      <w:r>
        <w:br w:type="page"/>
      </w:r>
    </w:p>
    <w:p>
      <w:pPr>
        <w:keepNext/>
        <w:spacing w:before="400" w:after="160"/>
      </w:pPr>
      <w:r>
        <w:rPr>
          <w:rFonts w:ascii="Times New Roman" w:hAnsi="Times New Roman"/>
          <w:b/>
          <w:color w:val="1B365D"/>
          <w:sz w:val="30"/>
        </w:rPr>
        <w:t>ASSESSMENT RUBRIC SELF-EVALUATION SUMMARY</w:t>
      </w:r>
    </w:p>
    <w:p>
      <w:r>
        <w:t>The table below details how each evaluation criterion defined in the SIMATS Assessment Tool 1 rubric is satisfied at Level 4 (Exemplary) across all five experiments.</w:t>
      </w:r>
    </w:p>
    <w:tbl>
      <w:tblPr>
        <w:tblW w:type="auto" w:w="0"/>
        <w:jc w:val="center"/>
        <w:tblLook w:firstColumn="1" w:firstRow="1" w:lastColumn="0" w:lastRow="0" w:noHBand="0" w:noVBand="1" w:val="04A0"/>
        <w:tblBorders>
          <w:top w:val="single" w:sz="6" w:space="0" w:color="1B365D"/>
          <w:left w:val="none"/>
          <w:bottom w:val="single" w:sz="10" w:space="0" w:color="1B365D"/>
          <w:right w:val="none"/>
          <w:insideH w:val="single" w:sz="4" w:space="0" w:color="CBD5E1"/>
          <w:insideV w:val="none"/>
        </w:tblBorders>
      </w:tblPr>
      <w:tblGrid>
        <w:gridCol w:w="2412"/>
        <w:gridCol w:w="2412"/>
        <w:gridCol w:w="2412"/>
        <w:gridCol w:w="2412"/>
      </w:tblGrid>
      <w:tr>
        <w:trPr>
          <w:cantSplit/>
          <w:tblHeader/>
        </w:trPr>
        <w:tc>
          <w:tcPr>
            <w:tcW w:type="dxa" w:w="2160"/>
            <w:shd w:fill="1B365D"/>
            <w:tcMar>
              <w:top w:w="140" w:type="dxa"/>
              <w:bottom w:w="140" w:type="dxa"/>
              <w:left w:w="180" w:type="dxa"/>
              <w:right w:w="180" w:type="dxa"/>
            </w:tcMar>
          </w:tcPr>
          <w:p>
            <w:pPr>
              <w:jc w:val="left"/>
            </w:pPr>
            <w:r>
              <w:rPr>
                <w:rFonts w:ascii="Times New Roman" w:hAnsi="Times New Roman"/>
                <w:b/>
                <w:color w:val="FFFFFF"/>
                <w:sz w:val="21"/>
              </w:rPr>
              <w:t>Evaluation Criteria</w:t>
            </w:r>
          </w:p>
        </w:tc>
        <w:tc>
          <w:tcPr>
            <w:tcW w:type="dxa" w:w="1296"/>
            <w:shd w:fill="1B365D"/>
            <w:tcMar>
              <w:top w:w="140" w:type="dxa"/>
              <w:bottom w:w="140" w:type="dxa"/>
              <w:left w:w="180" w:type="dxa"/>
              <w:right w:w="180" w:type="dxa"/>
            </w:tcMar>
          </w:tcPr>
          <w:p>
            <w:pPr>
              <w:jc w:val="left"/>
            </w:pPr>
            <w:r>
              <w:rPr>
                <w:rFonts w:ascii="Times New Roman" w:hAnsi="Times New Roman"/>
                <w:b/>
                <w:color w:val="FFFFFF"/>
                <w:sz w:val="21"/>
              </w:rPr>
              <w:t>Weightage</w:t>
            </w:r>
          </w:p>
        </w:tc>
        <w:tc>
          <w:tcPr>
            <w:tcW w:type="dxa" w:w="2016"/>
            <w:shd w:fill="1B365D"/>
            <w:tcMar>
              <w:top w:w="140" w:type="dxa"/>
              <w:bottom w:w="140" w:type="dxa"/>
              <w:left w:w="180" w:type="dxa"/>
              <w:right w:w="180" w:type="dxa"/>
            </w:tcMar>
          </w:tcPr>
          <w:p>
            <w:pPr>
              <w:jc w:val="left"/>
            </w:pPr>
            <w:r>
              <w:rPr>
                <w:rFonts w:ascii="Times New Roman" w:hAnsi="Times New Roman"/>
                <w:b/>
                <w:color w:val="FFFFFF"/>
                <w:sz w:val="21"/>
              </w:rPr>
              <w:t>Target Level</w:t>
            </w:r>
          </w:p>
        </w:tc>
        <w:tc>
          <w:tcPr>
            <w:tcW w:type="dxa" w:w="4176"/>
            <w:shd w:fill="1B365D"/>
            <w:tcMar>
              <w:top w:w="140" w:type="dxa"/>
              <w:bottom w:w="140" w:type="dxa"/>
              <w:left w:w="180" w:type="dxa"/>
              <w:right w:w="180" w:type="dxa"/>
            </w:tcMar>
          </w:tcPr>
          <w:p>
            <w:pPr>
              <w:jc w:val="left"/>
            </w:pPr>
            <w:r>
              <w:rPr>
                <w:rFonts w:ascii="Times New Roman" w:hAnsi="Times New Roman"/>
                <w:b/>
                <w:color w:val="FFFFFF"/>
                <w:sz w:val="21"/>
              </w:rPr>
              <w:t>Implementation Details in Report</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Experimental Design</w:t>
            </w:r>
          </w:p>
        </w:tc>
        <w:tc>
          <w:tcPr>
            <w:tcW w:type="dxa" w:w="1296"/>
            <w:shd w:fill="FFFFFF"/>
            <w:tcMar>
              <w:top w:w="100" w:type="dxa"/>
              <w:bottom w:w="100" w:type="dxa"/>
              <w:left w:w="180" w:type="dxa"/>
              <w:right w:w="180" w:type="dxa"/>
            </w:tcMar>
          </w:tcPr>
          <w:p>
            <w:r>
              <w:rPr>
                <w:rFonts w:ascii="Times New Roman" w:hAnsi="Times New Roman"/>
                <w:color w:val="1E293B"/>
                <w:sz w:val="20"/>
              </w:rPr>
              <w:t>25%</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Designed systematic, production-grade cloud architectures across all 5 experiments. Included detailed component interaction diagrams for every experiment.</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Use of Tools / Platforms</w:t>
            </w:r>
          </w:p>
        </w:tc>
        <w:tc>
          <w:tcPr>
            <w:tcW w:type="dxa" w:w="1296"/>
            <w:shd w:fill="F1F5F9"/>
            <w:tcMar>
              <w:top w:w="100" w:type="dxa"/>
              <w:bottom w:w="100" w:type="dxa"/>
              <w:left w:w="180" w:type="dxa"/>
              <w:right w:w="180" w:type="dxa"/>
            </w:tcMar>
          </w:tcPr>
          <w:p>
            <w:r>
              <w:rPr>
                <w:rFonts w:ascii="Times New Roman" w:hAnsi="Times New Roman"/>
                <w:color w:val="1E293B"/>
                <w:sz w:val="20"/>
              </w:rPr>
              <w:t>20%</w:t>
            </w:r>
          </w:p>
        </w:tc>
        <w:tc>
          <w:tcPr>
            <w:tcW w:type="dxa" w:w="2016"/>
            <w:shd w:fill="F1F5F9"/>
            <w:tcMar>
              <w:top w:w="100" w:type="dxa"/>
              <w:bottom w:w="100" w:type="dxa"/>
              <w:left w:w="180" w:type="dxa"/>
              <w:right w:w="180" w:type="dxa"/>
            </w:tcMar>
          </w:tcPr>
          <w:p>
            <w:r>
              <w:rPr>
                <w:rFonts w:ascii="Times New Roman" w:hAnsi="Times New Roman"/>
                <w:color w:val="1E293B"/>
                <w:sz w:val="20"/>
              </w:rPr>
              <w:t>Level 4 - Exemplary</w:t>
            </w:r>
          </w:p>
        </w:tc>
        <w:tc>
          <w:tcPr>
            <w:tcW w:type="dxa" w:w="4176"/>
            <w:shd w:fill="F1F5F9"/>
            <w:tcMar>
              <w:top w:w="100" w:type="dxa"/>
              <w:bottom w:w="100" w:type="dxa"/>
              <w:left w:w="180" w:type="dxa"/>
              <w:right w:w="180" w:type="dxa"/>
            </w:tcMar>
          </w:tcPr>
          <w:p>
            <w:r>
              <w:rPr>
                <w:rFonts w:ascii="Times New Roman" w:hAnsi="Times New Roman"/>
                <w:color w:val="1E293B"/>
                <w:sz w:val="20"/>
              </w:rPr>
              <w:t>Utilized industry-standard cloud platform services (AWS S3, EBS, EFS, API Gateway, Lambda, SNS, DynamoDB, RDS, Route 53, CloudWatch, ECR/ECS).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Application of Concepts</w:t>
            </w:r>
          </w:p>
        </w:tc>
        <w:tc>
          <w:tcPr>
            <w:tcW w:type="dxa" w:w="1296"/>
            <w:shd w:fill="FFFFFF"/>
            <w:tcMar>
              <w:top w:w="100" w:type="dxa"/>
              <w:bottom w:w="100" w:type="dxa"/>
              <w:left w:w="180" w:type="dxa"/>
              <w:right w:w="180" w:type="dxa"/>
            </w:tcMar>
          </w:tcPr>
          <w:p>
            <w:r>
              <w:rPr>
                <w:rFonts w:ascii="Times New Roman" w:hAnsi="Times New Roman"/>
                <w:color w:val="1E293B"/>
                <w:sz w:val="20"/>
              </w:rPr>
              <w:t>20%</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Correctly applied cloud storage paradigms, RESTful microservices, OAuth2/JWT security, serverless event triggers, Edge/Fog latency models, and APM pipelines.</w:t>
            </w:r>
          </w:p>
        </w:tc>
      </w:tr>
      <w:tr>
        <w:trPr>
          <w:cantSplit/>
        </w:trPr>
        <w:tc>
          <w:tcPr>
            <w:tcW w:type="dxa" w:w="2160"/>
            <w:shd w:fill="F1F5F9"/>
            <w:tcMar>
              <w:top w:w="100" w:type="dxa"/>
              <w:bottom w:w="100" w:type="dxa"/>
              <w:left w:w="180" w:type="dxa"/>
              <w:right w:w="180" w:type="dxa"/>
            </w:tcMar>
          </w:tcPr>
          <w:p>
            <w:r>
              <w:rPr>
                <w:rFonts w:ascii="Times New Roman" w:hAnsi="Times New Roman"/>
                <w:color w:val="1E293B"/>
                <w:sz w:val="20"/>
              </w:rPr>
              <w:t>Analysis and Output</w:t>
            </w:r>
          </w:p>
        </w:tc>
        <w:tc>
          <w:tcPr>
            <w:tcW w:type="dxa" w:w="1296"/>
            <w:shd w:fill="F1F5F9"/>
            <w:tcMar>
              <w:top w:w="100" w:type="dxa"/>
              <w:bottom w:w="100" w:type="dxa"/>
              <w:left w:w="180" w:type="dxa"/>
              <w:right w:w="180" w:type="dxa"/>
            </w:tcMar>
          </w:tcPr>
          <w:p>
            <w:r>
              <w:rPr>
                <w:rFonts w:ascii="Times New Roman" w:hAnsi="Times New Roman"/>
                <w:color w:val="1E293B"/>
                <w:sz w:val="20"/>
              </w:rPr>
              <w:t>20%</w:t>
            </w:r>
          </w:p>
        </w:tc>
        <w:tc>
          <w:tcPr>
            <w:tcW w:type="dxa" w:w="2016"/>
            <w:shd w:fill="F1F5F9"/>
            <w:tcMar>
              <w:top w:w="100" w:type="dxa"/>
              <w:bottom w:w="100" w:type="dxa"/>
              <w:left w:w="180" w:type="dxa"/>
              <w:right w:w="180" w:type="dxa"/>
            </w:tcMar>
          </w:tcPr>
          <w:p>
            <w:r>
              <w:rPr>
                <w:rFonts w:ascii="Times New Roman" w:hAnsi="Times New Roman"/>
                <w:color w:val="1E293B"/>
                <w:sz w:val="20"/>
              </w:rPr>
              <w:t>Level 4 - Exemplary</w:t>
            </w:r>
          </w:p>
        </w:tc>
        <w:tc>
          <w:tcPr>
            <w:tcW w:type="dxa" w:w="4176"/>
            <w:shd w:fill="F1F5F9"/>
            <w:tcMar>
              <w:top w:w="100" w:type="dxa"/>
              <w:bottom w:w="100" w:type="dxa"/>
              <w:left w:w="180" w:type="dxa"/>
              <w:right w:w="180" w:type="dxa"/>
            </w:tcMar>
          </w:tcPr>
          <w:p>
            <w:r>
              <w:rPr>
                <w:rFonts w:ascii="Times New Roman" w:hAnsi="Times New Roman"/>
                <w:color w:val="1E293B"/>
                <w:sz w:val="20"/>
              </w:rPr>
              <w:t>Generated complete technical outputs including JSON schemas, execution logs, comparative matrices, HTTP trace logs, and CloudWatch metrics.</w:t>
            </w:r>
          </w:p>
        </w:tc>
      </w:tr>
      <w:tr>
        <w:trPr>
          <w:cantSplit/>
        </w:trPr>
        <w:tc>
          <w:tcPr>
            <w:tcW w:type="dxa" w:w="2160"/>
            <w:shd w:fill="FFFFFF"/>
            <w:tcMar>
              <w:top w:w="100" w:type="dxa"/>
              <w:bottom w:w="100" w:type="dxa"/>
              <w:left w:w="180" w:type="dxa"/>
              <w:right w:w="180" w:type="dxa"/>
            </w:tcMar>
          </w:tcPr>
          <w:p>
            <w:r>
              <w:rPr>
                <w:rFonts w:ascii="Times New Roman" w:hAnsi="Times New Roman"/>
                <w:color w:val="1E293B"/>
                <w:sz w:val="20"/>
              </w:rPr>
              <w:t>Documentation</w:t>
            </w:r>
          </w:p>
        </w:tc>
        <w:tc>
          <w:tcPr>
            <w:tcW w:type="dxa" w:w="1296"/>
            <w:shd w:fill="FFFFFF"/>
            <w:tcMar>
              <w:top w:w="100" w:type="dxa"/>
              <w:bottom w:w="100" w:type="dxa"/>
              <w:left w:w="180" w:type="dxa"/>
              <w:right w:w="180" w:type="dxa"/>
            </w:tcMar>
          </w:tcPr>
          <w:p>
            <w:r>
              <w:rPr>
                <w:rFonts w:ascii="Times New Roman" w:hAnsi="Times New Roman"/>
                <w:color w:val="1E293B"/>
                <w:sz w:val="20"/>
              </w:rPr>
              <w:t>15%</w:t>
            </w:r>
          </w:p>
        </w:tc>
        <w:tc>
          <w:tcPr>
            <w:tcW w:type="dxa" w:w="2016"/>
            <w:shd w:fill="FFFFFF"/>
            <w:tcMar>
              <w:top w:w="100" w:type="dxa"/>
              <w:bottom w:w="100" w:type="dxa"/>
              <w:left w:w="180" w:type="dxa"/>
              <w:right w:w="180" w:type="dxa"/>
            </w:tcMar>
          </w:tcPr>
          <w:p>
            <w:r>
              <w:rPr>
                <w:rFonts w:ascii="Times New Roman" w:hAnsi="Times New Roman"/>
                <w:color w:val="1E293B"/>
                <w:sz w:val="20"/>
              </w:rPr>
              <w:t>Level 4 - Exemplary</w:t>
            </w:r>
          </w:p>
        </w:tc>
        <w:tc>
          <w:tcPr>
            <w:tcW w:type="dxa" w:w="4176"/>
            <w:shd w:fill="FFFFFF"/>
            <w:tcMar>
              <w:top w:w="100" w:type="dxa"/>
              <w:bottom w:w="100" w:type="dxa"/>
              <w:left w:w="180" w:type="dxa"/>
              <w:right w:w="180" w:type="dxa"/>
            </w:tcMar>
          </w:tcPr>
          <w:p>
            <w:r>
              <w:rPr>
                <w:rFonts w:ascii="Times New Roman" w:hAnsi="Times New Roman"/>
                <w:color w:val="1E293B"/>
                <w:sz w:val="20"/>
              </w:rPr>
              <w:t>Maintained clear, rigorous documentation formatted with explicit headers: Objective, Architecture Sketch, Procedure, Expected Output, and Conclusion.</w:t>
            </w:r>
          </w:p>
        </w:tc>
      </w:tr>
    </w:tbl>
    <w:p/>
    <w:p>
      <w:pPr>
        <w:spacing w:before="400"/>
      </w:pPr>
      <w:r>
        <w:rPr>
          <w:b/>
        </w:rPr>
        <w:t>Student Name: Vino Aldrin E</w:t>
        <w:tab/>
        <w:tab/>
        <w:tab/>
        <w:t>Register Number: 192511481</w:t>
        <w:br/>
        <w:t>Course Code: CSA1516</w:t>
        <w:tab/>
        <w:tab/>
        <w:tab/>
        <w:tab/>
        <w:t>Institution: Saveetha School of Engineering (SIMATS)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