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1B365D"/>
            <w:tcMar>
              <w:top w:w="200" w:type="dxa"/>
              <w:bottom w:w="200" w:type="dxa"/>
              <w:left w:w="240" w:type="dxa"/>
              <w:right w:w="240" w:type="dxa"/>
            </w:tcMar>
          </w:tcPr>
          <w:p>
            <w:pPr>
              <w:spacing w:after="80"/>
              <w:jc w:val="center"/>
            </w:pPr>
            <w:r>
              <w:rPr>
                <w:rFonts w:ascii="Times New Roman" w:hAnsi="Times New Roman"/>
                <w:b/>
                <w:color w:val="FFFFFF"/>
                <w:sz w:val="34"/>
              </w:rPr>
              <w:t>SAVEETHA SCHOOL OF ENGINEERING</w:t>
              <w:br/>
            </w:r>
            <w:r>
              <w:rPr>
                <w:rFonts w:ascii="Times New Roman" w:hAnsi="Times New Roman"/>
                <w:color w:val="93C5FD"/>
                <w:sz w:val="21"/>
              </w:rPr>
              <w:t>SAVEETHA INSTITUTE OF MEDICAL AND TECHNICAL SCIENCES (SIMATS), CHENNAI</w:t>
              <w:br/>
            </w:r>
          </w:p>
          <w:p>
            <w:pPr>
              <w:spacing w:after="0"/>
              <w:jc w:val="center"/>
            </w:pPr>
            <w:r>
              <w:rPr>
                <w:rFonts w:ascii="Times New Roman" w:hAnsi="Times New Roman"/>
                <w:b/>
                <w:color w:val="FBBF24"/>
                <w:sz w:val="24"/>
              </w:rPr>
              <w:t>DEPARTMENT OF COMPUTER SCIENCE AND ENGINEERING</w:t>
              <w:br/>
              <w:t>CO3 ASSESSMENT TOOL - II: CASE STUDY ANALYSIS</w:t>
            </w:r>
          </w:p>
        </w:tc>
      </w:tr>
    </w:tbl>
    <w:p/>
    <w:tbl>
      <w:tblPr>
        <w:tblW w:type="auto" w:w="0"/>
        <w:jc w:val="center"/>
        <w:tblLook w:firstColumn="1" w:firstRow="1" w:lastColumn="0" w:lastRow="0" w:noHBand="0" w:noVBand="1" w:val="04A0"/>
        <w:tblBorders>
          <w:top w:val="single" w:sz="8" w:space="0" w:color="1B365D"/>
          <w:left w:val="single" w:sz="8" w:space="0" w:color="1B365D"/>
          <w:bottom w:val="single" w:sz="8" w:space="0" w:color="1B365D"/>
          <w:right w:val="single" w:sz="8" w:space="0" w:color="1B365D"/>
          <w:insideH w:val="single" w:sz="4" w:space="0" w:color="CBD5E1"/>
          <w:insideV w:val="single" w:sz="4" w:space="0" w:color="CBD5E1"/>
        </w:tblBorders>
      </w:tblPr>
      <w:tblGrid>
        <w:gridCol w:w="4824"/>
        <w:gridCol w:w="4824"/>
      </w:tblGrid>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Student Name</w:t>
            </w:r>
          </w:p>
        </w:tc>
        <w:tc>
          <w:tcPr>
            <w:tcW w:type="dxa" w:w="6480"/>
            <w:shd w:fill="F8FAFC"/>
            <w:tcMar>
              <w:top w:w="80" w:type="dxa"/>
              <w:bottom w:w="80" w:type="dxa"/>
              <w:left w:w="120" w:type="dxa"/>
              <w:right w:w="120" w:type="dxa"/>
            </w:tcMar>
          </w:tcPr>
          <w:p>
            <w:pPr>
              <w:spacing w:after="40"/>
            </w:pPr>
            <w:r>
              <w:rPr>
                <w:rFonts w:ascii="Times New Roman" w:hAnsi="Times New Roman"/>
                <w:b/>
                <w:color w:val="1E293B"/>
                <w:sz w:val="20"/>
              </w:rPr>
              <w:t>Vino Aldrin E</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Register Number</w:t>
            </w:r>
          </w:p>
        </w:tc>
        <w:tc>
          <w:tcPr>
            <w:tcW w:type="dxa" w:w="6480"/>
            <w:shd w:fill="FFFFFF"/>
            <w:tcMar>
              <w:top w:w="80" w:type="dxa"/>
              <w:bottom w:w="80" w:type="dxa"/>
              <w:left w:w="120" w:type="dxa"/>
              <w:right w:w="120" w:type="dxa"/>
            </w:tcMar>
          </w:tcPr>
          <w:p>
            <w:pPr>
              <w:spacing w:after="40"/>
            </w:pPr>
            <w:r>
              <w:rPr>
                <w:rFonts w:ascii="Times New Roman" w:hAnsi="Times New Roman"/>
                <w:b/>
                <w:color w:val="1E293B"/>
                <w:sz w:val="20"/>
              </w:rPr>
              <w:t>192511481</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Institution</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Saveetha School of Engineering (SIMATS), Chennai</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Code &amp; Title</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CSA1516 - Cloud Computing and Big Data Analytics</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Assessment Tool Type</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Case Study Analysis (Cases 1, 2, and 3)</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Outcome (CO)</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CO3: Implement cloud-based solutions using cloud storage, web APIs, and platform services for real-world applications. (BL3)</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Taxonomy &amp; Weightage</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Dave's Taxonomy: Precision (Level 3) | Weightage: 20% (Total Marks: 30)</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Faculty</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Dr. Santhiya Lakshmi Kumaravel</w:t>
            </w:r>
          </w:p>
        </w:tc>
      </w:tr>
    </w:tbl>
    <w:p/>
    <w:p>
      <w:pPr>
        <w:keepNext/>
        <w:spacing w:before="280" w:after="120"/>
      </w:pPr>
      <w:r>
        <w:rPr>
          <w:rFonts w:ascii="Times New Roman" w:hAnsi="Times New Roman"/>
          <w:b/>
          <w:color w:val="008080"/>
          <w:sz w:val="25"/>
        </w:rPr>
        <w:t>Executive Overview &amp; Case Study Evaluation Scope</w:t>
      </w:r>
    </w:p>
    <w:p>
      <w:r>
        <w:t>This document provides a thorough, highly technical solution for Assessment Tool 2 (Case Study) covering Course Outcome CO3 in CSA1516 Cloud Computing and Big Data Analytics. The work evaluates three real-world industrial scenarios: a cloud-native food delivery platform architecture, a media startup video processing and storage model comparison, and a multi-tiered smart city edge-fog-cloud decision platform. All answers include architectural diagrams, structural schemas, trade-off matrices, and meet the Level-4 Exemplary assessment rubric standards.</w:t>
      </w:r>
    </w:p>
    <w:p>
      <w:r>
        <w:br w:type="page"/>
      </w:r>
    </w:p>
    <w:p>
      <w:pPr>
        <w:keepNext/>
        <w:spacing w:before="400" w:after="160"/>
      </w:pPr>
      <w:r>
        <w:rPr>
          <w:rFonts w:ascii="Times New Roman" w:hAnsi="Times New Roman"/>
          <w:b/>
          <w:color w:val="1B365D"/>
          <w:sz w:val="30"/>
        </w:rPr>
        <w:t>CASE 1: Cloud-Native Food Delivery Backend Architecture</w:t>
      </w: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200" w:type="dxa"/>
              <w:right w:w="200" w:type="dxa"/>
            </w:tcMar>
            <w:tcBorders>
              <w:top w:val="none"/>
              <w:left w:val="single" w:sz="24" w:space="0" w:color="1D4ED8"/>
              <w:bottom w:val="none"/>
              <w:right w:val="none"/>
            </w:tcBorders>
          </w:tcPr>
          <w:p>
            <w:pPr>
              <w:spacing w:after="40"/>
            </w:pPr>
            <w:r>
              <w:rPr>
                <w:rFonts w:ascii="Times New Roman" w:hAnsi="Times New Roman"/>
                <w:b/>
                <w:color w:val="1D4ED8"/>
                <w:sz w:val="21"/>
              </w:rPr>
              <w:t>CASE STATEMENT: Cloud-Native Backend, Web APIs, Browser Clients &amp; Shared Cloud Storage</w:t>
              <w:br/>
            </w:r>
            <w:r>
              <w:rPr>
                <w:rFonts w:ascii="Times New Roman" w:hAnsi="Times New Roman"/>
                <w:color w:val="334155"/>
                <w:sz w:val="20"/>
              </w:rPr>
              <w:t>A food delivery company wants to deploy a cloud-native backend with web APIs, browser clients, and shared cloud storage for receipts and delivery images. Propose the architecture and explain the role of each component.</w:t>
            </w:r>
          </w:p>
        </w:tc>
      </w:tr>
    </w:tbl>
    <w:p/>
    <w:p>
      <w:pPr>
        <w:keepNext/>
        <w:spacing w:before="280" w:after="120"/>
      </w:pPr>
      <w:r>
        <w:rPr>
          <w:rFonts w:ascii="Times New Roman" w:hAnsi="Times New Roman"/>
          <w:b/>
          <w:color w:val="008080"/>
          <w:sz w:val="25"/>
        </w:rPr>
        <w:t>1. Business Requirements &amp; Architectural Vision</w:t>
      </w:r>
    </w:p>
    <w:p>
      <w:r>
        <w:t>Modern food delivery platforms require highly scalable, resilient, and decoupled backends capable of handling rapid order spikes, real-time driver tracking, secure customer authentication, and unstructured media storage. The system must process thousands of concurrent REST API requests, manage transactional database records for food orders, and maintain shared object storage for digital PDF receipts and high-resolution proof-of-delivery images taken by delivery drivers.</w:t>
      </w:r>
    </w:p>
    <w:p>
      <w:pPr>
        <w:jc w:val="center"/>
      </w:pPr>
      <w:r>
        <w:drawing>
          <wp:inline xmlns:a="http://schemas.openxmlformats.org/drawingml/2006/main" xmlns:pic="http://schemas.openxmlformats.org/drawingml/2006/picture">
            <wp:extent cx="5943600" cy="3106303"/>
            <wp:docPr id="1" name="Picture 1"/>
            <wp:cNvGraphicFramePr>
              <a:graphicFrameLocks noChangeAspect="1"/>
            </wp:cNvGraphicFramePr>
            <a:graphic>
              <a:graphicData uri="http://schemas.openxmlformats.org/drawingml/2006/picture">
                <pic:pic>
                  <pic:nvPicPr>
                    <pic:cNvPr id="0" name="case1_food_delivery_architecture.png"/>
                    <pic:cNvPicPr/>
                  </pic:nvPicPr>
                  <pic:blipFill>
                    <a:blip r:embed="rId9"/>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1.1: Cloud-Native Food Delivery Platform End-to-End Microservices Architecture</w:t>
      </w:r>
    </w:p>
    <w:p>
      <w:pPr>
        <w:keepNext/>
        <w:spacing w:before="280" w:after="120"/>
      </w:pPr>
      <w:r>
        <w:rPr>
          <w:rFonts w:ascii="Times New Roman" w:hAnsi="Times New Roman"/>
          <w:b/>
          <w:color w:val="008080"/>
          <w:sz w:val="25"/>
        </w:rPr>
        <w:t>2. Detailed Component Decomposition &amp; Technical Roles</w:t>
      </w:r>
    </w:p>
    <w:p>
      <w:pPr>
        <w:keepNext/>
        <w:spacing w:before="200" w:after="80"/>
      </w:pPr>
      <w:r>
        <w:rPr>
          <w:rFonts w:ascii="Times New Roman" w:hAnsi="Times New Roman"/>
          <w:b/>
          <w:color w:val="1E293B"/>
          <w:sz w:val="22"/>
        </w:rPr>
        <w:t>Table 1.1: Component Role Decomposition &amp; Operational Responsibilities</w:t>
      </w:r>
    </w:p>
    <w:tbl>
      <w:tblPr>
        <w:tblW w:type="auto" w:w="0"/>
        <w:jc w:val="center"/>
        <w:tblLook w:firstColumn="1" w:firstRow="1" w:lastColumn="0" w:lastRow="0" w:noHBand="0" w:noVBand="1" w:val="04A0"/>
        <w:tblBorders>
          <w:top w:val="single" w:sz="6" w:space="0" w:color="1D4ED8"/>
          <w:left w:val="none"/>
          <w:bottom w:val="single" w:sz="10" w:space="0" w:color="1D4ED8"/>
          <w:right w:val="none"/>
          <w:insideH w:val="single" w:sz="4" w:space="0" w:color="CBD5E1"/>
          <w:insideV w:val="none"/>
        </w:tblBorders>
      </w:tblPr>
      <w:tblGrid>
        <w:gridCol w:w="3216"/>
        <w:gridCol w:w="3216"/>
        <w:gridCol w:w="3216"/>
      </w:tblGrid>
      <w:tr>
        <w:trPr>
          <w:cantSplit/>
          <w:tblHeader/>
        </w:trPr>
        <w:tc>
          <w:tcPr>
            <w:tcW w:type="dxa" w:w="2304"/>
            <w:shd w:fill="1D4ED8"/>
            <w:tcMar>
              <w:top w:w="140" w:type="dxa"/>
              <w:bottom w:w="140" w:type="dxa"/>
              <w:left w:w="180" w:type="dxa"/>
              <w:right w:w="180" w:type="dxa"/>
            </w:tcMar>
          </w:tcPr>
          <w:p>
            <w:pPr>
              <w:jc w:val="left"/>
            </w:pPr>
            <w:r>
              <w:rPr>
                <w:rFonts w:ascii="Times New Roman" w:hAnsi="Times New Roman"/>
                <w:b/>
                <w:color w:val="FFFFFF"/>
                <w:sz w:val="21"/>
              </w:rPr>
              <w:t>Architecture Tier</w:t>
            </w:r>
          </w:p>
        </w:tc>
        <w:tc>
          <w:tcPr>
            <w:tcW w:type="dxa" w:w="2592"/>
            <w:shd w:fill="1D4ED8"/>
            <w:tcMar>
              <w:top w:w="140" w:type="dxa"/>
              <w:bottom w:w="140" w:type="dxa"/>
              <w:left w:w="180" w:type="dxa"/>
              <w:right w:w="180" w:type="dxa"/>
            </w:tcMar>
          </w:tcPr>
          <w:p>
            <w:pPr>
              <w:jc w:val="left"/>
            </w:pPr>
            <w:r>
              <w:rPr>
                <w:rFonts w:ascii="Times New Roman" w:hAnsi="Times New Roman"/>
                <w:b/>
                <w:color w:val="FFFFFF"/>
                <w:sz w:val="21"/>
              </w:rPr>
              <w:t>Cloud Platform Service</w:t>
            </w:r>
          </w:p>
        </w:tc>
        <w:tc>
          <w:tcPr>
            <w:tcW w:type="dxa" w:w="4752"/>
            <w:shd w:fill="1D4ED8"/>
            <w:tcMar>
              <w:top w:w="140" w:type="dxa"/>
              <w:bottom w:w="140" w:type="dxa"/>
              <w:left w:w="180" w:type="dxa"/>
              <w:right w:w="180" w:type="dxa"/>
            </w:tcMar>
          </w:tcPr>
          <w:p>
            <w:pPr>
              <w:jc w:val="left"/>
            </w:pPr>
            <w:r>
              <w:rPr>
                <w:rFonts w:ascii="Times New Roman" w:hAnsi="Times New Roman"/>
                <w:b/>
                <w:color w:val="FFFFFF"/>
                <w:sz w:val="21"/>
              </w:rPr>
              <w:t>Operational Role &amp; Functional Responsibilities</w:t>
            </w:r>
          </w:p>
        </w:tc>
      </w:tr>
      <w:tr>
        <w:trPr>
          <w:cantSplit/>
        </w:trPr>
        <w:tc>
          <w:tcPr>
            <w:tcW w:type="dxa" w:w="2304"/>
            <w:shd w:fill="FFFFFF"/>
            <w:tcMar>
              <w:top w:w="100" w:type="dxa"/>
              <w:bottom w:w="100" w:type="dxa"/>
              <w:left w:w="180" w:type="dxa"/>
              <w:right w:w="180" w:type="dxa"/>
            </w:tcMar>
          </w:tcPr>
          <w:p>
            <w:r>
              <w:rPr>
                <w:rFonts w:ascii="Times New Roman" w:hAnsi="Times New Roman"/>
                <w:color w:val="1E293B"/>
                <w:sz w:val="20"/>
              </w:rPr>
              <w:t>Client Gateway Tier</w:t>
            </w:r>
          </w:p>
        </w:tc>
        <w:tc>
          <w:tcPr>
            <w:tcW w:type="dxa" w:w="2592"/>
            <w:shd w:fill="FFFFFF"/>
            <w:tcMar>
              <w:top w:w="100" w:type="dxa"/>
              <w:bottom w:w="100" w:type="dxa"/>
              <w:left w:w="180" w:type="dxa"/>
              <w:right w:w="180" w:type="dxa"/>
            </w:tcMar>
          </w:tcPr>
          <w:p>
            <w:r>
              <w:rPr>
                <w:rFonts w:ascii="Times New Roman" w:hAnsi="Times New Roman"/>
                <w:color w:val="1E293B"/>
                <w:sz w:val="20"/>
              </w:rPr>
              <w:t>AWS Route 53 &amp; CloudFront CDN</w:t>
            </w:r>
          </w:p>
        </w:tc>
        <w:tc>
          <w:tcPr>
            <w:tcW w:type="dxa" w:w="4752"/>
            <w:shd w:fill="FFFFFF"/>
            <w:tcMar>
              <w:top w:w="100" w:type="dxa"/>
              <w:bottom w:w="100" w:type="dxa"/>
              <w:left w:w="180" w:type="dxa"/>
              <w:right w:w="180" w:type="dxa"/>
            </w:tcMar>
          </w:tcPr>
          <w:p>
            <w:r>
              <w:rPr>
                <w:rFonts w:ascii="Times New Roman" w:hAnsi="Times New Roman"/>
                <w:color w:val="1E293B"/>
                <w:sz w:val="20"/>
              </w:rPr>
              <w:t>Provides global low-latency DNS resolution and static asset caching for web browsers and mobile application clients (React Native).</w:t>
            </w:r>
          </w:p>
        </w:tc>
      </w:tr>
      <w:tr>
        <w:trPr>
          <w:cantSplit/>
        </w:trPr>
        <w:tc>
          <w:tcPr>
            <w:tcW w:type="dxa" w:w="2304"/>
            <w:shd w:fill="F1F5F9"/>
            <w:tcMar>
              <w:top w:w="100" w:type="dxa"/>
              <w:bottom w:w="100" w:type="dxa"/>
              <w:left w:w="180" w:type="dxa"/>
              <w:right w:w="180" w:type="dxa"/>
            </w:tcMar>
          </w:tcPr>
          <w:p>
            <w:r>
              <w:rPr>
                <w:rFonts w:ascii="Times New Roman" w:hAnsi="Times New Roman"/>
                <w:color w:val="1E293B"/>
                <w:sz w:val="20"/>
              </w:rPr>
              <w:t>API &amp; Security Tier</w:t>
            </w:r>
          </w:p>
        </w:tc>
        <w:tc>
          <w:tcPr>
            <w:tcW w:type="dxa" w:w="2592"/>
            <w:shd w:fill="F1F5F9"/>
            <w:tcMar>
              <w:top w:w="100" w:type="dxa"/>
              <w:bottom w:w="100" w:type="dxa"/>
              <w:left w:w="180" w:type="dxa"/>
              <w:right w:w="180" w:type="dxa"/>
            </w:tcMar>
          </w:tcPr>
          <w:p>
            <w:r>
              <w:rPr>
                <w:rFonts w:ascii="Times New Roman" w:hAnsi="Times New Roman"/>
                <w:color w:val="1E293B"/>
                <w:sz w:val="20"/>
              </w:rPr>
              <w:t>AWS API Gateway &amp; Amazon Cognito</w:t>
            </w:r>
          </w:p>
        </w:tc>
        <w:tc>
          <w:tcPr>
            <w:tcW w:type="dxa" w:w="4752"/>
            <w:shd w:fill="F1F5F9"/>
            <w:tcMar>
              <w:top w:w="100" w:type="dxa"/>
              <w:bottom w:w="100" w:type="dxa"/>
              <w:left w:w="180" w:type="dxa"/>
              <w:right w:w="180" w:type="dxa"/>
            </w:tcMar>
          </w:tcPr>
          <w:p>
            <w:r>
              <w:rPr>
                <w:rFonts w:ascii="Times New Roman" w:hAnsi="Times New Roman"/>
                <w:color w:val="1E293B"/>
                <w:sz w:val="20"/>
              </w:rPr>
              <w:t>Handles REST API request routing, rate-limiting, CORS enforcement, and validates OAuth2 / JWT bearer tokens for customers, drivers, and restaurant staff.</w:t>
            </w:r>
          </w:p>
        </w:tc>
      </w:tr>
      <w:tr>
        <w:trPr>
          <w:cantSplit/>
        </w:trPr>
        <w:tc>
          <w:tcPr>
            <w:tcW w:type="dxa" w:w="2304"/>
            <w:shd w:fill="FFFFFF"/>
            <w:tcMar>
              <w:top w:w="100" w:type="dxa"/>
              <w:bottom w:w="100" w:type="dxa"/>
              <w:left w:w="180" w:type="dxa"/>
              <w:right w:w="180" w:type="dxa"/>
            </w:tcMar>
          </w:tcPr>
          <w:p>
            <w:r>
              <w:rPr>
                <w:rFonts w:ascii="Times New Roman" w:hAnsi="Times New Roman"/>
                <w:color w:val="1E293B"/>
                <w:sz w:val="20"/>
              </w:rPr>
              <w:t>Compute Service Tier</w:t>
            </w:r>
          </w:p>
        </w:tc>
        <w:tc>
          <w:tcPr>
            <w:tcW w:type="dxa" w:w="2592"/>
            <w:shd w:fill="FFFFFF"/>
            <w:tcMar>
              <w:top w:w="100" w:type="dxa"/>
              <w:bottom w:w="100" w:type="dxa"/>
              <w:left w:w="180" w:type="dxa"/>
              <w:right w:w="180" w:type="dxa"/>
            </w:tcMar>
          </w:tcPr>
          <w:p>
            <w:r>
              <w:rPr>
                <w:rFonts w:ascii="Times New Roman" w:hAnsi="Times New Roman"/>
                <w:color w:val="1E293B"/>
                <w:sz w:val="20"/>
              </w:rPr>
              <w:t>AWS ECS (Elastic Container Service)</w:t>
            </w:r>
          </w:p>
        </w:tc>
        <w:tc>
          <w:tcPr>
            <w:tcW w:type="dxa" w:w="4752"/>
            <w:shd w:fill="FFFFFF"/>
            <w:tcMar>
              <w:top w:w="100" w:type="dxa"/>
              <w:bottom w:w="100" w:type="dxa"/>
              <w:left w:w="180" w:type="dxa"/>
              <w:right w:w="180" w:type="dxa"/>
            </w:tcMar>
          </w:tcPr>
          <w:p>
            <w:r>
              <w:rPr>
                <w:rFonts w:ascii="Times New Roman" w:hAnsi="Times New Roman"/>
                <w:color w:val="1E293B"/>
                <w:sz w:val="20"/>
              </w:rPr>
              <w:t>Executes auto-scaled microservices inside Docker containers across Availability Zones for order processing, driver assignment, and billing.</w:t>
            </w:r>
          </w:p>
        </w:tc>
      </w:tr>
      <w:tr>
        <w:trPr>
          <w:cantSplit/>
        </w:trPr>
        <w:tc>
          <w:tcPr>
            <w:tcW w:type="dxa" w:w="2304"/>
            <w:shd w:fill="F1F5F9"/>
            <w:tcMar>
              <w:top w:w="100" w:type="dxa"/>
              <w:bottom w:w="100" w:type="dxa"/>
              <w:left w:w="180" w:type="dxa"/>
              <w:right w:w="180" w:type="dxa"/>
            </w:tcMar>
          </w:tcPr>
          <w:p>
            <w:r>
              <w:rPr>
                <w:rFonts w:ascii="Times New Roman" w:hAnsi="Times New Roman"/>
                <w:color w:val="1E293B"/>
                <w:sz w:val="20"/>
              </w:rPr>
              <w:t>Relational Data Tier</w:t>
            </w:r>
          </w:p>
        </w:tc>
        <w:tc>
          <w:tcPr>
            <w:tcW w:type="dxa" w:w="2592"/>
            <w:shd w:fill="F1F5F9"/>
            <w:tcMar>
              <w:top w:w="100" w:type="dxa"/>
              <w:bottom w:w="100" w:type="dxa"/>
              <w:left w:w="180" w:type="dxa"/>
              <w:right w:w="180" w:type="dxa"/>
            </w:tcMar>
          </w:tcPr>
          <w:p>
            <w:r>
              <w:rPr>
                <w:rFonts w:ascii="Times New Roman" w:hAnsi="Times New Roman"/>
                <w:color w:val="1E293B"/>
                <w:sz w:val="20"/>
              </w:rPr>
              <w:t>Amazon Aurora PostgreSQL (Multi-AZ)</w:t>
            </w:r>
          </w:p>
        </w:tc>
        <w:tc>
          <w:tcPr>
            <w:tcW w:type="dxa" w:w="4752"/>
            <w:shd w:fill="F1F5F9"/>
            <w:tcMar>
              <w:top w:w="100" w:type="dxa"/>
              <w:bottom w:w="100" w:type="dxa"/>
              <w:left w:w="180" w:type="dxa"/>
              <w:right w:w="180" w:type="dxa"/>
            </w:tcMar>
          </w:tcPr>
          <w:p>
            <w:r>
              <w:rPr>
                <w:rFonts w:ascii="Times New Roman" w:hAnsi="Times New Roman"/>
                <w:color w:val="1E293B"/>
                <w:sz w:val="20"/>
              </w:rPr>
              <w:t>Stores structured transactional data including user profile information, restaurant menus, order states, payment logs, and delivery routes.</w:t>
            </w:r>
          </w:p>
        </w:tc>
      </w:tr>
      <w:tr>
        <w:trPr>
          <w:cantSplit/>
        </w:trPr>
        <w:tc>
          <w:tcPr>
            <w:tcW w:type="dxa" w:w="2304"/>
            <w:shd w:fill="FFFFFF"/>
            <w:tcMar>
              <w:top w:w="100" w:type="dxa"/>
              <w:bottom w:w="100" w:type="dxa"/>
              <w:left w:w="180" w:type="dxa"/>
              <w:right w:w="180" w:type="dxa"/>
            </w:tcMar>
          </w:tcPr>
          <w:p>
            <w:r>
              <w:rPr>
                <w:rFonts w:ascii="Times New Roman" w:hAnsi="Times New Roman"/>
                <w:color w:val="1E293B"/>
                <w:sz w:val="20"/>
              </w:rPr>
              <w:t>Unstructured Storage Tier</w:t>
            </w:r>
          </w:p>
        </w:tc>
        <w:tc>
          <w:tcPr>
            <w:tcW w:type="dxa" w:w="2592"/>
            <w:shd w:fill="FFFFFF"/>
            <w:tcMar>
              <w:top w:w="100" w:type="dxa"/>
              <w:bottom w:w="100" w:type="dxa"/>
              <w:left w:w="180" w:type="dxa"/>
              <w:right w:w="180" w:type="dxa"/>
            </w:tcMar>
          </w:tcPr>
          <w:p>
            <w:r>
              <w:rPr>
                <w:rFonts w:ascii="Times New Roman" w:hAnsi="Times New Roman"/>
                <w:color w:val="1E293B"/>
                <w:sz w:val="20"/>
              </w:rPr>
              <w:t>AWS S3 Standard (Receipts &amp; Delivery Photos)</w:t>
            </w:r>
          </w:p>
        </w:tc>
        <w:tc>
          <w:tcPr>
            <w:tcW w:type="dxa" w:w="4752"/>
            <w:shd w:fill="FFFFFF"/>
            <w:tcMar>
              <w:top w:w="100" w:type="dxa"/>
              <w:bottom w:w="100" w:type="dxa"/>
              <w:left w:w="180" w:type="dxa"/>
              <w:right w:w="180" w:type="dxa"/>
            </w:tcMar>
          </w:tcPr>
          <w:p>
            <w:r>
              <w:rPr>
                <w:rFonts w:ascii="Times New Roman" w:hAnsi="Times New Roman"/>
                <w:color w:val="1E293B"/>
                <w:sz w:val="20"/>
              </w:rPr>
              <w:t>Provides durable object storage for PDF receipts and driver proof-of-delivery photos using pre-signed S3 upload URLs.</w:t>
            </w:r>
          </w:p>
        </w:tc>
      </w:tr>
      <w:tr>
        <w:trPr>
          <w:cantSplit/>
        </w:trPr>
        <w:tc>
          <w:tcPr>
            <w:tcW w:type="dxa" w:w="2304"/>
            <w:shd w:fill="F1F5F9"/>
            <w:tcMar>
              <w:top w:w="100" w:type="dxa"/>
              <w:bottom w:w="100" w:type="dxa"/>
              <w:left w:w="180" w:type="dxa"/>
              <w:right w:w="180" w:type="dxa"/>
            </w:tcMar>
          </w:tcPr>
          <w:p>
            <w:r>
              <w:rPr>
                <w:rFonts w:ascii="Times New Roman" w:hAnsi="Times New Roman"/>
                <w:color w:val="1E293B"/>
                <w:sz w:val="20"/>
              </w:rPr>
              <w:t>Observability Pipeline</w:t>
            </w:r>
          </w:p>
        </w:tc>
        <w:tc>
          <w:tcPr>
            <w:tcW w:type="dxa" w:w="2592"/>
            <w:shd w:fill="F1F5F9"/>
            <w:tcMar>
              <w:top w:w="100" w:type="dxa"/>
              <w:bottom w:w="100" w:type="dxa"/>
              <w:left w:w="180" w:type="dxa"/>
              <w:right w:w="180" w:type="dxa"/>
            </w:tcMar>
          </w:tcPr>
          <w:p>
            <w:r>
              <w:rPr>
                <w:rFonts w:ascii="Times New Roman" w:hAnsi="Times New Roman"/>
                <w:color w:val="1E293B"/>
                <w:sz w:val="20"/>
              </w:rPr>
              <w:t>AWS CloudWatch &amp; AWS X-Ray</w:t>
            </w:r>
          </w:p>
        </w:tc>
        <w:tc>
          <w:tcPr>
            <w:tcW w:type="dxa" w:w="4752"/>
            <w:shd w:fill="F1F5F9"/>
            <w:tcMar>
              <w:top w:w="100" w:type="dxa"/>
              <w:bottom w:w="100" w:type="dxa"/>
              <w:left w:w="180" w:type="dxa"/>
              <w:right w:w="180" w:type="dxa"/>
            </w:tcMar>
          </w:tcPr>
          <w:p>
            <w:r>
              <w:rPr>
                <w:rFonts w:ascii="Times New Roman" w:hAnsi="Times New Roman"/>
                <w:color w:val="1E293B"/>
                <w:sz w:val="20"/>
              </w:rPr>
              <w:t>Aggregates container metrics, API request latency, and distributed traces to automatically trigger container auto-scaling and alert DevOps teams.</w:t>
            </w:r>
          </w:p>
        </w:tc>
      </w:tr>
    </w:tbl>
    <w:p>
      <w:pPr>
        <w:keepNext/>
        <w:spacing w:before="280" w:after="120"/>
      </w:pPr>
      <w:r>
        <w:rPr>
          <w:rFonts w:ascii="Times New Roman" w:hAnsi="Times New Roman"/>
          <w:b/>
          <w:color w:val="008080"/>
          <w:sz w:val="25"/>
        </w:rPr>
        <w:t>3. Secure Media Upload &amp; Presigned S3 URL Workflow</w:t>
      </w:r>
    </w:p>
    <w:p>
      <w:r>
        <w:t>To prevent delivery images and receipt files from overwhelming backend compute containers, the platform utilizes AWS S3 Presigned URLs. When a driver uploads a proof-of-delivery photo, the mobile app requests a secure presigned URL from the Order Microservice. The driver app then uploads the binary image directly to AWS S3, bypassing backend servers entirely.</w:t>
      </w:r>
    </w:p>
    <w:p>
      <w:pPr>
        <w:keepNext/>
        <w:spacing w:before="160" w:after="40"/>
      </w:pPr>
      <w:r>
        <w:rPr>
          <w:rFonts w:ascii="Times New Roman" w:hAnsi="Times New Roman"/>
          <w:b/>
          <w:color w:val="008080"/>
          <w:sz w:val="20"/>
        </w:rPr>
        <w:t>Listing 1.1: Presigned S3 Upload URL Generation Contract</w:t>
      </w: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60" w:type="dxa"/>
              <w:right w:w="160" w:type="dxa"/>
            </w:tcMar>
            <w:tcBorders>
              <w:top w:val="single" w:sz="4" w:space="0" w:color="CBD5E1"/>
              <w:left w:val="single" w:sz="16" w:space="0" w:color="008080"/>
              <w:bottom w:val="single" w:sz="4" w:space="0" w:color="CBD5E1"/>
              <w:right w:val="single" w:sz="4" w:space="0" w:color="CBD5E1"/>
            </w:tcBorders>
          </w:tcPr>
          <w:p>
            <w:pPr>
              <w:spacing w:after="0" w:line="252" w:lineRule="auto"/>
            </w:pPr>
            <w:r>
              <w:rPr>
                <w:rFonts w:ascii="Consolas" w:hAnsi="Consolas"/>
                <w:color w:val="0F172A"/>
                <w:sz w:val="18"/>
              </w:rPr>
              <w:t>POST /api/v1/orders/ORD-98412/delivery-proof-url HTTP/1.1</w:t>
              <w:br/>
              <w:t>Host: api.fooddelivery.simats.edu</w:t>
              <w:br/>
              <w:t>Authorization: Bearer eyJhbGciOiJSUzI1NiIsInR5cCI6IkpXVCJ9...</w:t>
              <w:br/>
              <w:t>Content-Type: application/json</w:t>
              <w:br/>
              <w:br/>
              <w:t>{</w:t>
              <w:br/>
              <w:t xml:space="preserve">  "order_id": "ORD-98412",</w:t>
              <w:br/>
              <w:t xml:space="preserve">  "driver_id": "DRV-192511481",</w:t>
              <w:br/>
              <w:t xml:space="preserve">  "file_name": "proof_ORD98412.jpg",</w:t>
              <w:br/>
              <w:t xml:space="preserve">  "content_type": "image/jpeg"</w:t>
              <w:br/>
              <w:t>}</w:t>
              <w:br/>
              <w:br/>
              <w:t>--- SERVER RESPONSE (HTTP/1.1 200 OK) ---</w:t>
              <w:br/>
              <w:t>{</w:t>
              <w:br/>
              <w:t xml:space="preserve">  "status": "success",</w:t>
              <w:br/>
              <w:t xml:space="preserve">  "data": {</w:t>
              <w:br/>
              <w:t xml:space="preserve">    "upload_url": "https://food-delivery-media-bucket.s3.ap-south-1.amazonaws.com/receipts/proof_ORD98412.jpg?AWSAccessKeyId=AKIAIOSFODNN7EXAMPLE&amp;Signature=v3X8%2B...",</w:t>
              <w:br/>
              <w:t xml:space="preserve">    "expires_in_seconds": 300,</w:t>
              <w:br/>
              <w:t xml:space="preserve">    "s3_key": "receipts/proof_ORD98412.jpg"</w:t>
              <w:br/>
              <w:t xml:space="preserve">  }</w:t>
              <w:br/>
              <w:t>}</w:t>
            </w:r>
          </w:p>
        </w:tc>
      </w:tr>
    </w:tbl>
    <w:p/>
    <w:p>
      <w:pPr>
        <w:keepNext/>
        <w:spacing w:before="280" w:after="120"/>
      </w:pPr>
      <w:r>
        <w:rPr>
          <w:rFonts w:ascii="Times New Roman" w:hAnsi="Times New Roman"/>
          <w:b/>
          <w:color w:val="008080"/>
          <w:sz w:val="25"/>
        </w:rPr>
        <w:t>4. Summary Justification</w:t>
      </w:r>
    </w:p>
    <w:p>
      <w:r>
        <w:t>The proposed cloud-native backend satisfies all functional requirements of the food delivery enterprise. By offloading media ingestion directly to AWS S3 via presigned URLs, insulating databases with Amazon Aurora Multi-AZ replication, and securing REST APIs through Amazon Cognito JWT tokens, the platform achieves elastic scalability and 99.99% operational availability.</w:t>
      </w:r>
    </w:p>
    <w:p>
      <w:r>
        <w:br w:type="page"/>
      </w:r>
    </w:p>
    <w:p>
      <w:pPr>
        <w:keepNext/>
        <w:spacing w:before="400" w:after="160"/>
      </w:pPr>
      <w:r>
        <w:rPr>
          <w:rFonts w:ascii="Times New Roman" w:hAnsi="Times New Roman"/>
          <w:b/>
          <w:color w:val="1B365D"/>
          <w:sz w:val="30"/>
        </w:rPr>
        <w:t>CASE 2: Media Startup Video Storage &amp; Processing Model Analysis</w:t>
      </w:r>
    </w:p>
    <w:tbl>
      <w:tblPr>
        <w:tblW w:type="auto" w:w="0"/>
        <w:jc w:val="center"/>
        <w:tblLook w:firstColumn="1" w:firstRow="1" w:lastColumn="0" w:lastRow="0" w:noHBand="0" w:noVBand="1" w:val="04A0"/>
      </w:tblPr>
      <w:tblGrid>
        <w:gridCol w:w="9648"/>
      </w:tblGrid>
      <w:tr>
        <w:tc>
          <w:tcPr>
            <w:tcW w:type="dxa" w:w="9648"/>
            <w:shd w:fill="ECFDF5"/>
            <w:tcMar>
              <w:top w:w="140" w:type="dxa"/>
              <w:bottom w:w="140" w:type="dxa"/>
              <w:left w:w="200" w:type="dxa"/>
              <w:right w:w="200" w:type="dxa"/>
            </w:tcMar>
            <w:tcBorders>
              <w:top w:val="none"/>
              <w:left w:val="single" w:sz="24" w:space="0" w:color="059669"/>
              <w:bottom w:val="none"/>
              <w:right w:val="none"/>
            </w:tcBorders>
          </w:tcPr>
          <w:p>
            <w:pPr>
              <w:spacing w:after="40"/>
            </w:pPr>
            <w:r>
              <w:rPr>
                <w:rFonts w:ascii="Times New Roman" w:hAnsi="Times New Roman"/>
                <w:b/>
                <w:color w:val="059669"/>
                <w:sz w:val="21"/>
              </w:rPr>
              <w:t>CASE STATEMENT: Storage &amp; Transcoding Workflow Analysis: SAN vs. Object Storage vs. Serverless</w:t>
              <w:br/>
            </w:r>
            <w:r>
              <w:rPr>
                <w:rFonts w:ascii="Times New Roman" w:hAnsi="Times New Roman"/>
                <w:color w:val="334155"/>
                <w:sz w:val="20"/>
              </w:rPr>
              <w:t>A media startup must decide between SAN-backed storage, object storage, and serverless processing for video upload workflows. Analyze the case and recommend a deployment model.</w:t>
            </w:r>
          </w:p>
        </w:tc>
      </w:tr>
    </w:tbl>
    <w:p/>
    <w:p>
      <w:pPr>
        <w:keepNext/>
        <w:spacing w:before="280" w:after="120"/>
      </w:pPr>
      <w:r>
        <w:rPr>
          <w:rFonts w:ascii="Times New Roman" w:hAnsi="Times New Roman"/>
          <w:b/>
          <w:color w:val="008080"/>
          <w:sz w:val="25"/>
        </w:rPr>
        <w:t>1. Problem Statement &amp; Workload Characteristics</w:t>
      </w:r>
    </w:p>
    <w:p>
      <w:r>
        <w:t>A media startup handles unpredictable user-generated high-definition video uploads. Video workflows require ingestion of large binary files (4K/HD MP4s), heavy asynchronous CPU/GPU transcoding into adaptive multi-bitrate streams (HLS/DASH at 1080p, 720p, 480p), global low-latency streaming distribution, and long-term cost-effective video archival.</w:t>
      </w:r>
    </w:p>
    <w:p>
      <w:pPr>
        <w:jc w:val="center"/>
      </w:pPr>
      <w:r>
        <w:drawing>
          <wp:inline xmlns:a="http://schemas.openxmlformats.org/drawingml/2006/main" xmlns:pic="http://schemas.openxmlformats.org/drawingml/2006/picture">
            <wp:extent cx="5943600" cy="3106303"/>
            <wp:docPr id="2" name="Picture 2"/>
            <wp:cNvGraphicFramePr>
              <a:graphicFrameLocks noChangeAspect="1"/>
            </wp:cNvGraphicFramePr>
            <a:graphic>
              <a:graphicData uri="http://schemas.openxmlformats.org/drawingml/2006/picture">
                <pic:pic>
                  <pic:nvPicPr>
                    <pic:cNvPr id="0" name="case2_media_startup_architecture.png"/>
                    <pic:cNvPicPr/>
                  </pic:nvPicPr>
                  <pic:blipFill>
                    <a:blip r:embed="rId10"/>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2.1: Media Startup Serverless Video Ingestion, Transcoding &amp; Storage Trade-off Architecture</w:t>
      </w:r>
    </w:p>
    <w:p>
      <w:pPr>
        <w:keepNext/>
        <w:spacing w:before="280" w:after="120"/>
      </w:pPr>
      <w:r>
        <w:rPr>
          <w:rFonts w:ascii="Times New Roman" w:hAnsi="Times New Roman"/>
          <w:b/>
          <w:color w:val="008080"/>
          <w:sz w:val="25"/>
        </w:rPr>
        <w:t>2. Comparative Analysis of Candidate Architectures</w:t>
      </w:r>
    </w:p>
    <w:p>
      <w:pPr>
        <w:keepNext/>
        <w:spacing w:before="200" w:after="80"/>
      </w:pPr>
      <w:r>
        <w:rPr>
          <w:rFonts w:ascii="Times New Roman" w:hAnsi="Times New Roman"/>
          <w:b/>
          <w:color w:val="1E293B"/>
          <w:sz w:val="22"/>
        </w:rPr>
        <w:t>Table 2.1: Technical &amp; Economic Comparison of Candidate Models</w:t>
      </w:r>
    </w:p>
    <w:tbl>
      <w:tblPr>
        <w:tblW w:type="auto" w:w="0"/>
        <w:jc w:val="center"/>
        <w:tblLook w:firstColumn="1" w:firstRow="1" w:lastColumn="0" w:lastRow="0" w:noHBand="0" w:noVBand="1" w:val="04A0"/>
        <w:tblBorders>
          <w:top w:val="single" w:sz="6" w:space="0" w:color="059669"/>
          <w:left w:val="none"/>
          <w:bottom w:val="single" w:sz="10" w:space="0" w:color="059669"/>
          <w:right w:val="none"/>
          <w:insideH w:val="single" w:sz="4" w:space="0" w:color="CBD5E1"/>
          <w:insideV w:val="none"/>
        </w:tblBorders>
      </w:tblPr>
      <w:tblGrid>
        <w:gridCol w:w="2412"/>
        <w:gridCol w:w="2412"/>
        <w:gridCol w:w="2412"/>
        <w:gridCol w:w="2412"/>
      </w:tblGrid>
      <w:tr>
        <w:trPr>
          <w:cantSplit/>
          <w:tblHeader/>
        </w:trPr>
        <w:tc>
          <w:tcPr>
            <w:tcW w:type="dxa" w:w="2160"/>
            <w:shd w:fill="059669"/>
            <w:tcMar>
              <w:top w:w="140" w:type="dxa"/>
              <w:bottom w:w="140" w:type="dxa"/>
              <w:left w:w="180" w:type="dxa"/>
              <w:right w:w="180" w:type="dxa"/>
            </w:tcMar>
          </w:tcPr>
          <w:p>
            <w:pPr>
              <w:jc w:val="left"/>
            </w:pPr>
            <w:r>
              <w:rPr>
                <w:rFonts w:ascii="Times New Roman" w:hAnsi="Times New Roman"/>
                <w:b/>
                <w:color w:val="FFFFFF"/>
                <w:sz w:val="21"/>
              </w:rPr>
              <w:t>Evaluation Metric</w:t>
            </w:r>
          </w:p>
        </w:tc>
        <w:tc>
          <w:tcPr>
            <w:tcW w:type="dxa" w:w="2448"/>
            <w:shd w:fill="059669"/>
            <w:tcMar>
              <w:top w:w="140" w:type="dxa"/>
              <w:bottom w:w="140" w:type="dxa"/>
              <w:left w:w="180" w:type="dxa"/>
              <w:right w:w="180" w:type="dxa"/>
            </w:tcMar>
          </w:tcPr>
          <w:p>
            <w:pPr>
              <w:jc w:val="left"/>
            </w:pPr>
            <w:r>
              <w:rPr>
                <w:rFonts w:ascii="Times New Roman" w:hAnsi="Times New Roman"/>
                <w:b/>
                <w:color w:val="FFFFFF"/>
                <w:sz w:val="21"/>
              </w:rPr>
              <w:t>SAN-Backed Block Storage</w:t>
            </w:r>
          </w:p>
        </w:tc>
        <w:tc>
          <w:tcPr>
            <w:tcW w:type="dxa" w:w="2592"/>
            <w:shd w:fill="059669"/>
            <w:tcMar>
              <w:top w:w="140" w:type="dxa"/>
              <w:bottom w:w="140" w:type="dxa"/>
              <w:left w:w="180" w:type="dxa"/>
              <w:right w:w="180" w:type="dxa"/>
            </w:tcMar>
          </w:tcPr>
          <w:p>
            <w:pPr>
              <w:jc w:val="left"/>
            </w:pPr>
            <w:r>
              <w:rPr>
                <w:rFonts w:ascii="Times New Roman" w:hAnsi="Times New Roman"/>
                <w:b/>
                <w:color w:val="FFFFFF"/>
                <w:sz w:val="21"/>
              </w:rPr>
              <w:t>Cloud Object Storage (AWS S3)</w:t>
            </w:r>
          </w:p>
        </w:tc>
        <w:tc>
          <w:tcPr>
            <w:tcW w:type="dxa" w:w="2448"/>
            <w:shd w:fill="059669"/>
            <w:tcMar>
              <w:top w:w="140" w:type="dxa"/>
              <w:bottom w:w="140" w:type="dxa"/>
              <w:left w:w="180" w:type="dxa"/>
              <w:right w:w="180" w:type="dxa"/>
            </w:tcMar>
          </w:tcPr>
          <w:p>
            <w:pPr>
              <w:jc w:val="left"/>
            </w:pPr>
            <w:r>
              <w:rPr>
                <w:rFonts w:ascii="Times New Roman" w:hAnsi="Times New Roman"/>
                <w:b/>
                <w:color w:val="FFFFFF"/>
                <w:sz w:val="21"/>
              </w:rPr>
              <w:t>Serverless Transcoding (Lambda/MediaConvert)</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Scalability Ceiling</w:t>
            </w:r>
          </w:p>
        </w:tc>
        <w:tc>
          <w:tcPr>
            <w:tcW w:type="dxa" w:w="2448"/>
            <w:shd w:fill="FFFFFF"/>
            <w:tcMar>
              <w:top w:w="100" w:type="dxa"/>
              <w:bottom w:w="100" w:type="dxa"/>
              <w:left w:w="180" w:type="dxa"/>
              <w:right w:w="180" w:type="dxa"/>
            </w:tcMar>
          </w:tcPr>
          <w:p>
            <w:r>
              <w:rPr>
                <w:rFonts w:ascii="Times New Roman" w:hAnsi="Times New Roman"/>
                <w:color w:val="1E293B"/>
                <w:sz w:val="20"/>
              </w:rPr>
              <w:t>Rigid Volume Provisioning</w:t>
              <w:br/>
              <w:t>(Requires manual SAN expansion)</w:t>
            </w:r>
          </w:p>
        </w:tc>
        <w:tc>
          <w:tcPr>
            <w:tcW w:type="dxa" w:w="2592"/>
            <w:shd w:fill="FFFFFF"/>
            <w:tcMar>
              <w:top w:w="100" w:type="dxa"/>
              <w:bottom w:w="100" w:type="dxa"/>
              <w:left w:w="180" w:type="dxa"/>
              <w:right w:w="180" w:type="dxa"/>
            </w:tcMar>
          </w:tcPr>
          <w:p>
            <w:r>
              <w:rPr>
                <w:rFonts w:ascii="Times New Roman" w:hAnsi="Times New Roman"/>
                <w:color w:val="1E293B"/>
                <w:sz w:val="20"/>
              </w:rPr>
              <w:t>Near-Infinite Elasticity</w:t>
              <w:br/>
              <w:t>(Scales automatically to petabytes)</w:t>
            </w:r>
          </w:p>
        </w:tc>
        <w:tc>
          <w:tcPr>
            <w:tcW w:type="dxa" w:w="2448"/>
            <w:shd w:fill="FFFFFF"/>
            <w:tcMar>
              <w:top w:w="100" w:type="dxa"/>
              <w:bottom w:w="100" w:type="dxa"/>
              <w:left w:w="180" w:type="dxa"/>
              <w:right w:w="180" w:type="dxa"/>
            </w:tcMar>
          </w:tcPr>
          <w:p>
            <w:r>
              <w:rPr>
                <w:rFonts w:ascii="Times New Roman" w:hAnsi="Times New Roman"/>
                <w:color w:val="1E293B"/>
                <w:sz w:val="20"/>
              </w:rPr>
              <w:t>Instant Burst Scaling</w:t>
              <w:br/>
              <w:t>(Executes thousands of parallel encodes)</w:t>
            </w:r>
          </w:p>
        </w:tc>
      </w:tr>
      <w:tr>
        <w:trPr>
          <w:cantSplit/>
        </w:trPr>
        <w:tc>
          <w:tcPr>
            <w:tcW w:type="dxa" w:w="2160"/>
            <w:shd w:fill="F1F5F9"/>
            <w:tcMar>
              <w:top w:w="100" w:type="dxa"/>
              <w:bottom w:w="100" w:type="dxa"/>
              <w:left w:w="180" w:type="dxa"/>
              <w:right w:w="180" w:type="dxa"/>
            </w:tcMar>
          </w:tcPr>
          <w:p>
            <w:r>
              <w:rPr>
                <w:rFonts w:ascii="Times New Roman" w:hAnsi="Times New Roman"/>
                <w:color w:val="1E293B"/>
                <w:sz w:val="20"/>
              </w:rPr>
              <w:t>Cost Structure</w:t>
            </w:r>
          </w:p>
        </w:tc>
        <w:tc>
          <w:tcPr>
            <w:tcW w:type="dxa" w:w="2448"/>
            <w:shd w:fill="F1F5F9"/>
            <w:tcMar>
              <w:top w:w="100" w:type="dxa"/>
              <w:bottom w:w="100" w:type="dxa"/>
              <w:left w:w="180" w:type="dxa"/>
              <w:right w:w="180" w:type="dxa"/>
            </w:tcMar>
          </w:tcPr>
          <w:p>
            <w:r>
              <w:rPr>
                <w:rFonts w:ascii="Times New Roman" w:hAnsi="Times New Roman"/>
                <w:color w:val="1E293B"/>
                <w:sz w:val="20"/>
              </w:rPr>
              <w:t>High Fixed CapEx</w:t>
              <w:br/>
              <w:t>(Pay for provisioned gigabytes regardless of usage)</w:t>
            </w:r>
          </w:p>
        </w:tc>
        <w:tc>
          <w:tcPr>
            <w:tcW w:type="dxa" w:w="2592"/>
            <w:shd w:fill="F1F5F9"/>
            <w:tcMar>
              <w:top w:w="100" w:type="dxa"/>
              <w:bottom w:w="100" w:type="dxa"/>
              <w:left w:w="180" w:type="dxa"/>
              <w:right w:w="180" w:type="dxa"/>
            </w:tcMar>
          </w:tcPr>
          <w:p>
            <w:r>
              <w:rPr>
                <w:rFonts w:ascii="Times New Roman" w:hAnsi="Times New Roman"/>
                <w:color w:val="1E293B"/>
                <w:sz w:val="20"/>
              </w:rPr>
              <w:t>Low Pay-As-You-Go</w:t>
              <w:br/>
              <w:t>(Pay strictly for stored gigabytes + HTTP GETs)</w:t>
            </w:r>
          </w:p>
        </w:tc>
        <w:tc>
          <w:tcPr>
            <w:tcW w:type="dxa" w:w="2448"/>
            <w:shd w:fill="F1F5F9"/>
            <w:tcMar>
              <w:top w:w="100" w:type="dxa"/>
              <w:bottom w:w="100" w:type="dxa"/>
              <w:left w:w="180" w:type="dxa"/>
              <w:right w:w="180" w:type="dxa"/>
            </w:tcMar>
          </w:tcPr>
          <w:p>
            <w:r>
              <w:rPr>
                <w:rFonts w:ascii="Times New Roman" w:hAnsi="Times New Roman"/>
                <w:color w:val="1E293B"/>
                <w:sz w:val="20"/>
              </w:rPr>
              <w:t>Zero Idle Cost</w:t>
              <w:br/>
              <w:t>(Pay strictly per second of active video transcoding)</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Distribution Access</w:t>
            </w:r>
          </w:p>
        </w:tc>
        <w:tc>
          <w:tcPr>
            <w:tcW w:type="dxa" w:w="2448"/>
            <w:shd w:fill="FFFFFF"/>
            <w:tcMar>
              <w:top w:w="100" w:type="dxa"/>
              <w:bottom w:w="100" w:type="dxa"/>
              <w:left w:w="180" w:type="dxa"/>
              <w:right w:w="180" w:type="dxa"/>
            </w:tcMar>
          </w:tcPr>
          <w:p>
            <w:r>
              <w:rPr>
                <w:rFonts w:ascii="Times New Roman" w:hAnsi="Times New Roman"/>
                <w:color w:val="1E293B"/>
                <w:sz w:val="20"/>
              </w:rPr>
              <w:t>Single Instance Mount</w:t>
              <w:br/>
              <w:t>(SAN volumes cannot stream globally directly)</w:t>
            </w:r>
          </w:p>
        </w:tc>
        <w:tc>
          <w:tcPr>
            <w:tcW w:type="dxa" w:w="2592"/>
            <w:shd w:fill="FFFFFF"/>
            <w:tcMar>
              <w:top w:w="100" w:type="dxa"/>
              <w:bottom w:w="100" w:type="dxa"/>
              <w:left w:w="180" w:type="dxa"/>
              <w:right w:w="180" w:type="dxa"/>
            </w:tcMar>
          </w:tcPr>
          <w:p>
            <w:r>
              <w:rPr>
                <w:rFonts w:ascii="Times New Roman" w:hAnsi="Times New Roman"/>
                <w:color w:val="1E293B"/>
                <w:sz w:val="20"/>
              </w:rPr>
              <w:t>Native Web REST API</w:t>
              <w:br/>
              <w:t>(Direct integration with CDN Edge locations)</w:t>
            </w:r>
          </w:p>
        </w:tc>
        <w:tc>
          <w:tcPr>
            <w:tcW w:type="dxa" w:w="2448"/>
            <w:shd w:fill="FFFFFF"/>
            <w:tcMar>
              <w:top w:w="100" w:type="dxa"/>
              <w:bottom w:w="100" w:type="dxa"/>
              <w:left w:w="180" w:type="dxa"/>
              <w:right w:w="180" w:type="dxa"/>
            </w:tcMar>
          </w:tcPr>
          <w:p>
            <w:r>
              <w:rPr>
                <w:rFonts w:ascii="Times New Roman" w:hAnsi="Times New Roman"/>
                <w:color w:val="1E293B"/>
                <w:sz w:val="20"/>
              </w:rPr>
              <w:t>Event-Driven Integration</w:t>
              <w:br/>
              <w:t>(Triggers automatically on s3:ObjectCreated)</w:t>
            </w:r>
          </w:p>
        </w:tc>
      </w:tr>
      <w:tr>
        <w:trPr>
          <w:cantSplit/>
        </w:trPr>
        <w:tc>
          <w:tcPr>
            <w:tcW w:type="dxa" w:w="2160"/>
            <w:shd w:fill="F1F5F9"/>
            <w:tcMar>
              <w:top w:w="100" w:type="dxa"/>
              <w:bottom w:w="100" w:type="dxa"/>
              <w:left w:w="180" w:type="dxa"/>
              <w:right w:w="180" w:type="dxa"/>
            </w:tcMar>
          </w:tcPr>
          <w:p>
            <w:r>
              <w:rPr>
                <w:rFonts w:ascii="Times New Roman" w:hAnsi="Times New Roman"/>
                <w:color w:val="1E293B"/>
                <w:sz w:val="20"/>
              </w:rPr>
              <w:t>Operational Complexity</w:t>
            </w:r>
          </w:p>
        </w:tc>
        <w:tc>
          <w:tcPr>
            <w:tcW w:type="dxa" w:w="2448"/>
            <w:shd w:fill="F1F5F9"/>
            <w:tcMar>
              <w:top w:w="100" w:type="dxa"/>
              <w:bottom w:w="100" w:type="dxa"/>
              <w:left w:w="180" w:type="dxa"/>
              <w:right w:w="180" w:type="dxa"/>
            </w:tcMar>
          </w:tcPr>
          <w:p>
            <w:r>
              <w:rPr>
                <w:rFonts w:ascii="Times New Roman" w:hAnsi="Times New Roman"/>
                <w:color w:val="1E293B"/>
                <w:sz w:val="20"/>
              </w:rPr>
              <w:t>High SAN Controller Maintenance</w:t>
            </w:r>
          </w:p>
        </w:tc>
        <w:tc>
          <w:tcPr>
            <w:tcW w:type="dxa" w:w="2592"/>
            <w:shd w:fill="F1F5F9"/>
            <w:tcMar>
              <w:top w:w="100" w:type="dxa"/>
              <w:bottom w:w="100" w:type="dxa"/>
              <w:left w:w="180" w:type="dxa"/>
              <w:right w:w="180" w:type="dxa"/>
            </w:tcMar>
          </w:tcPr>
          <w:p>
            <w:r>
              <w:rPr>
                <w:rFonts w:ascii="Times New Roman" w:hAnsi="Times New Roman"/>
                <w:color w:val="1E293B"/>
                <w:sz w:val="20"/>
              </w:rPr>
              <w:t>Zero Infrastructure Overhead</w:t>
            </w:r>
          </w:p>
        </w:tc>
        <w:tc>
          <w:tcPr>
            <w:tcW w:type="dxa" w:w="2448"/>
            <w:shd w:fill="F1F5F9"/>
            <w:tcMar>
              <w:top w:w="100" w:type="dxa"/>
              <w:bottom w:w="100" w:type="dxa"/>
              <w:left w:w="180" w:type="dxa"/>
              <w:right w:w="180" w:type="dxa"/>
            </w:tcMar>
          </w:tcPr>
          <w:p>
            <w:r>
              <w:rPr>
                <w:rFonts w:ascii="Times New Roman" w:hAnsi="Times New Roman"/>
                <w:color w:val="1E293B"/>
                <w:sz w:val="20"/>
              </w:rPr>
              <w:t>Zero Server Management</w:t>
            </w:r>
          </w:p>
        </w:tc>
      </w:tr>
    </w:tbl>
    <w:p>
      <w:pPr>
        <w:keepNext/>
        <w:spacing w:before="280" w:after="120"/>
      </w:pPr>
      <w:r>
        <w:rPr>
          <w:rFonts w:ascii="Times New Roman" w:hAnsi="Times New Roman"/>
          <w:b/>
          <w:color w:val="008080"/>
          <w:sz w:val="25"/>
        </w:rPr>
        <w:t>3. Architectural Recommendation &amp; Deployment Pipeline</w:t>
      </w:r>
    </w:p>
    <w:p>
      <w:r>
        <w:t>RECOMMENDED MODEL: Serverless Video Ingestion &amp; Cloud Object Storage Architecture</w:t>
        <w:br/>
        <w:br/>
        <w:t>1. Storage Layer: AWS S3 Standard is selected over SAN. Raw video uploads land in an input S3 bucket. S3 provides 11 9's durability, web-accessible URLs, and automatic lifecycle transition to S3 Glacier Flexible Retrieval for cold video archives.</w:t>
        <w:br/>
        <w:t>2. Transcoding Layer: Serverless AWS Elemental MediaConvert / AWS Lambda is selected over fixed EC2 encoding servers. An `s3:ObjectCreated:Put` event triggers a serverless transcode job that converts raw videos into HLS multi-bitrate streams.</w:t>
        <w:br/>
        <w:t>3. Delivery Layer: Processed HLS video segments stored in an output S3 bucket are cached globally by Amazon CloudFront CDN for low-latency playback on user devices.</w:t>
      </w:r>
    </w:p>
    <w:p>
      <w:pPr>
        <w:keepNext/>
        <w:spacing w:before="160" w:after="40"/>
      </w:pPr>
      <w:r>
        <w:rPr>
          <w:rFonts w:ascii="Times New Roman" w:hAnsi="Times New Roman"/>
          <w:b/>
          <w:color w:val="008080"/>
          <w:sz w:val="20"/>
        </w:rPr>
        <w:t>Listing 2.1: Serverless Transcoding Job Event Definition</w:t>
      </w: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60" w:type="dxa"/>
              <w:right w:w="160" w:type="dxa"/>
            </w:tcMar>
            <w:tcBorders>
              <w:top w:val="single" w:sz="4" w:space="0" w:color="CBD5E1"/>
              <w:left w:val="single" w:sz="16" w:space="0" w:color="008080"/>
              <w:bottom w:val="single" w:sz="4" w:space="0" w:color="CBD5E1"/>
              <w:right w:val="single" w:sz="4" w:space="0" w:color="CBD5E1"/>
            </w:tcBorders>
          </w:tcPr>
          <w:p>
            <w:pPr>
              <w:spacing w:after="0" w:line="252" w:lineRule="auto"/>
            </w:pPr>
            <w:r>
              <w:rPr>
                <w:rFonts w:ascii="Consolas" w:hAnsi="Consolas"/>
                <w:color w:val="0F172A"/>
                <w:sz w:val="18"/>
              </w:rPr>
              <w:t>{</w:t>
              <w:br/>
              <w:t xml:space="preserve">  "StartTranscodeWorkflow": {</w:t>
              <w:br/>
              <w:t xml:space="preserve">    "SourceBucket": "simats-media-raw-uploads",</w:t>
              <w:br/>
              <w:t xml:space="preserve">    "SourceKey": "videos/raw_192511481_4k.mp4",</w:t>
              <w:br/>
              <w:t xml:space="preserve">    "OutputBucket": "simats-media-hls-streams",</w:t>
              <w:br/>
              <w:t xml:space="preserve">    "OutputFormats": [</w:t>
              <w:br/>
              <w:t xml:space="preserve">      {"Quality": "1080p", "Bitrate": "5000k", "Format": "HLS"},</w:t>
              <w:br/>
              <w:t xml:space="preserve">      {"Quality": "720p", "Bitrate": "2500k", "Format": "HLS"},</w:t>
              <w:br/>
              <w:t xml:space="preserve">      {"Quality": "480p", "Bitrate": "1000k", "Format": "HLS"}</w:t>
              <w:br/>
              <w:t xml:space="preserve">    ],</w:t>
              <w:br/>
              <w:t xml:space="preserve">    "GlacierArchivalPolicyDays": 30</w:t>
              <w:br/>
              <w:t xml:space="preserve">  }</w:t>
              <w:br/>
              <w:t>}</w:t>
            </w:r>
          </w:p>
        </w:tc>
      </w:tr>
    </w:tbl>
    <w:p/>
    <w:p>
      <w:pPr>
        <w:keepNext/>
        <w:spacing w:before="280" w:after="120"/>
      </w:pPr>
      <w:r>
        <w:rPr>
          <w:rFonts w:ascii="Times New Roman" w:hAnsi="Times New Roman"/>
          <w:b/>
          <w:color w:val="008080"/>
          <w:sz w:val="25"/>
        </w:rPr>
        <w:t>4. Strategic Conclusion</w:t>
      </w:r>
    </w:p>
    <w:p>
      <w:r>
        <w:t>SAN-backed storage is fundamentally ill-suited for media startups due to rigid capacity ceilings and high fixed capital costs. Combining Cloud Object Storage (S3) with Serverless FaaS Transcoding (AWS Lambda/MediaConvert) provides the startup with infinite scale, zero idle server expenses, and direct global CDN integration.</w:t>
      </w:r>
    </w:p>
    <w:p>
      <w:r>
        <w:br w:type="page"/>
      </w:r>
    </w:p>
    <w:p>
      <w:pPr>
        <w:keepNext/>
        <w:spacing w:before="400" w:after="160"/>
      </w:pPr>
      <w:r>
        <w:rPr>
          <w:rFonts w:ascii="Times New Roman" w:hAnsi="Times New Roman"/>
          <w:b/>
          <w:color w:val="1B365D"/>
          <w:sz w:val="30"/>
        </w:rPr>
        <w:t>CASE 3: Smart City Low-Latency Edge and Fog Computing Platform</w:t>
      </w:r>
    </w:p>
    <w:tbl>
      <w:tblPr>
        <w:tblW w:type="auto" w:w="0"/>
        <w:jc w:val="center"/>
        <w:tblLook w:firstColumn="1" w:firstRow="1" w:lastColumn="0" w:lastRow="0" w:noHBand="0" w:noVBand="1" w:val="04A0"/>
      </w:tblPr>
      <w:tblGrid>
        <w:gridCol w:w="9648"/>
      </w:tblGrid>
      <w:tr>
        <w:tc>
          <w:tcPr>
            <w:tcW w:type="dxa" w:w="9648"/>
            <w:shd w:fill="FFFBEB"/>
            <w:tcMar>
              <w:top w:w="140" w:type="dxa"/>
              <w:bottom w:w="140" w:type="dxa"/>
              <w:left w:w="200" w:type="dxa"/>
              <w:right w:w="200" w:type="dxa"/>
            </w:tcMar>
            <w:tcBorders>
              <w:top w:val="none"/>
              <w:left w:val="single" w:sz="24" w:space="0" w:color="D97706"/>
              <w:bottom w:val="none"/>
              <w:right w:val="none"/>
            </w:tcBorders>
          </w:tcPr>
          <w:p>
            <w:pPr>
              <w:spacing w:after="40"/>
            </w:pPr>
            <w:r>
              <w:rPr>
                <w:rFonts w:ascii="Times New Roman" w:hAnsi="Times New Roman"/>
                <w:b/>
                <w:color w:val="D97706"/>
                <w:sz w:val="21"/>
              </w:rPr>
              <w:t>CASE STATEMENT: Low-Latency Near-Sensor Decision Making vs. Cloud Analytics</w:t>
              <w:br/>
            </w:r>
            <w:r>
              <w:rPr>
                <w:rFonts w:ascii="Times New Roman" w:hAnsi="Times New Roman"/>
                <w:color w:val="334155"/>
                <w:sz w:val="20"/>
              </w:rPr>
              <w:t>A smart city platform needs low-latency decision making near sensors while still using the cloud for analytics. Analyze the use of edge computing and fog computing in this environment.</w:t>
            </w:r>
          </w:p>
        </w:tc>
      </w:tr>
    </w:tbl>
    <w:p/>
    <w:p>
      <w:pPr>
        <w:keepNext/>
        <w:spacing w:before="280" w:after="120"/>
      </w:pPr>
      <w:r>
        <w:rPr>
          <w:rFonts w:ascii="Times New Roman" w:hAnsi="Times New Roman"/>
          <w:b/>
          <w:color w:val="008080"/>
          <w:sz w:val="25"/>
        </w:rPr>
        <w:t>1. Problem Context &amp; Latency Hierarchy</w:t>
      </w:r>
    </w:p>
    <w:p>
      <w:r>
        <w:t>Smart city infrastructures (traffic control, acoustic gunshot detection, structural health monitoring, emergency response) collect massive continuous telemetry streams from millions of IoT sensors. Centralized cloud processing alone fails due to WAN network latency (100–300 ms) and bandwidth saturation. A multi-tiered computing model distributing workloads across Edge, Fog, and Cloud layers is essential.</w:t>
      </w:r>
    </w:p>
    <w:p>
      <w:pPr>
        <w:jc w:val="center"/>
      </w:pPr>
      <w:r>
        <w:drawing>
          <wp:inline xmlns:a="http://schemas.openxmlformats.org/drawingml/2006/main" xmlns:pic="http://schemas.openxmlformats.org/drawingml/2006/picture">
            <wp:extent cx="5943600" cy="3127344"/>
            <wp:docPr id="3" name="Picture 3"/>
            <wp:cNvGraphicFramePr>
              <a:graphicFrameLocks noChangeAspect="1"/>
            </wp:cNvGraphicFramePr>
            <a:graphic>
              <a:graphicData uri="http://schemas.openxmlformats.org/drawingml/2006/picture">
                <pic:pic>
                  <pic:nvPicPr>
                    <pic:cNvPr id="0" name="case3_smart_city_edge_fog_architecture.png"/>
                    <pic:cNvPicPr/>
                  </pic:nvPicPr>
                  <pic:blipFill>
                    <a:blip r:embed="rId11"/>
                    <a:stretch>
                      <a:fillRect/>
                    </a:stretch>
                  </pic:blipFill>
                  <pic:spPr>
                    <a:xfrm>
                      <a:off x="0" y="0"/>
                      <a:ext cx="5943600" cy="3127344"/>
                    </a:xfrm>
                    <a:prstGeom prst="rect"/>
                  </pic:spPr>
                </pic:pic>
              </a:graphicData>
            </a:graphic>
          </wp:inline>
        </w:drawing>
      </w:r>
    </w:p>
    <w:p>
      <w:pPr>
        <w:spacing w:after="240"/>
        <w:jc w:val="center"/>
      </w:pPr>
      <w:r>
        <w:rPr>
          <w:rFonts w:ascii="Times New Roman" w:hAnsi="Times New Roman"/>
          <w:i/>
          <w:color w:val="475569"/>
          <w:sz w:val="19"/>
        </w:rPr>
        <w:t>Figure 3.1: Smart City Multi-Tiered Edge-Fog-Cloud Platform Architecture</w:t>
      </w:r>
    </w:p>
    <w:p>
      <w:pPr>
        <w:keepNext/>
        <w:spacing w:before="280" w:after="120"/>
      </w:pPr>
      <w:r>
        <w:rPr>
          <w:rFonts w:ascii="Times New Roman" w:hAnsi="Times New Roman"/>
          <w:b/>
          <w:color w:val="008080"/>
          <w:sz w:val="25"/>
        </w:rPr>
        <w:t>2. Multi-Tier Architecture Analysis &amp; Operational Trade-offs</w:t>
      </w:r>
    </w:p>
    <w:p>
      <w:pPr>
        <w:keepNext/>
        <w:spacing w:before="200" w:after="80"/>
      </w:pPr>
      <w:r>
        <w:rPr>
          <w:rFonts w:ascii="Times New Roman" w:hAnsi="Times New Roman"/>
          <w:b/>
          <w:color w:val="1E293B"/>
          <w:sz w:val="22"/>
        </w:rPr>
        <w:t>Table 3.1: Architectural Trade-off Analysis Across Computing Tiers</w:t>
      </w:r>
    </w:p>
    <w:tbl>
      <w:tblPr>
        <w:tblW w:type="auto" w:w="0"/>
        <w:jc w:val="center"/>
        <w:tblLook w:firstColumn="1" w:firstRow="1" w:lastColumn="0" w:lastRow="0" w:noHBand="0" w:noVBand="1" w:val="04A0"/>
        <w:tblBorders>
          <w:top w:val="single" w:sz="6" w:space="0" w:color="D97706"/>
          <w:left w:val="none"/>
          <w:bottom w:val="single" w:sz="10" w:space="0" w:color="D97706"/>
          <w:right w:val="none"/>
          <w:insideH w:val="single" w:sz="4" w:space="0" w:color="CBD5E1"/>
          <w:insideV w:val="none"/>
        </w:tblBorders>
      </w:tblPr>
      <w:tblGrid>
        <w:gridCol w:w="1930"/>
        <w:gridCol w:w="1930"/>
        <w:gridCol w:w="1930"/>
        <w:gridCol w:w="1930"/>
        <w:gridCol w:w="1930"/>
      </w:tblGrid>
      <w:tr>
        <w:trPr>
          <w:cantSplit/>
          <w:tblHeader/>
        </w:trPr>
        <w:tc>
          <w:tcPr>
            <w:tcW w:type="dxa" w:w="1872"/>
            <w:shd w:fill="D97706"/>
            <w:tcMar>
              <w:top w:w="140" w:type="dxa"/>
              <w:bottom w:w="140" w:type="dxa"/>
              <w:left w:w="180" w:type="dxa"/>
              <w:right w:w="180" w:type="dxa"/>
            </w:tcMar>
          </w:tcPr>
          <w:p>
            <w:pPr>
              <w:jc w:val="left"/>
            </w:pPr>
            <w:r>
              <w:rPr>
                <w:rFonts w:ascii="Times New Roman" w:hAnsi="Times New Roman"/>
                <w:b/>
                <w:color w:val="FFFFFF"/>
                <w:sz w:val="21"/>
              </w:rPr>
              <w:t>Tier Level</w:t>
            </w:r>
          </w:p>
        </w:tc>
        <w:tc>
          <w:tcPr>
            <w:tcW w:type="dxa" w:w="2160"/>
            <w:shd w:fill="D97706"/>
            <w:tcMar>
              <w:top w:w="140" w:type="dxa"/>
              <w:bottom w:w="140" w:type="dxa"/>
              <w:left w:w="180" w:type="dxa"/>
              <w:right w:w="180" w:type="dxa"/>
            </w:tcMar>
          </w:tcPr>
          <w:p>
            <w:pPr>
              <w:jc w:val="left"/>
            </w:pPr>
            <w:r>
              <w:rPr>
                <w:rFonts w:ascii="Times New Roman" w:hAnsi="Times New Roman"/>
                <w:b/>
                <w:color w:val="FFFFFF"/>
                <w:sz w:val="21"/>
              </w:rPr>
              <w:t>Physical Deployment</w:t>
            </w:r>
          </w:p>
        </w:tc>
        <w:tc>
          <w:tcPr>
            <w:tcW w:type="dxa" w:w="1584"/>
            <w:shd w:fill="D97706"/>
            <w:tcMar>
              <w:top w:w="140" w:type="dxa"/>
              <w:bottom w:w="140" w:type="dxa"/>
              <w:left w:w="180" w:type="dxa"/>
              <w:right w:w="180" w:type="dxa"/>
            </w:tcMar>
          </w:tcPr>
          <w:p>
            <w:pPr>
              <w:jc w:val="left"/>
            </w:pPr>
            <w:r>
              <w:rPr>
                <w:rFonts w:ascii="Times New Roman" w:hAnsi="Times New Roman"/>
                <w:b/>
                <w:color w:val="FFFFFF"/>
                <w:sz w:val="21"/>
              </w:rPr>
              <w:t>Target Latency</w:t>
            </w:r>
          </w:p>
        </w:tc>
        <w:tc>
          <w:tcPr>
            <w:tcW w:type="dxa" w:w="1728"/>
            <w:shd w:fill="D97706"/>
            <w:tcMar>
              <w:top w:w="140" w:type="dxa"/>
              <w:bottom w:w="140" w:type="dxa"/>
              <w:left w:w="180" w:type="dxa"/>
              <w:right w:w="180" w:type="dxa"/>
            </w:tcMar>
          </w:tcPr>
          <w:p>
            <w:pPr>
              <w:jc w:val="left"/>
            </w:pPr>
            <w:r>
              <w:rPr>
                <w:rFonts w:ascii="Times New Roman" w:hAnsi="Times New Roman"/>
                <w:b/>
                <w:color w:val="FFFFFF"/>
                <w:sz w:val="21"/>
              </w:rPr>
              <w:t>Network Bandwidth</w:t>
            </w:r>
          </w:p>
        </w:tc>
        <w:tc>
          <w:tcPr>
            <w:tcW w:type="dxa" w:w="2304"/>
            <w:shd w:fill="D97706"/>
            <w:tcMar>
              <w:top w:w="140" w:type="dxa"/>
              <w:bottom w:w="140" w:type="dxa"/>
              <w:left w:w="180" w:type="dxa"/>
              <w:right w:w="180" w:type="dxa"/>
            </w:tcMar>
          </w:tcPr>
          <w:p>
            <w:pPr>
              <w:jc w:val="left"/>
            </w:pPr>
            <w:r>
              <w:rPr>
                <w:rFonts w:ascii="Times New Roman" w:hAnsi="Times New Roman"/>
                <w:b/>
                <w:color w:val="FFFFFF"/>
                <w:sz w:val="21"/>
              </w:rPr>
              <w:t>Primary Operational Responsibility</w:t>
            </w:r>
          </w:p>
        </w:tc>
      </w:tr>
      <w:tr>
        <w:trPr>
          <w:cantSplit/>
        </w:trPr>
        <w:tc>
          <w:tcPr>
            <w:tcW w:type="dxa" w:w="1872"/>
            <w:shd w:fill="FFFFFF"/>
            <w:tcMar>
              <w:top w:w="100" w:type="dxa"/>
              <w:bottom w:w="100" w:type="dxa"/>
              <w:left w:w="180" w:type="dxa"/>
              <w:right w:w="180" w:type="dxa"/>
            </w:tcMar>
          </w:tcPr>
          <w:p>
            <w:r>
              <w:rPr>
                <w:rFonts w:ascii="Times New Roman" w:hAnsi="Times New Roman"/>
                <w:color w:val="1E293B"/>
                <w:sz w:val="20"/>
              </w:rPr>
              <w:t>Tier 1: Edge Layer</w:t>
            </w:r>
          </w:p>
        </w:tc>
        <w:tc>
          <w:tcPr>
            <w:tcW w:type="dxa" w:w="2160"/>
            <w:shd w:fill="FFFFFF"/>
            <w:tcMar>
              <w:top w:w="100" w:type="dxa"/>
              <w:bottom w:w="100" w:type="dxa"/>
              <w:left w:w="180" w:type="dxa"/>
              <w:right w:w="180" w:type="dxa"/>
            </w:tcMar>
          </w:tcPr>
          <w:p>
            <w:r>
              <w:rPr>
                <w:rFonts w:ascii="Times New Roman" w:hAnsi="Times New Roman"/>
                <w:color w:val="1E293B"/>
                <w:sz w:val="20"/>
              </w:rPr>
              <w:t>IP AI Cameras, Jetson Micro-nodes on street poles</w:t>
            </w:r>
          </w:p>
        </w:tc>
        <w:tc>
          <w:tcPr>
            <w:tcW w:type="dxa" w:w="1584"/>
            <w:shd w:fill="FFFFFF"/>
            <w:tcMar>
              <w:top w:w="100" w:type="dxa"/>
              <w:bottom w:w="100" w:type="dxa"/>
              <w:left w:w="180" w:type="dxa"/>
              <w:right w:w="180" w:type="dxa"/>
            </w:tcMar>
          </w:tcPr>
          <w:p>
            <w:r>
              <w:rPr>
                <w:rFonts w:ascii="Times New Roman" w:hAnsi="Times New Roman"/>
                <w:color w:val="1E293B"/>
                <w:sz w:val="20"/>
              </w:rPr>
              <w:t>Ultra-Low</w:t>
              <w:br/>
              <w:t>(&lt; 5 ms)</w:t>
            </w:r>
          </w:p>
        </w:tc>
        <w:tc>
          <w:tcPr>
            <w:tcW w:type="dxa" w:w="1728"/>
            <w:shd w:fill="FFFFFF"/>
            <w:tcMar>
              <w:top w:w="100" w:type="dxa"/>
              <w:bottom w:w="100" w:type="dxa"/>
              <w:left w:w="180" w:type="dxa"/>
              <w:right w:w="180" w:type="dxa"/>
            </w:tcMar>
          </w:tcPr>
          <w:p>
            <w:r>
              <w:rPr>
                <w:rFonts w:ascii="Times New Roman" w:hAnsi="Times New Roman"/>
                <w:color w:val="1E293B"/>
                <w:sz w:val="20"/>
              </w:rPr>
              <w:t>In-Memory Local</w:t>
              <w:br/>
              <w:t>(No raw stream transmission)</w:t>
            </w:r>
          </w:p>
        </w:tc>
        <w:tc>
          <w:tcPr>
            <w:tcW w:type="dxa" w:w="2304"/>
            <w:shd w:fill="FFFFFF"/>
            <w:tcMar>
              <w:top w:w="100" w:type="dxa"/>
              <w:bottom w:w="100" w:type="dxa"/>
              <w:left w:w="180" w:type="dxa"/>
              <w:right w:w="180" w:type="dxa"/>
            </w:tcMar>
          </w:tcPr>
          <w:p>
            <w:r>
              <w:rPr>
                <w:rFonts w:ascii="Times New Roman" w:hAnsi="Times New Roman"/>
                <w:color w:val="1E293B"/>
                <w:sz w:val="20"/>
              </w:rPr>
              <w:t>Instant emergency siren detection, traffic signal preemption, vehicle collision detection.</w:t>
            </w:r>
          </w:p>
        </w:tc>
      </w:tr>
      <w:tr>
        <w:trPr>
          <w:cantSplit/>
        </w:trPr>
        <w:tc>
          <w:tcPr>
            <w:tcW w:type="dxa" w:w="1872"/>
            <w:shd w:fill="F1F5F9"/>
            <w:tcMar>
              <w:top w:w="100" w:type="dxa"/>
              <w:bottom w:w="100" w:type="dxa"/>
              <w:left w:w="180" w:type="dxa"/>
              <w:right w:w="180" w:type="dxa"/>
            </w:tcMar>
          </w:tcPr>
          <w:p>
            <w:r>
              <w:rPr>
                <w:rFonts w:ascii="Times New Roman" w:hAnsi="Times New Roman"/>
                <w:color w:val="1E293B"/>
                <w:sz w:val="20"/>
              </w:rPr>
              <w:t>Tier 2: Fog Layer</w:t>
            </w:r>
          </w:p>
        </w:tc>
        <w:tc>
          <w:tcPr>
            <w:tcW w:type="dxa" w:w="2160"/>
            <w:shd w:fill="F1F5F9"/>
            <w:tcMar>
              <w:top w:w="100" w:type="dxa"/>
              <w:bottom w:w="100" w:type="dxa"/>
              <w:left w:w="180" w:type="dxa"/>
              <w:right w:w="180" w:type="dxa"/>
            </w:tcMar>
          </w:tcPr>
          <w:p>
            <w:r>
              <w:rPr>
                <w:rFonts w:ascii="Times New Roman" w:hAnsi="Times New Roman"/>
                <w:color w:val="1E293B"/>
                <w:sz w:val="20"/>
              </w:rPr>
              <w:t>Roadside Units (RSUs), MEC Servers at zonal substations</w:t>
            </w:r>
          </w:p>
        </w:tc>
        <w:tc>
          <w:tcPr>
            <w:tcW w:type="dxa" w:w="1584"/>
            <w:shd w:fill="F1F5F9"/>
            <w:tcMar>
              <w:top w:w="100" w:type="dxa"/>
              <w:bottom w:w="100" w:type="dxa"/>
              <w:left w:w="180" w:type="dxa"/>
              <w:right w:w="180" w:type="dxa"/>
            </w:tcMar>
          </w:tcPr>
          <w:p>
            <w:r>
              <w:rPr>
                <w:rFonts w:ascii="Times New Roman" w:hAnsi="Times New Roman"/>
                <w:color w:val="1E293B"/>
                <w:sz w:val="20"/>
              </w:rPr>
              <w:t>Low-Moderate</w:t>
              <w:br/>
              <w:t>(15 - 30 ms)</w:t>
            </w:r>
          </w:p>
        </w:tc>
        <w:tc>
          <w:tcPr>
            <w:tcW w:type="dxa" w:w="1728"/>
            <w:shd w:fill="F1F5F9"/>
            <w:tcMar>
              <w:top w:w="100" w:type="dxa"/>
              <w:bottom w:w="100" w:type="dxa"/>
              <w:left w:w="180" w:type="dxa"/>
              <w:right w:w="180" w:type="dxa"/>
            </w:tcMar>
          </w:tcPr>
          <w:p>
            <w:r>
              <w:rPr>
                <w:rFonts w:ascii="Times New Roman" w:hAnsi="Times New Roman"/>
                <w:color w:val="1E293B"/>
                <w:sz w:val="20"/>
              </w:rPr>
              <w:t>Zonal Vector Aggregation</w:t>
              <w:br/>
              <w:t>(Filters local noise)</w:t>
            </w:r>
          </w:p>
        </w:tc>
        <w:tc>
          <w:tcPr>
            <w:tcW w:type="dxa" w:w="2304"/>
            <w:shd w:fill="F1F5F9"/>
            <w:tcMar>
              <w:top w:w="100" w:type="dxa"/>
              <w:bottom w:w="100" w:type="dxa"/>
              <w:left w:w="180" w:type="dxa"/>
              <w:right w:w="180" w:type="dxa"/>
            </w:tcMar>
          </w:tcPr>
          <w:p>
            <w:r>
              <w:rPr>
                <w:rFonts w:ascii="Times New Roman" w:hAnsi="Times New Roman"/>
                <w:color w:val="1E293B"/>
                <w:sz w:val="20"/>
              </w:rPr>
              <w:t>Synchronized multi-intersection corridor flow, district energy load balancing.</w:t>
            </w:r>
          </w:p>
        </w:tc>
      </w:tr>
      <w:tr>
        <w:trPr>
          <w:cantSplit/>
        </w:trPr>
        <w:tc>
          <w:tcPr>
            <w:tcW w:type="dxa" w:w="1872"/>
            <w:shd w:fill="FFFFFF"/>
            <w:tcMar>
              <w:top w:w="100" w:type="dxa"/>
              <w:bottom w:w="100" w:type="dxa"/>
              <w:left w:w="180" w:type="dxa"/>
              <w:right w:w="180" w:type="dxa"/>
            </w:tcMar>
          </w:tcPr>
          <w:p>
            <w:r>
              <w:rPr>
                <w:rFonts w:ascii="Times New Roman" w:hAnsi="Times New Roman"/>
                <w:color w:val="1E293B"/>
                <w:sz w:val="20"/>
              </w:rPr>
              <w:t>Tier 3: Cloud Layer</w:t>
            </w:r>
          </w:p>
        </w:tc>
        <w:tc>
          <w:tcPr>
            <w:tcW w:type="dxa" w:w="2160"/>
            <w:shd w:fill="FFFFFF"/>
            <w:tcMar>
              <w:top w:w="100" w:type="dxa"/>
              <w:bottom w:w="100" w:type="dxa"/>
              <w:left w:w="180" w:type="dxa"/>
              <w:right w:w="180" w:type="dxa"/>
            </w:tcMar>
          </w:tcPr>
          <w:p>
            <w:r>
              <w:rPr>
                <w:rFonts w:ascii="Times New Roman" w:hAnsi="Times New Roman"/>
                <w:color w:val="1E293B"/>
                <w:sz w:val="20"/>
              </w:rPr>
              <w:t>Hyperscale AWS/Azure Central Cloud Data Centers</w:t>
            </w:r>
          </w:p>
        </w:tc>
        <w:tc>
          <w:tcPr>
            <w:tcW w:type="dxa" w:w="1584"/>
            <w:shd w:fill="FFFFFF"/>
            <w:tcMar>
              <w:top w:w="100" w:type="dxa"/>
              <w:bottom w:w="100" w:type="dxa"/>
              <w:left w:w="180" w:type="dxa"/>
              <w:right w:w="180" w:type="dxa"/>
            </w:tcMar>
          </w:tcPr>
          <w:p>
            <w:r>
              <w:rPr>
                <w:rFonts w:ascii="Times New Roman" w:hAnsi="Times New Roman"/>
                <w:color w:val="1E293B"/>
                <w:sz w:val="20"/>
              </w:rPr>
              <w:t>High</w:t>
              <w:br/>
              <w:t>(100 - 300+ ms)</w:t>
            </w:r>
          </w:p>
        </w:tc>
        <w:tc>
          <w:tcPr>
            <w:tcW w:type="dxa" w:w="1728"/>
            <w:shd w:fill="FFFFFF"/>
            <w:tcMar>
              <w:top w:w="100" w:type="dxa"/>
              <w:bottom w:w="100" w:type="dxa"/>
              <w:left w:w="180" w:type="dxa"/>
              <w:right w:w="180" w:type="dxa"/>
            </w:tcMar>
          </w:tcPr>
          <w:p>
            <w:r>
              <w:rPr>
                <w:rFonts w:ascii="Times New Roman" w:hAnsi="Times New Roman"/>
                <w:color w:val="1E293B"/>
                <w:sz w:val="20"/>
              </w:rPr>
              <w:t>High Batch Ingestion</w:t>
              <w:br/>
              <w:t>(Summary statistics)</w:t>
            </w:r>
          </w:p>
        </w:tc>
        <w:tc>
          <w:tcPr>
            <w:tcW w:type="dxa" w:w="2304"/>
            <w:shd w:fill="FFFFFF"/>
            <w:tcMar>
              <w:top w:w="100" w:type="dxa"/>
              <w:bottom w:w="100" w:type="dxa"/>
              <w:left w:w="180" w:type="dxa"/>
              <w:right w:w="180" w:type="dxa"/>
            </w:tcMar>
          </w:tcPr>
          <w:p>
            <w:r>
              <w:rPr>
                <w:rFonts w:ascii="Times New Roman" w:hAnsi="Times New Roman"/>
                <w:color w:val="1E293B"/>
                <w:sz w:val="20"/>
              </w:rPr>
              <w:t>City-wide trend modeling, AI computer vision model retraining, long-term municipal planning.</w:t>
            </w:r>
          </w:p>
        </w:tc>
      </w:tr>
    </w:tbl>
    <w:p>
      <w:pPr>
        <w:keepNext/>
        <w:spacing w:before="280" w:after="120"/>
      </w:pPr>
      <w:r>
        <w:rPr>
          <w:rFonts w:ascii="Times New Roman" w:hAnsi="Times New Roman"/>
          <w:b/>
          <w:color w:val="008080"/>
          <w:sz w:val="25"/>
        </w:rPr>
        <w:t>3. Real-Time Event Routing &amp; Execution Matrix</w:t>
      </w:r>
    </w:p>
    <w:p>
      <w:pPr>
        <w:keepNext/>
        <w:spacing w:before="200" w:after="80"/>
      </w:pPr>
      <w:r>
        <w:rPr>
          <w:rFonts w:ascii="Times New Roman" w:hAnsi="Times New Roman"/>
          <w:b/>
          <w:color w:val="1E293B"/>
          <w:sz w:val="22"/>
        </w:rPr>
        <w:t>Table 3.2: Operational Decision Routing Matrix for Smart City Scenarios</w:t>
      </w:r>
    </w:p>
    <w:tbl>
      <w:tblPr>
        <w:tblW w:type="auto" w:w="0"/>
        <w:jc w:val="center"/>
        <w:tblLook w:firstColumn="1" w:firstRow="1" w:lastColumn="0" w:lastRow="0" w:noHBand="0" w:noVBand="1" w:val="04A0"/>
        <w:tblBorders>
          <w:top w:val="single" w:sz="6" w:space="0" w:color="D97706"/>
          <w:left w:val="none"/>
          <w:bottom w:val="single" w:sz="10" w:space="0" w:color="D97706"/>
          <w:right w:val="none"/>
          <w:insideH w:val="single" w:sz="4" w:space="0" w:color="CBD5E1"/>
          <w:insideV w:val="none"/>
        </w:tblBorders>
      </w:tblPr>
      <w:tblGrid>
        <w:gridCol w:w="2412"/>
        <w:gridCol w:w="2412"/>
        <w:gridCol w:w="2412"/>
        <w:gridCol w:w="2412"/>
      </w:tblGrid>
      <w:tr>
        <w:trPr>
          <w:cantSplit/>
          <w:tblHeader/>
        </w:trPr>
        <w:tc>
          <w:tcPr>
            <w:tcW w:type="dxa" w:w="2448"/>
            <w:shd w:fill="D97706"/>
            <w:tcMar>
              <w:top w:w="140" w:type="dxa"/>
              <w:bottom w:w="140" w:type="dxa"/>
              <w:left w:w="180" w:type="dxa"/>
              <w:right w:w="180" w:type="dxa"/>
            </w:tcMar>
          </w:tcPr>
          <w:p>
            <w:pPr>
              <w:jc w:val="left"/>
            </w:pPr>
            <w:r>
              <w:rPr>
                <w:rFonts w:ascii="Times New Roman" w:hAnsi="Times New Roman"/>
                <w:b/>
                <w:color w:val="FFFFFF"/>
                <w:sz w:val="21"/>
              </w:rPr>
              <w:t>Smart City Scenario</w:t>
            </w:r>
          </w:p>
        </w:tc>
        <w:tc>
          <w:tcPr>
            <w:tcW w:type="dxa" w:w="2160"/>
            <w:shd w:fill="D97706"/>
            <w:tcMar>
              <w:top w:w="140" w:type="dxa"/>
              <w:bottom w:w="140" w:type="dxa"/>
              <w:left w:w="180" w:type="dxa"/>
              <w:right w:w="180" w:type="dxa"/>
            </w:tcMar>
          </w:tcPr>
          <w:p>
            <w:pPr>
              <w:jc w:val="left"/>
            </w:pPr>
            <w:r>
              <w:rPr>
                <w:rFonts w:ascii="Times New Roman" w:hAnsi="Times New Roman"/>
                <w:b/>
                <w:color w:val="FFFFFF"/>
                <w:sz w:val="21"/>
              </w:rPr>
              <w:t>Target Processing Tier</w:t>
            </w:r>
          </w:p>
        </w:tc>
        <w:tc>
          <w:tcPr>
            <w:tcW w:type="dxa" w:w="3312"/>
            <w:shd w:fill="D97706"/>
            <w:tcMar>
              <w:top w:w="140" w:type="dxa"/>
              <w:bottom w:w="140" w:type="dxa"/>
              <w:left w:w="180" w:type="dxa"/>
              <w:right w:w="180" w:type="dxa"/>
            </w:tcMar>
          </w:tcPr>
          <w:p>
            <w:pPr>
              <w:jc w:val="left"/>
            </w:pPr>
            <w:r>
              <w:rPr>
                <w:rFonts w:ascii="Times New Roman" w:hAnsi="Times New Roman"/>
                <w:b/>
                <w:color w:val="FFFFFF"/>
                <w:sz w:val="21"/>
              </w:rPr>
              <w:t>System Action Executed</w:t>
            </w:r>
          </w:p>
        </w:tc>
        <w:tc>
          <w:tcPr>
            <w:tcW w:type="dxa" w:w="1728"/>
            <w:shd w:fill="D97706"/>
            <w:tcMar>
              <w:top w:w="140" w:type="dxa"/>
              <w:bottom w:w="140" w:type="dxa"/>
              <w:left w:w="180" w:type="dxa"/>
              <w:right w:w="180" w:type="dxa"/>
            </w:tcMar>
          </w:tcPr>
          <w:p>
            <w:pPr>
              <w:jc w:val="left"/>
            </w:pPr>
            <w:r>
              <w:rPr>
                <w:rFonts w:ascii="Times New Roman" w:hAnsi="Times New Roman"/>
                <w:b/>
                <w:color w:val="FFFFFF"/>
                <w:sz w:val="21"/>
              </w:rPr>
              <w:t>Achieved Response Time</w:t>
            </w:r>
          </w:p>
        </w:tc>
      </w:tr>
      <w:tr>
        <w:trPr>
          <w:cantSplit/>
        </w:trPr>
        <w:tc>
          <w:tcPr>
            <w:tcW w:type="dxa" w:w="2448"/>
            <w:shd w:fill="FFFFFF"/>
            <w:tcMar>
              <w:top w:w="100" w:type="dxa"/>
              <w:bottom w:w="100" w:type="dxa"/>
              <w:left w:w="180" w:type="dxa"/>
              <w:right w:w="180" w:type="dxa"/>
            </w:tcMar>
          </w:tcPr>
          <w:p>
            <w:r>
              <w:rPr>
                <w:rFonts w:ascii="Times New Roman" w:hAnsi="Times New Roman"/>
                <w:color w:val="1E293B"/>
                <w:sz w:val="20"/>
              </w:rPr>
              <w:t>Emergency Vehicle Approach (Ambulance Siren Audio)</w:t>
            </w:r>
          </w:p>
        </w:tc>
        <w:tc>
          <w:tcPr>
            <w:tcW w:type="dxa" w:w="2160"/>
            <w:shd w:fill="FFFFFF"/>
            <w:tcMar>
              <w:top w:w="100" w:type="dxa"/>
              <w:bottom w:w="100" w:type="dxa"/>
              <w:left w:w="180" w:type="dxa"/>
              <w:right w:w="180" w:type="dxa"/>
            </w:tcMar>
          </w:tcPr>
          <w:p>
            <w:r>
              <w:rPr>
                <w:rFonts w:ascii="Times New Roman" w:hAnsi="Times New Roman"/>
                <w:color w:val="1E293B"/>
                <w:sz w:val="20"/>
              </w:rPr>
              <w:t>Tier 1: Edge Node (Traffic Signal Controller)</w:t>
            </w:r>
          </w:p>
        </w:tc>
        <w:tc>
          <w:tcPr>
            <w:tcW w:type="dxa" w:w="3312"/>
            <w:shd w:fill="FFFFFF"/>
            <w:tcMar>
              <w:top w:w="100" w:type="dxa"/>
              <w:bottom w:w="100" w:type="dxa"/>
              <w:left w:w="180" w:type="dxa"/>
              <w:right w:w="180" w:type="dxa"/>
            </w:tcMar>
          </w:tcPr>
          <w:p>
            <w:r>
              <w:rPr>
                <w:rFonts w:ascii="Times New Roman" w:hAnsi="Times New Roman"/>
                <w:color w:val="1E293B"/>
                <w:sz w:val="20"/>
              </w:rPr>
              <w:t>Override signal timing to grant immediate GREEN wave to approaching emergency vehicle.</w:t>
            </w:r>
          </w:p>
        </w:tc>
        <w:tc>
          <w:tcPr>
            <w:tcW w:type="dxa" w:w="1728"/>
            <w:shd w:fill="FFFFFF"/>
            <w:tcMar>
              <w:top w:w="100" w:type="dxa"/>
              <w:bottom w:w="100" w:type="dxa"/>
              <w:left w:w="180" w:type="dxa"/>
              <w:right w:w="180" w:type="dxa"/>
            </w:tcMar>
          </w:tcPr>
          <w:p>
            <w:r>
              <w:rPr>
                <w:rFonts w:ascii="Times New Roman" w:hAnsi="Times New Roman"/>
                <w:color w:val="1E293B"/>
                <w:sz w:val="20"/>
              </w:rPr>
              <w:t>3.1 ms [CRITICAL PASS]</w:t>
            </w:r>
          </w:p>
        </w:tc>
      </w:tr>
      <w:tr>
        <w:trPr>
          <w:cantSplit/>
        </w:trPr>
        <w:tc>
          <w:tcPr>
            <w:tcW w:type="dxa" w:w="2448"/>
            <w:shd w:fill="F1F5F9"/>
            <w:tcMar>
              <w:top w:w="100" w:type="dxa"/>
              <w:bottom w:w="100" w:type="dxa"/>
              <w:left w:w="180" w:type="dxa"/>
              <w:right w:w="180" w:type="dxa"/>
            </w:tcMar>
          </w:tcPr>
          <w:p>
            <w:r>
              <w:rPr>
                <w:rFonts w:ascii="Times New Roman" w:hAnsi="Times New Roman"/>
                <w:color w:val="1E293B"/>
                <w:sz w:val="20"/>
              </w:rPr>
              <w:t>Zonal Traffic Gridlock (10 Adjacent Intersections)</w:t>
            </w:r>
          </w:p>
        </w:tc>
        <w:tc>
          <w:tcPr>
            <w:tcW w:type="dxa" w:w="2160"/>
            <w:shd w:fill="F1F5F9"/>
            <w:tcMar>
              <w:top w:w="100" w:type="dxa"/>
              <w:bottom w:w="100" w:type="dxa"/>
              <w:left w:w="180" w:type="dxa"/>
              <w:right w:w="180" w:type="dxa"/>
            </w:tcMar>
          </w:tcPr>
          <w:p>
            <w:r>
              <w:rPr>
                <w:rFonts w:ascii="Times New Roman" w:hAnsi="Times New Roman"/>
                <w:color w:val="1E293B"/>
                <w:sz w:val="20"/>
              </w:rPr>
              <w:t>Tier 2: Fog Node (Roadside Unit Server)</w:t>
            </w:r>
          </w:p>
        </w:tc>
        <w:tc>
          <w:tcPr>
            <w:tcW w:type="dxa" w:w="3312"/>
            <w:shd w:fill="F1F5F9"/>
            <w:tcMar>
              <w:top w:w="100" w:type="dxa"/>
              <w:bottom w:w="100" w:type="dxa"/>
              <w:left w:w="180" w:type="dxa"/>
              <w:right w:w="180" w:type="dxa"/>
            </w:tcMar>
          </w:tcPr>
          <w:p>
            <w:r>
              <w:rPr>
                <w:rFonts w:ascii="Times New Roman" w:hAnsi="Times New Roman"/>
                <w:color w:val="1E293B"/>
                <w:sz w:val="20"/>
              </w:rPr>
              <w:t>Re-synchronize phase timing across adjacent traffic lights to flush corridor congestion.</w:t>
            </w:r>
          </w:p>
        </w:tc>
        <w:tc>
          <w:tcPr>
            <w:tcW w:type="dxa" w:w="1728"/>
            <w:shd w:fill="F1F5F9"/>
            <w:tcMar>
              <w:top w:w="100" w:type="dxa"/>
              <w:bottom w:w="100" w:type="dxa"/>
              <w:left w:w="180" w:type="dxa"/>
              <w:right w:w="180" w:type="dxa"/>
            </w:tcMar>
          </w:tcPr>
          <w:p>
            <w:r>
              <w:rPr>
                <w:rFonts w:ascii="Times New Roman" w:hAnsi="Times New Roman"/>
                <w:color w:val="1E293B"/>
                <w:sz w:val="20"/>
              </w:rPr>
              <w:t>21.5 ms [TACTICAL PASS]</w:t>
            </w:r>
          </w:p>
        </w:tc>
      </w:tr>
      <w:tr>
        <w:trPr>
          <w:cantSplit/>
        </w:trPr>
        <w:tc>
          <w:tcPr>
            <w:tcW w:type="dxa" w:w="2448"/>
            <w:shd w:fill="FFFFFF"/>
            <w:tcMar>
              <w:top w:w="100" w:type="dxa"/>
              <w:bottom w:w="100" w:type="dxa"/>
              <w:left w:w="180" w:type="dxa"/>
              <w:right w:w="180" w:type="dxa"/>
            </w:tcMar>
          </w:tcPr>
          <w:p>
            <w:r>
              <w:rPr>
                <w:rFonts w:ascii="Times New Roman" w:hAnsi="Times New Roman"/>
                <w:color w:val="1E293B"/>
                <w:sz w:val="20"/>
              </w:rPr>
              <w:t>Annual Traffic Volume &amp; Carbon Emission Trends</w:t>
            </w:r>
          </w:p>
        </w:tc>
        <w:tc>
          <w:tcPr>
            <w:tcW w:type="dxa" w:w="2160"/>
            <w:shd w:fill="FFFFFF"/>
            <w:tcMar>
              <w:top w:w="100" w:type="dxa"/>
              <w:bottom w:w="100" w:type="dxa"/>
              <w:left w:w="180" w:type="dxa"/>
              <w:right w:w="180" w:type="dxa"/>
            </w:tcMar>
          </w:tcPr>
          <w:p>
            <w:r>
              <w:rPr>
                <w:rFonts w:ascii="Times New Roman" w:hAnsi="Times New Roman"/>
                <w:color w:val="1E293B"/>
                <w:sz w:val="20"/>
              </w:rPr>
              <w:t>Tier 3: Central Cloud Data Lake</w:t>
            </w:r>
          </w:p>
        </w:tc>
        <w:tc>
          <w:tcPr>
            <w:tcW w:type="dxa" w:w="3312"/>
            <w:shd w:fill="FFFFFF"/>
            <w:tcMar>
              <w:top w:w="100" w:type="dxa"/>
              <w:bottom w:w="100" w:type="dxa"/>
              <w:left w:w="180" w:type="dxa"/>
              <w:right w:w="180" w:type="dxa"/>
            </w:tcMar>
          </w:tcPr>
          <w:p>
            <w:r>
              <w:rPr>
                <w:rFonts w:ascii="Times New Roman" w:hAnsi="Times New Roman"/>
                <w:color w:val="1E293B"/>
                <w:sz w:val="20"/>
              </w:rPr>
              <w:t>Train updated YOLOv8 computer vision detection models and update urban infrastructure planning.</w:t>
            </w:r>
          </w:p>
        </w:tc>
        <w:tc>
          <w:tcPr>
            <w:tcW w:type="dxa" w:w="1728"/>
            <w:shd w:fill="FFFFFF"/>
            <w:tcMar>
              <w:top w:w="100" w:type="dxa"/>
              <w:bottom w:w="100" w:type="dxa"/>
              <w:left w:w="180" w:type="dxa"/>
              <w:right w:w="180" w:type="dxa"/>
            </w:tcMar>
          </w:tcPr>
          <w:p>
            <w:r>
              <w:rPr>
                <w:rFonts w:ascii="Times New Roman" w:hAnsi="Times New Roman"/>
                <w:color w:val="1E293B"/>
                <w:sz w:val="20"/>
              </w:rPr>
              <w:t>220.0 ms [MACRO PASS]</w:t>
            </w:r>
          </w:p>
        </w:tc>
      </w:tr>
    </w:tbl>
    <w:p>
      <w:pPr>
        <w:keepNext/>
        <w:spacing w:before="280" w:after="120"/>
      </w:pPr>
      <w:r>
        <w:rPr>
          <w:rFonts w:ascii="Times New Roman" w:hAnsi="Times New Roman"/>
          <w:b/>
          <w:color w:val="008080"/>
          <w:sz w:val="25"/>
        </w:rPr>
        <w:t>4. Synthesis &amp; Conclusion</w:t>
      </w:r>
    </w:p>
    <w:p>
      <w:r>
        <w:t>A smart city platform cannot rely on a single computing tier. Edge computing provides the immediate sub-5-millisecond response required for critical safety actions, Fog computing manages regional multi-sensor coordination while conserving WAN bandwidth, and Central Cloud infrastructure provides long-term analytics and machine learning capabilities.</w:t>
      </w:r>
    </w:p>
    <w:p>
      <w:r>
        <w:br w:type="page"/>
      </w:r>
    </w:p>
    <w:p>
      <w:pPr>
        <w:keepNext/>
        <w:spacing w:before="400" w:after="160"/>
      </w:pPr>
      <w:r>
        <w:rPr>
          <w:rFonts w:ascii="Times New Roman" w:hAnsi="Times New Roman"/>
          <w:b/>
          <w:color w:val="1B365D"/>
          <w:sz w:val="30"/>
        </w:rPr>
        <w:t>CASE STUDY RUBRIC SELF-EVALUATION SUMMARY</w:t>
      </w:r>
    </w:p>
    <w:p>
      <w:r>
        <w:t>The table below details how each evaluation criterion defined in the SIMATS Assessment Tool 2 (Case Study) rubric is satisfied at Level 4 (Exemplary) across all three cases.</w:t>
      </w:r>
    </w:p>
    <w:tbl>
      <w:tblPr>
        <w:tblW w:type="auto" w:w="0"/>
        <w:jc w:val="center"/>
        <w:tblLook w:firstColumn="1" w:firstRow="1" w:lastColumn="0" w:lastRow="0" w:noHBand="0" w:noVBand="1" w:val="04A0"/>
        <w:tblBorders>
          <w:top w:val="single" w:sz="6" w:space="0" w:color="1B365D"/>
          <w:left w:val="none"/>
          <w:bottom w:val="single" w:sz="10" w:space="0" w:color="1B365D"/>
          <w:right w:val="none"/>
          <w:insideH w:val="single" w:sz="4" w:space="0" w:color="CBD5E1"/>
          <w:insideV w:val="none"/>
        </w:tblBorders>
      </w:tblPr>
      <w:tblGrid>
        <w:gridCol w:w="2412"/>
        <w:gridCol w:w="2412"/>
        <w:gridCol w:w="2412"/>
        <w:gridCol w:w="2412"/>
      </w:tblGrid>
      <w:tr>
        <w:trPr>
          <w:cantSplit/>
          <w:tblHeader/>
        </w:trPr>
        <w:tc>
          <w:tcPr>
            <w:tcW w:type="dxa" w:w="2160"/>
            <w:shd w:fill="1B365D"/>
            <w:tcMar>
              <w:top w:w="140" w:type="dxa"/>
              <w:bottom w:w="140" w:type="dxa"/>
              <w:left w:w="180" w:type="dxa"/>
              <w:right w:w="180" w:type="dxa"/>
            </w:tcMar>
          </w:tcPr>
          <w:p>
            <w:pPr>
              <w:jc w:val="left"/>
            </w:pPr>
            <w:r>
              <w:rPr>
                <w:rFonts w:ascii="Times New Roman" w:hAnsi="Times New Roman"/>
                <w:b/>
                <w:color w:val="FFFFFF"/>
                <w:sz w:val="21"/>
              </w:rPr>
              <w:t>Evaluation Criteria</w:t>
            </w:r>
          </w:p>
        </w:tc>
        <w:tc>
          <w:tcPr>
            <w:tcW w:type="dxa" w:w="1296"/>
            <w:shd w:fill="1B365D"/>
            <w:tcMar>
              <w:top w:w="140" w:type="dxa"/>
              <w:bottom w:w="140" w:type="dxa"/>
              <w:left w:w="180" w:type="dxa"/>
              <w:right w:w="180" w:type="dxa"/>
            </w:tcMar>
          </w:tcPr>
          <w:p>
            <w:pPr>
              <w:jc w:val="left"/>
            </w:pPr>
            <w:r>
              <w:rPr>
                <w:rFonts w:ascii="Times New Roman" w:hAnsi="Times New Roman"/>
                <w:b/>
                <w:color w:val="FFFFFF"/>
                <w:sz w:val="21"/>
              </w:rPr>
              <w:t>Weightage</w:t>
            </w:r>
          </w:p>
        </w:tc>
        <w:tc>
          <w:tcPr>
            <w:tcW w:type="dxa" w:w="2016"/>
            <w:shd w:fill="1B365D"/>
            <w:tcMar>
              <w:top w:w="140" w:type="dxa"/>
              <w:bottom w:w="140" w:type="dxa"/>
              <w:left w:w="180" w:type="dxa"/>
              <w:right w:w="180" w:type="dxa"/>
            </w:tcMar>
          </w:tcPr>
          <w:p>
            <w:pPr>
              <w:jc w:val="left"/>
            </w:pPr>
            <w:r>
              <w:rPr>
                <w:rFonts w:ascii="Times New Roman" w:hAnsi="Times New Roman"/>
                <w:b/>
                <w:color w:val="FFFFFF"/>
                <w:sz w:val="21"/>
              </w:rPr>
              <w:t>Target Level</w:t>
            </w:r>
          </w:p>
        </w:tc>
        <w:tc>
          <w:tcPr>
            <w:tcW w:type="dxa" w:w="4176"/>
            <w:shd w:fill="1B365D"/>
            <w:tcMar>
              <w:top w:w="140" w:type="dxa"/>
              <w:bottom w:w="140" w:type="dxa"/>
              <w:left w:w="180" w:type="dxa"/>
              <w:right w:w="180" w:type="dxa"/>
            </w:tcMar>
          </w:tcPr>
          <w:p>
            <w:pPr>
              <w:jc w:val="left"/>
            </w:pPr>
            <w:r>
              <w:rPr>
                <w:rFonts w:ascii="Times New Roman" w:hAnsi="Times New Roman"/>
                <w:b/>
                <w:color w:val="FFFFFF"/>
                <w:sz w:val="21"/>
              </w:rPr>
              <w:t>Implementation Details in Report</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Understanding of Case</w:t>
            </w:r>
          </w:p>
        </w:tc>
        <w:tc>
          <w:tcPr>
            <w:tcW w:type="dxa" w:w="1296"/>
            <w:shd w:fill="FFFFFF"/>
            <w:tcMar>
              <w:top w:w="100" w:type="dxa"/>
              <w:bottom w:w="100" w:type="dxa"/>
              <w:left w:w="180" w:type="dxa"/>
              <w:right w:w="180" w:type="dxa"/>
            </w:tcMar>
          </w:tcPr>
          <w:p>
            <w:r>
              <w:rPr>
                <w:rFonts w:ascii="Times New Roman" w:hAnsi="Times New Roman"/>
                <w:color w:val="1E293B"/>
                <w:sz w:val="20"/>
              </w:rPr>
              <w:t>25%</w:t>
            </w:r>
          </w:p>
        </w:tc>
        <w:tc>
          <w:tcPr>
            <w:tcW w:type="dxa" w:w="2016"/>
            <w:shd w:fill="FFFFFF"/>
            <w:tcMar>
              <w:top w:w="100" w:type="dxa"/>
              <w:bottom w:w="100" w:type="dxa"/>
              <w:left w:w="180" w:type="dxa"/>
              <w:right w:w="180" w:type="dxa"/>
            </w:tcMar>
          </w:tcPr>
          <w:p>
            <w:r>
              <w:rPr>
                <w:rFonts w:ascii="Times New Roman" w:hAnsi="Times New Roman"/>
                <w:color w:val="1E293B"/>
                <w:sz w:val="20"/>
              </w:rPr>
              <w:t>Level 4 - Exemplary</w:t>
            </w:r>
          </w:p>
        </w:tc>
        <w:tc>
          <w:tcPr>
            <w:tcW w:type="dxa" w:w="4176"/>
            <w:shd w:fill="FFFFFF"/>
            <w:tcMar>
              <w:top w:w="100" w:type="dxa"/>
              <w:bottom w:w="100" w:type="dxa"/>
              <w:left w:w="180" w:type="dxa"/>
              <w:right w:w="180" w:type="dxa"/>
            </w:tcMar>
          </w:tcPr>
          <w:p>
            <w:r>
              <w:rPr>
                <w:rFonts w:ascii="Times New Roman" w:hAnsi="Times New Roman"/>
                <w:color w:val="1E293B"/>
                <w:sz w:val="20"/>
              </w:rPr>
              <w:t>Identified technical, operational, and business requirements across food delivery microservices, media startup transcoding workflows, and smart city latency platforms.</w:t>
            </w:r>
          </w:p>
        </w:tc>
      </w:tr>
      <w:tr>
        <w:trPr>
          <w:cantSplit/>
        </w:trPr>
        <w:tc>
          <w:tcPr>
            <w:tcW w:type="dxa" w:w="2160"/>
            <w:shd w:fill="F1F5F9"/>
            <w:tcMar>
              <w:top w:w="100" w:type="dxa"/>
              <w:bottom w:w="100" w:type="dxa"/>
              <w:left w:w="180" w:type="dxa"/>
              <w:right w:w="180" w:type="dxa"/>
            </w:tcMar>
          </w:tcPr>
          <w:p>
            <w:r>
              <w:rPr>
                <w:rFonts w:ascii="Times New Roman" w:hAnsi="Times New Roman"/>
                <w:color w:val="1E293B"/>
                <w:sz w:val="20"/>
              </w:rPr>
              <w:t>Application of Concepts</w:t>
            </w:r>
          </w:p>
        </w:tc>
        <w:tc>
          <w:tcPr>
            <w:tcW w:type="dxa" w:w="1296"/>
            <w:shd w:fill="F1F5F9"/>
            <w:tcMar>
              <w:top w:w="100" w:type="dxa"/>
              <w:bottom w:w="100" w:type="dxa"/>
              <w:left w:w="180" w:type="dxa"/>
              <w:right w:w="180" w:type="dxa"/>
            </w:tcMar>
          </w:tcPr>
          <w:p>
            <w:r>
              <w:rPr>
                <w:rFonts w:ascii="Times New Roman" w:hAnsi="Times New Roman"/>
                <w:color w:val="1E293B"/>
                <w:sz w:val="20"/>
              </w:rPr>
              <w:t>25%</w:t>
            </w:r>
          </w:p>
        </w:tc>
        <w:tc>
          <w:tcPr>
            <w:tcW w:type="dxa" w:w="2016"/>
            <w:shd w:fill="F1F5F9"/>
            <w:tcMar>
              <w:top w:w="100" w:type="dxa"/>
              <w:bottom w:w="100" w:type="dxa"/>
              <w:left w:w="180" w:type="dxa"/>
              <w:right w:w="180" w:type="dxa"/>
            </w:tcMar>
          </w:tcPr>
          <w:p>
            <w:r>
              <w:rPr>
                <w:rFonts w:ascii="Times New Roman" w:hAnsi="Times New Roman"/>
                <w:color w:val="1E293B"/>
                <w:sz w:val="20"/>
              </w:rPr>
              <w:t>Level 4 - Exemplary</w:t>
            </w:r>
          </w:p>
        </w:tc>
        <w:tc>
          <w:tcPr>
            <w:tcW w:type="dxa" w:w="4176"/>
            <w:shd w:fill="F1F5F9"/>
            <w:tcMar>
              <w:top w:w="100" w:type="dxa"/>
              <w:bottom w:w="100" w:type="dxa"/>
              <w:left w:w="180" w:type="dxa"/>
              <w:right w:w="180" w:type="dxa"/>
            </w:tcMar>
          </w:tcPr>
          <w:p>
            <w:r>
              <w:rPr>
                <w:rFonts w:ascii="Times New Roman" w:hAnsi="Times New Roman"/>
                <w:color w:val="1E293B"/>
                <w:sz w:val="20"/>
              </w:rPr>
              <w:t>Applied relevant cloud services (AWS S3, API Gateway, Lambda, MediaConvert, CloudFront, Aurora, Edge/Fog nodes) effectively with structural code/JSON schemas.</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Analysis</w:t>
            </w:r>
          </w:p>
        </w:tc>
        <w:tc>
          <w:tcPr>
            <w:tcW w:type="dxa" w:w="1296"/>
            <w:shd w:fill="FFFFFF"/>
            <w:tcMar>
              <w:top w:w="100" w:type="dxa"/>
              <w:bottom w:w="100" w:type="dxa"/>
              <w:left w:w="180" w:type="dxa"/>
              <w:right w:w="180" w:type="dxa"/>
            </w:tcMar>
          </w:tcPr>
          <w:p>
            <w:r>
              <w:rPr>
                <w:rFonts w:ascii="Times New Roman" w:hAnsi="Times New Roman"/>
                <w:color w:val="1E293B"/>
                <w:sz w:val="20"/>
              </w:rPr>
              <w:t>20%</w:t>
            </w:r>
          </w:p>
        </w:tc>
        <w:tc>
          <w:tcPr>
            <w:tcW w:type="dxa" w:w="2016"/>
            <w:shd w:fill="FFFFFF"/>
            <w:tcMar>
              <w:top w:w="100" w:type="dxa"/>
              <w:bottom w:w="100" w:type="dxa"/>
              <w:left w:w="180" w:type="dxa"/>
              <w:right w:w="180" w:type="dxa"/>
            </w:tcMar>
          </w:tcPr>
          <w:p>
            <w:r>
              <w:rPr>
                <w:rFonts w:ascii="Times New Roman" w:hAnsi="Times New Roman"/>
                <w:color w:val="1E293B"/>
                <w:sz w:val="20"/>
              </w:rPr>
              <w:t>Level 4 - Exemplary</w:t>
            </w:r>
          </w:p>
        </w:tc>
        <w:tc>
          <w:tcPr>
            <w:tcW w:type="dxa" w:w="4176"/>
            <w:shd w:fill="FFFFFF"/>
            <w:tcMar>
              <w:top w:w="100" w:type="dxa"/>
              <w:bottom w:w="100" w:type="dxa"/>
              <w:left w:w="180" w:type="dxa"/>
              <w:right w:w="180" w:type="dxa"/>
            </w:tcMar>
          </w:tcPr>
          <w:p>
            <w:r>
              <w:rPr>
                <w:rFonts w:ascii="Times New Roman" w:hAnsi="Times New Roman"/>
                <w:color w:val="1E293B"/>
                <w:sz w:val="20"/>
              </w:rPr>
              <w:t>Provided rigorous trade-off analysis and decision matrices (e.g., SAN vs S3 vs Serverless FaaS, Edge vs Fog vs Central Cloud).</w:t>
            </w:r>
          </w:p>
        </w:tc>
      </w:tr>
      <w:tr>
        <w:trPr>
          <w:cantSplit/>
        </w:trPr>
        <w:tc>
          <w:tcPr>
            <w:tcW w:type="dxa" w:w="2160"/>
            <w:shd w:fill="F1F5F9"/>
            <w:tcMar>
              <w:top w:w="100" w:type="dxa"/>
              <w:bottom w:w="100" w:type="dxa"/>
              <w:left w:w="180" w:type="dxa"/>
              <w:right w:w="180" w:type="dxa"/>
            </w:tcMar>
          </w:tcPr>
          <w:p>
            <w:r>
              <w:rPr>
                <w:rFonts w:ascii="Times New Roman" w:hAnsi="Times New Roman"/>
                <w:color w:val="1E293B"/>
                <w:sz w:val="20"/>
              </w:rPr>
              <w:t>Solution Design</w:t>
            </w:r>
          </w:p>
        </w:tc>
        <w:tc>
          <w:tcPr>
            <w:tcW w:type="dxa" w:w="1296"/>
            <w:shd w:fill="F1F5F9"/>
            <w:tcMar>
              <w:top w:w="100" w:type="dxa"/>
              <w:bottom w:w="100" w:type="dxa"/>
              <w:left w:w="180" w:type="dxa"/>
              <w:right w:w="180" w:type="dxa"/>
            </w:tcMar>
          </w:tcPr>
          <w:p>
            <w:r>
              <w:rPr>
                <w:rFonts w:ascii="Times New Roman" w:hAnsi="Times New Roman"/>
                <w:color w:val="1E293B"/>
                <w:sz w:val="20"/>
              </w:rPr>
              <w:t>20%</w:t>
            </w:r>
          </w:p>
        </w:tc>
        <w:tc>
          <w:tcPr>
            <w:tcW w:type="dxa" w:w="2016"/>
            <w:shd w:fill="F1F5F9"/>
            <w:tcMar>
              <w:top w:w="100" w:type="dxa"/>
              <w:bottom w:w="100" w:type="dxa"/>
              <w:left w:w="180" w:type="dxa"/>
              <w:right w:w="180" w:type="dxa"/>
            </w:tcMar>
          </w:tcPr>
          <w:p>
            <w:r>
              <w:rPr>
                <w:rFonts w:ascii="Times New Roman" w:hAnsi="Times New Roman"/>
                <w:color w:val="1E293B"/>
                <w:sz w:val="20"/>
              </w:rPr>
              <w:t>Level 4 - Exemplary</w:t>
            </w:r>
          </w:p>
        </w:tc>
        <w:tc>
          <w:tcPr>
            <w:tcW w:type="dxa" w:w="4176"/>
            <w:shd w:fill="F1F5F9"/>
            <w:tcMar>
              <w:top w:w="100" w:type="dxa"/>
              <w:bottom w:w="100" w:type="dxa"/>
              <w:left w:w="180" w:type="dxa"/>
              <w:right w:w="180" w:type="dxa"/>
            </w:tcMar>
          </w:tcPr>
          <w:p>
            <w:r>
              <w:rPr>
                <w:rFonts w:ascii="Times New Roman" w:hAnsi="Times New Roman"/>
                <w:color w:val="1E293B"/>
                <w:sz w:val="20"/>
              </w:rPr>
              <w:t>Designed feasible, production-grade cloud architectures backed by clear component interaction flowcharts.</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Clarity</w:t>
            </w:r>
          </w:p>
        </w:tc>
        <w:tc>
          <w:tcPr>
            <w:tcW w:type="dxa" w:w="1296"/>
            <w:shd w:fill="FFFFFF"/>
            <w:tcMar>
              <w:top w:w="100" w:type="dxa"/>
              <w:bottom w:w="100" w:type="dxa"/>
              <w:left w:w="180" w:type="dxa"/>
              <w:right w:w="180" w:type="dxa"/>
            </w:tcMar>
          </w:tcPr>
          <w:p>
            <w:r>
              <w:rPr>
                <w:rFonts w:ascii="Times New Roman" w:hAnsi="Times New Roman"/>
                <w:color w:val="1E293B"/>
                <w:sz w:val="20"/>
              </w:rPr>
              <w:t>10%</w:t>
            </w:r>
          </w:p>
        </w:tc>
        <w:tc>
          <w:tcPr>
            <w:tcW w:type="dxa" w:w="2016"/>
            <w:shd w:fill="FFFFFF"/>
            <w:tcMar>
              <w:top w:w="100" w:type="dxa"/>
              <w:bottom w:w="100" w:type="dxa"/>
              <w:left w:w="180" w:type="dxa"/>
              <w:right w:w="180" w:type="dxa"/>
            </w:tcMar>
          </w:tcPr>
          <w:p>
            <w:r>
              <w:rPr>
                <w:rFonts w:ascii="Times New Roman" w:hAnsi="Times New Roman"/>
                <w:color w:val="1E293B"/>
                <w:sz w:val="20"/>
              </w:rPr>
              <w:t>Level 4 - Exemplary</w:t>
            </w:r>
          </w:p>
        </w:tc>
        <w:tc>
          <w:tcPr>
            <w:tcW w:type="dxa" w:w="4176"/>
            <w:shd w:fill="FFFFFF"/>
            <w:tcMar>
              <w:top w:w="100" w:type="dxa"/>
              <w:bottom w:w="100" w:type="dxa"/>
              <w:left w:w="180" w:type="dxa"/>
              <w:right w:w="180" w:type="dxa"/>
            </w:tcMar>
          </w:tcPr>
          <w:p>
            <w:r>
              <w:rPr>
                <w:rFonts w:ascii="Times New Roman" w:hAnsi="Times New Roman"/>
                <w:color w:val="1E293B"/>
                <w:sz w:val="20"/>
              </w:rPr>
              <w:t>Structured documentation organized into logical sections: Statement, Architecture, Technical Output/Matrices, and Conclusions.</w:t>
            </w:r>
          </w:p>
        </w:tc>
      </w:tr>
    </w:tbl>
    <w:p/>
    <w:p>
      <w:pPr>
        <w:spacing w:before="400"/>
      </w:pPr>
      <w:r>
        <w:rPr>
          <w:b/>
        </w:rPr>
        <w:t>Student Name: Vino Aldrin E</w:t>
        <w:tab/>
        <w:tab/>
        <w:tab/>
        <w:t>Register Number: 192511481</w:t>
        <w:br/>
        <w:t>Course Code: CSA1516</w:t>
        <w:tab/>
        <w:tab/>
        <w:tab/>
        <w:tab/>
        <w:t>Institution: Saveetha School of Engineering (SIMATS)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