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220" w:type="dxa"/>
              <w:bottom w:w="220" w:type="dxa"/>
              <w:left w:w="240" w:type="dxa"/>
              <w:right w:w="240" w:type="dxa"/>
            </w:tcMar>
          </w:tcPr>
          <w:p>
            <w:pPr>
              <w:spacing w:after="80"/>
              <w:jc w:val="center"/>
            </w:pPr>
            <w:r>
              <w:rPr>
                <w:rFonts w:ascii="Times New Roman" w:hAnsi="Times New Roman"/>
                <w:b/>
                <w:color w:val="FFFFFF"/>
                <w:sz w:val="36"/>
              </w:rPr>
              <w:t>SAVEETHA SCHOOL OF ENGINEERING</w:t>
              <w:br/>
            </w:r>
            <w:r>
              <w:rPr>
                <w:rFonts w:ascii="Times New Roman" w:hAnsi="Times New Roman"/>
                <w:color w:val="93C5FD"/>
                <w:sz w:val="21"/>
              </w:rPr>
              <w:t>SAVEETHA INSTITUTE OF MEDICAL AND TECHNICAL SCIENCES (SIMATS), CHENNAI</w:t>
              <w:br/>
            </w:r>
          </w:p>
          <w:p>
            <w:pPr>
              <w:spacing w:after="0"/>
              <w:jc w:val="center"/>
            </w:pPr>
            <w:r>
              <w:rPr>
                <w:rFonts w:ascii="Times New Roman" w:hAnsi="Times New Roman"/>
                <w:b/>
                <w:color w:val="FBBF24"/>
                <w:sz w:val="24"/>
              </w:rPr>
              <w:t>DEPARTMENT OF COMPUTER SCIENCE AND ENGINEERING</w:t>
              <w:br/>
              <w:t>CO3 ASSESSMENT TOOL - III: MULTIPLE CHOICE QUESTION TEST</w:t>
            </w:r>
          </w:p>
        </w:tc>
      </w:tr>
    </w:tbl>
    <w:p/>
    <w:tbl>
      <w:tblPr>
        <w:tblW w:type="auto" w:w="0"/>
        <w:jc w:val="center"/>
        <w:tblLook w:firstColumn="1" w:firstRow="1" w:lastColumn="0" w:lastRow="0" w:noHBand="0" w:noVBand="1" w:val="04A0"/>
        <w:tblBorders>
          <w:top w:val="single" w:sz="8" w:space="0" w:color="1B365D"/>
          <w:left w:val="single" w:sz="8" w:space="0" w:color="1B365D"/>
          <w:bottom w:val="single" w:sz="8" w:space="0" w:color="1B365D"/>
          <w:right w:val="single" w:sz="8" w:space="0" w:color="1B365D"/>
          <w:insideH w:val="single" w:sz="4" w:space="0" w:color="CBD5E1"/>
          <w:insideV w:val="single" w:sz="4" w:space="0" w:color="CBD5E1"/>
        </w:tblBorders>
      </w:tblPr>
      <w:tblGrid>
        <w:gridCol w:w="4824"/>
        <w:gridCol w:w="4824"/>
      </w:tblGrid>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Student Name</w:t>
            </w:r>
          </w:p>
        </w:tc>
        <w:tc>
          <w:tcPr>
            <w:tcW w:type="dxa" w:w="6480"/>
            <w:shd w:fill="F8FAFC"/>
            <w:tcMar>
              <w:top w:w="80" w:type="dxa"/>
              <w:bottom w:w="80" w:type="dxa"/>
              <w:left w:w="120" w:type="dxa"/>
              <w:right w:w="120" w:type="dxa"/>
            </w:tcMar>
          </w:tcPr>
          <w:p>
            <w:pPr>
              <w:spacing w:after="40"/>
            </w:pPr>
            <w:r>
              <w:rPr>
                <w:rFonts w:ascii="Times New Roman" w:hAnsi="Times New Roman"/>
                <w:b/>
                <w:color w:val="1E293B"/>
                <w:sz w:val="20"/>
              </w:rPr>
              <w:t>Vino Aldrin E</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Register Number</w:t>
            </w:r>
          </w:p>
        </w:tc>
        <w:tc>
          <w:tcPr>
            <w:tcW w:type="dxa" w:w="6480"/>
            <w:shd w:fill="FFFFFF"/>
            <w:tcMar>
              <w:top w:w="80" w:type="dxa"/>
              <w:bottom w:w="80" w:type="dxa"/>
              <w:left w:w="120" w:type="dxa"/>
              <w:right w:w="120" w:type="dxa"/>
            </w:tcMar>
          </w:tcPr>
          <w:p>
            <w:pPr>
              <w:spacing w:after="40"/>
            </w:pPr>
            <w:r>
              <w:rPr>
                <w:rFonts w:ascii="Times New Roman" w:hAnsi="Times New Roman"/>
                <w:b/>
                <w:color w:val="1E293B"/>
                <w:sz w:val="20"/>
              </w:rPr>
              <w:t>192511481</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Institution</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Saveetha School of Engineering (SIMATS), Chennai</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Code &amp; Title</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CSA1516 - Cloud Computing and Big Data Analytics</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Assessment Tool Type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MCQ Test (15 Analytical Questions)</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Outcome (CO)</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CO3: Implement cloud-based solutions using cloud storage, web APIs, and platform services for real-world applications. (BL3)</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Taxonomy &amp; Weightage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Dave's Taxonomy: Precision (Level 3) | Weightage: 10% (Total Marks: 30)</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Faculty</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Dr. Santhiya Lakshmi Kumaravel</w:t>
            </w:r>
          </w:p>
        </w:tc>
      </w:tr>
    </w:tbl>
    <w:p/>
    <w:p>
      <w:pPr>
        <w:keepNext/>
        <w:spacing w:before="280" w:after="120"/>
      </w:pPr>
      <w:r>
        <w:rPr>
          <w:rFonts w:ascii="Times New Roman" w:hAnsi="Times New Roman"/>
          <w:b/>
          <w:color w:val="008080"/>
          <w:sz w:val="25"/>
        </w:rPr>
        <w:t>Assessment Scope &amp; Executive Overview</w:t>
      </w:r>
    </w:p>
    <w:p>
      <w:r>
        <w:t>This document contains the complete solutions, technical justifications, and competency mapping for CO3 Assessment Tool 3 (MCQ Test) in CSA1516 Cloud Computing and Big Data Analytics. The test evaluates core concepts across cloud storage models (Block, File, Object, SAN), Web API architectures (REST, HTTP methods), serverless execution paradigms, PaaS application runtimes, and Edge/Fog multi-tier computing topologies. Every question includes a highlighted correct response, detailed technical reasoning, and a Bloom's taxonomy competency tag meeting Level-4 Exemplary rubric standards.</w:t>
      </w:r>
    </w:p>
    <w:p>
      <w:r>
        <w:br w:type="page"/>
      </w:r>
    </w:p>
    <w:p>
      <w:pPr>
        <w:keepNext/>
        <w:spacing w:before="400" w:after="160"/>
      </w:pPr>
      <w:r>
        <w:rPr>
          <w:rFonts w:ascii="Times New Roman" w:hAnsi="Times New Roman"/>
          <w:b/>
          <w:color w:val="1B365D"/>
          <w:sz w:val="30"/>
        </w:rPr>
        <w:t>DETAILED MCQ RESPONSES &amp; TECHNICAL JUSTIFICATIONS</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1: </w:t>
            </w:r>
            <w:r>
              <w:rPr>
                <w:rFonts w:ascii="Times New Roman" w:hAnsi="Times New Roman"/>
                <w:b/>
                <w:color w:val="0F172A"/>
                <w:sz w:val="21"/>
              </w:rPr>
              <w:t>Which cloud storage model is best suited for storing virtual machine disks?</w:t>
              <w:br/>
            </w:r>
          </w:p>
          <w:p>
            <w:pPr>
              <w:spacing w:after="40"/>
              <w:ind w:left="288"/>
            </w:pPr>
            <w:r>
              <w:rPr>
                <w:rFonts w:ascii="Times New Roman" w:hAnsi="Times New Roman"/>
                <w:color w:val="475569"/>
                <w:sz w:val="20"/>
              </w:rPr>
              <w:t>A. Object storage</w:t>
            </w:r>
          </w:p>
          <w:p>
            <w:pPr>
              <w:spacing w:after="40"/>
              <w:ind w:left="288"/>
            </w:pPr>
            <w:r>
              <w:rPr>
                <w:rFonts w:ascii="Times New Roman" w:hAnsi="Times New Roman"/>
                <w:b/>
                <w:color w:val="059669"/>
                <w:sz w:val="20"/>
              </w:rPr>
              <w:t>B. Block storage</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File storage</w:t>
            </w:r>
          </w:p>
          <w:p>
            <w:pPr>
              <w:spacing w:after="40"/>
              <w:ind w:left="288"/>
            </w:pPr>
            <w:r>
              <w:rPr>
                <w:rFonts w:ascii="Times New Roman" w:hAnsi="Times New Roman"/>
                <w:color w:val="475569"/>
                <w:sz w:val="20"/>
              </w:rPr>
              <w:t>D. Archive storage</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Block storage presents raw, unformatted binary sector volumes (via iSCSI, Fibre Channel, or NVMe-oF) directly to hypervisors and virtual machine OS boot engines. It delivers the sub-millisecond latency and high provisioned IOPS required for database transaction logging and virtual disk mounting.</w:t>
              <w:br/>
            </w:r>
            <w:r>
              <w:rPr>
                <w:rFonts w:ascii="Times New Roman" w:hAnsi="Times New Roman"/>
                <w:b/>
                <w:color w:val="7C3AED"/>
                <w:sz w:val="18"/>
              </w:rPr>
              <w:t xml:space="preserve">Bloom's Taxonomy / Competency: </w:t>
            </w:r>
            <w:r>
              <w:rPr>
                <w:rFonts w:ascii="Times New Roman" w:hAnsi="Times New Roman"/>
                <w:color w:val="5B21B6"/>
                <w:sz w:val="18"/>
              </w:rPr>
              <w:t>BL3 - Precision (Application to Virtualization)</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2: </w:t>
            </w:r>
            <w:r>
              <w:rPr>
                <w:rFonts w:ascii="Times New Roman" w:hAnsi="Times New Roman"/>
                <w:b/>
                <w:color w:val="0F172A"/>
                <w:sz w:val="21"/>
              </w:rPr>
              <w:t>Which protocol style is widely used for lightweight web APIs in cloud platforms?</w:t>
              <w:br/>
            </w:r>
          </w:p>
          <w:p>
            <w:pPr>
              <w:spacing w:after="40"/>
              <w:ind w:left="288"/>
            </w:pPr>
            <w:r>
              <w:rPr>
                <w:rFonts w:ascii="Times New Roman" w:hAnsi="Times New Roman"/>
                <w:color w:val="475569"/>
                <w:sz w:val="20"/>
              </w:rPr>
              <w:t>A. SOAP only</w:t>
            </w:r>
          </w:p>
          <w:p>
            <w:pPr>
              <w:spacing w:after="40"/>
              <w:ind w:left="288"/>
            </w:pPr>
            <w:r>
              <w:rPr>
                <w:rFonts w:ascii="Times New Roman" w:hAnsi="Times New Roman"/>
                <w:b/>
                <w:color w:val="059669"/>
                <w:sz w:val="20"/>
              </w:rPr>
              <w:t>B. REST</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FTP</w:t>
            </w:r>
          </w:p>
          <w:p>
            <w:pPr>
              <w:spacing w:after="40"/>
              <w:ind w:left="288"/>
            </w:pPr>
            <w:r>
              <w:rPr>
                <w:rFonts w:ascii="Times New Roman" w:hAnsi="Times New Roman"/>
                <w:color w:val="475569"/>
                <w:sz w:val="20"/>
              </w:rPr>
              <w:t>D. SMTP</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REST (Representational State Transfer) utilizes standard HTTP/HTTPS verbs (GET, POST, PUT, DELETE) paired with lightweight JSON payloads. This makes it the industry-standard architectural style for stateless, low-overhead cloud web APIs.</w:t>
              <w:br/>
            </w:r>
            <w:r>
              <w:rPr>
                <w:rFonts w:ascii="Times New Roman" w:hAnsi="Times New Roman"/>
                <w:b/>
                <w:color w:val="7C3AED"/>
                <w:sz w:val="18"/>
              </w:rPr>
              <w:t xml:space="preserve">Bloom's Taxonomy / Competency: </w:t>
            </w:r>
            <w:r>
              <w:rPr>
                <w:rFonts w:ascii="Times New Roman" w:hAnsi="Times New Roman"/>
                <w:color w:val="5B21B6"/>
                <w:sz w:val="18"/>
              </w:rPr>
              <w:t>BL2 - Understanding (Web Protocols)</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3: </w:t>
            </w:r>
            <w:r>
              <w:rPr>
                <w:rFonts w:ascii="Times New Roman" w:hAnsi="Times New Roman"/>
                <w:b/>
                <w:color w:val="0F172A"/>
                <w:sz w:val="21"/>
              </w:rPr>
              <w:t>Serverless computing is best described as:</w:t>
              <w:br/>
            </w:r>
          </w:p>
          <w:p>
            <w:pPr>
              <w:spacing w:after="40"/>
              <w:ind w:left="288"/>
            </w:pPr>
            <w:r>
              <w:rPr>
                <w:rFonts w:ascii="Times New Roman" w:hAnsi="Times New Roman"/>
                <w:color w:val="475569"/>
                <w:sz w:val="20"/>
              </w:rPr>
              <w:t>A. Computing without networks</w:t>
            </w:r>
          </w:p>
          <w:p>
            <w:pPr>
              <w:spacing w:after="40"/>
              <w:ind w:left="288"/>
            </w:pPr>
            <w:r>
              <w:rPr>
                <w:rFonts w:ascii="Times New Roman" w:hAnsi="Times New Roman"/>
                <w:b/>
                <w:color w:val="059669"/>
                <w:sz w:val="20"/>
              </w:rPr>
              <w:t>B. Running code without managing servers directly</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Local execution only</w:t>
            </w:r>
          </w:p>
          <w:p>
            <w:pPr>
              <w:spacing w:after="40"/>
              <w:ind w:left="288"/>
            </w:pPr>
            <w:r>
              <w:rPr>
                <w:rFonts w:ascii="Times New Roman" w:hAnsi="Times New Roman"/>
                <w:color w:val="475569"/>
                <w:sz w:val="20"/>
              </w:rPr>
              <w:t>D. Batch-only processing</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Serverless computing (Function-as-a-Service like AWS Lambda or Azure Functions) enables developers to execute code on-demand in response to events while the cloud provider handles all server provisioning, capacity scaling, OS patching, and hardware management.</w:t>
              <w:br/>
            </w:r>
            <w:r>
              <w:rPr>
                <w:rFonts w:ascii="Times New Roman" w:hAnsi="Times New Roman"/>
                <w:b/>
                <w:color w:val="7C3AED"/>
                <w:sz w:val="18"/>
              </w:rPr>
              <w:t xml:space="preserve">Bloom's Taxonomy / Competency: </w:t>
            </w:r>
            <w:r>
              <w:rPr>
                <w:rFonts w:ascii="Times New Roman" w:hAnsi="Times New Roman"/>
                <w:color w:val="5B21B6"/>
                <w:sz w:val="18"/>
              </w:rPr>
              <w:t>BL2 - Understanding (Serverless Paradigms)</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4: </w:t>
            </w:r>
            <w:r>
              <w:rPr>
                <w:rFonts w:ascii="Times New Roman" w:hAnsi="Times New Roman"/>
                <w:b/>
                <w:color w:val="0F172A"/>
                <w:sz w:val="21"/>
              </w:rPr>
              <w:t>Edge computing primarily helps by:</w:t>
              <w:br/>
            </w:r>
          </w:p>
          <w:p>
            <w:pPr>
              <w:spacing w:after="40"/>
              <w:ind w:left="288"/>
            </w:pPr>
            <w:r>
              <w:rPr>
                <w:rFonts w:ascii="Times New Roman" w:hAnsi="Times New Roman"/>
                <w:color w:val="475569"/>
                <w:sz w:val="20"/>
              </w:rPr>
              <w:t>A. Increasing central storage only</w:t>
            </w:r>
          </w:p>
          <w:p>
            <w:pPr>
              <w:spacing w:after="40"/>
              <w:ind w:left="288"/>
            </w:pPr>
            <w:r>
              <w:rPr>
                <w:rFonts w:ascii="Times New Roman" w:hAnsi="Times New Roman"/>
                <w:b/>
                <w:color w:val="059669"/>
                <w:sz w:val="20"/>
              </w:rPr>
              <w:t>B. Reducing latency near data sources</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Eliminating internet access</w:t>
            </w:r>
          </w:p>
          <w:p>
            <w:pPr>
              <w:spacing w:after="40"/>
              <w:ind w:left="288"/>
            </w:pPr>
            <w:r>
              <w:rPr>
                <w:rFonts w:ascii="Times New Roman" w:hAnsi="Times New Roman"/>
                <w:color w:val="475569"/>
                <w:sz w:val="20"/>
              </w:rPr>
              <w:t>D. Replacing cloud storage fully</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Edge computing positions processing nodes directly at or physically near field data sources (e.g., smart cameras, IoT sensors). By executing local compute, it bypasses long-distance WAN traversal and drastically reduces response latency (&lt; 5 ms).</w:t>
              <w:br/>
            </w:r>
            <w:r>
              <w:rPr>
                <w:rFonts w:ascii="Times New Roman" w:hAnsi="Times New Roman"/>
                <w:b/>
                <w:color w:val="7C3AED"/>
                <w:sz w:val="18"/>
              </w:rPr>
              <w:t xml:space="preserve">Bloom's Taxonomy / Competency: </w:t>
            </w:r>
            <w:r>
              <w:rPr>
                <w:rFonts w:ascii="Times New Roman" w:hAnsi="Times New Roman"/>
                <w:color w:val="5B21B6"/>
                <w:sz w:val="18"/>
              </w:rPr>
              <w:t>BL3 - Application (Latency Optimization)</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5: </w:t>
            </w:r>
            <w:r>
              <w:rPr>
                <w:rFonts w:ascii="Times New Roman" w:hAnsi="Times New Roman"/>
                <w:b/>
                <w:color w:val="0F172A"/>
                <w:sz w:val="21"/>
              </w:rPr>
              <w:t>Fog computing differs from edge computing because it:</w:t>
              <w:br/>
            </w:r>
          </w:p>
          <w:p>
            <w:pPr>
              <w:spacing w:after="40"/>
              <w:ind w:left="288"/>
            </w:pPr>
            <w:r>
              <w:rPr>
                <w:rFonts w:ascii="Times New Roman" w:hAnsi="Times New Roman"/>
                <w:color w:val="475569"/>
                <w:sz w:val="20"/>
              </w:rPr>
              <w:t>A. Always runs inside sensors</w:t>
            </w:r>
          </w:p>
          <w:p>
            <w:pPr>
              <w:spacing w:after="40"/>
              <w:ind w:left="288"/>
            </w:pPr>
            <w:r>
              <w:rPr>
                <w:rFonts w:ascii="Times New Roman" w:hAnsi="Times New Roman"/>
                <w:b/>
                <w:color w:val="059669"/>
                <w:sz w:val="20"/>
              </w:rPr>
              <w:t>B. Introduces an intermediate distributed layer between edge and cloud</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Works only in private clouds</w:t>
            </w:r>
          </w:p>
          <w:p>
            <w:pPr>
              <w:spacing w:after="40"/>
              <w:ind w:left="288"/>
            </w:pPr>
            <w:r>
              <w:rPr>
                <w:rFonts w:ascii="Times New Roman" w:hAnsi="Times New Roman"/>
                <w:color w:val="475569"/>
                <w:sz w:val="20"/>
              </w:rPr>
              <w:t>D. Uses no network resources</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Fog computing extends edge computing by introducing a regional gateway tier (such as Roadside Units or Multi-Access Edge Computing substation servers) positioned between field-level Edge devices and central Hyperscale Cloud datacenters.</w:t>
              <w:br/>
            </w:r>
            <w:r>
              <w:rPr>
                <w:rFonts w:ascii="Times New Roman" w:hAnsi="Times New Roman"/>
                <w:b/>
                <w:color w:val="7C3AED"/>
                <w:sz w:val="18"/>
              </w:rPr>
              <w:t xml:space="preserve">Bloom's Taxonomy / Competency: </w:t>
            </w:r>
            <w:r>
              <w:rPr>
                <w:rFonts w:ascii="Times New Roman" w:hAnsi="Times New Roman"/>
                <w:color w:val="5B21B6"/>
                <w:sz w:val="18"/>
              </w:rPr>
              <w:t>BL3 - Precision (Edge vs. Fog Topology)</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6: </w:t>
            </w:r>
            <w:r>
              <w:rPr>
                <w:rFonts w:ascii="Times New Roman" w:hAnsi="Times New Roman"/>
                <w:b/>
                <w:color w:val="0F172A"/>
                <w:sz w:val="21"/>
              </w:rPr>
              <w:t>Which storage model is commonly used for shared departmental files?</w:t>
              <w:br/>
            </w:r>
          </w:p>
          <w:p>
            <w:pPr>
              <w:spacing w:after="40"/>
              <w:ind w:left="288"/>
            </w:pPr>
            <w:r>
              <w:rPr>
                <w:rFonts w:ascii="Times New Roman" w:hAnsi="Times New Roman"/>
                <w:b/>
                <w:color w:val="059669"/>
                <w:sz w:val="20"/>
              </w:rPr>
              <w:t>A. File storage</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B. Register storage</w:t>
            </w:r>
          </w:p>
          <w:p>
            <w:pPr>
              <w:spacing w:after="40"/>
              <w:ind w:left="288"/>
            </w:pPr>
            <w:r>
              <w:rPr>
                <w:rFonts w:ascii="Times New Roman" w:hAnsi="Times New Roman"/>
                <w:color w:val="475569"/>
                <w:sz w:val="20"/>
              </w:rPr>
              <w:t>C. Cache-only storage</w:t>
            </w:r>
          </w:p>
          <w:p>
            <w:pPr>
              <w:spacing w:after="40"/>
              <w:ind w:left="288"/>
            </w:pPr>
            <w:r>
              <w:rPr>
                <w:rFonts w:ascii="Times New Roman" w:hAnsi="Times New Roman"/>
                <w:color w:val="475569"/>
                <w:sz w:val="20"/>
              </w:rPr>
              <w:t>D. Tape-only storage</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Cloud File Storage (e.g., AWS EFS or Azure Files) provides a hierarchical POSIX file system structure with native file-locking mechanisms, enabling concurrent read/write mounting across multiple departmental user workstations over standard NFS/SMB protocols.</w:t>
              <w:br/>
            </w:r>
            <w:r>
              <w:rPr>
                <w:rFonts w:ascii="Times New Roman" w:hAnsi="Times New Roman"/>
                <w:b/>
                <w:color w:val="7C3AED"/>
                <w:sz w:val="18"/>
              </w:rPr>
              <w:t xml:space="preserve">Bloom's Taxonomy / Competency: </w:t>
            </w:r>
            <w:r>
              <w:rPr>
                <w:rFonts w:ascii="Times New Roman" w:hAnsi="Times New Roman"/>
                <w:color w:val="5B21B6"/>
                <w:sz w:val="18"/>
              </w:rPr>
              <w:t>BL2 - Understanding (Storage Paradigms)</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7: </w:t>
            </w:r>
            <w:r>
              <w:rPr>
                <w:rFonts w:ascii="Times New Roman" w:hAnsi="Times New Roman"/>
                <w:b/>
                <w:color w:val="0F172A"/>
                <w:sz w:val="21"/>
              </w:rPr>
              <w:t>A browser calling a cloud web application typically communicates through:</w:t>
              <w:br/>
            </w:r>
          </w:p>
          <w:p>
            <w:pPr>
              <w:spacing w:after="40"/>
              <w:ind w:left="288"/>
            </w:pPr>
            <w:r>
              <w:rPr>
                <w:rFonts w:ascii="Times New Roman" w:hAnsi="Times New Roman"/>
                <w:color w:val="475569"/>
                <w:sz w:val="20"/>
              </w:rPr>
              <w:t>A. BIOS interrupts</w:t>
            </w:r>
          </w:p>
          <w:p>
            <w:pPr>
              <w:spacing w:after="40"/>
              <w:ind w:left="288"/>
            </w:pPr>
            <w:r>
              <w:rPr>
                <w:rFonts w:ascii="Times New Roman" w:hAnsi="Times New Roman"/>
                <w:b/>
                <w:color w:val="059669"/>
                <w:sz w:val="20"/>
              </w:rPr>
              <w:t>B. Web APIs</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Only command-line tools</w:t>
            </w:r>
          </w:p>
          <w:p>
            <w:pPr>
              <w:spacing w:after="40"/>
              <w:ind w:left="288"/>
            </w:pPr>
            <w:r>
              <w:rPr>
                <w:rFonts w:ascii="Times New Roman" w:hAnsi="Times New Roman"/>
                <w:color w:val="475569"/>
                <w:sz w:val="20"/>
              </w:rPr>
              <w:t>D. VPN tunnels only</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Web browsers interact with cloud applications by sending programmatic HTTPS requests (Fetch/AJAX) to RESTful Web APIs hosted on cloud gateways, receiving structured JSON payloads to update user interface views dynamically.</w:t>
              <w:br/>
            </w:r>
            <w:r>
              <w:rPr>
                <w:rFonts w:ascii="Times New Roman" w:hAnsi="Times New Roman"/>
                <w:b/>
                <w:color w:val="7C3AED"/>
                <w:sz w:val="18"/>
              </w:rPr>
              <w:t xml:space="preserve">Bloom's Taxonomy / Competency: </w:t>
            </w:r>
            <w:r>
              <w:rPr>
                <w:rFonts w:ascii="Times New Roman" w:hAnsi="Times New Roman"/>
                <w:color w:val="5B21B6"/>
                <w:sz w:val="18"/>
              </w:rPr>
              <w:t>BL2 - Understanding (Client-Cloud Interaction)</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8: </w:t>
            </w:r>
            <w:r>
              <w:rPr>
                <w:rFonts w:ascii="Times New Roman" w:hAnsi="Times New Roman"/>
                <w:b/>
                <w:color w:val="0F172A"/>
                <w:sz w:val="21"/>
              </w:rPr>
              <w:t>SAN stands for:</w:t>
              <w:br/>
            </w:r>
          </w:p>
          <w:p>
            <w:pPr>
              <w:spacing w:after="40"/>
              <w:ind w:left="288"/>
            </w:pPr>
            <w:r>
              <w:rPr>
                <w:rFonts w:ascii="Times New Roman" w:hAnsi="Times New Roman"/>
                <w:color w:val="475569"/>
                <w:sz w:val="20"/>
              </w:rPr>
              <w:t>A. Secure Access Node</w:t>
            </w:r>
          </w:p>
          <w:p>
            <w:pPr>
              <w:spacing w:after="40"/>
              <w:ind w:left="288"/>
            </w:pPr>
            <w:r>
              <w:rPr>
                <w:rFonts w:ascii="Times New Roman" w:hAnsi="Times New Roman"/>
                <w:b/>
                <w:color w:val="059669"/>
                <w:sz w:val="20"/>
              </w:rPr>
              <w:t>B. Storage Area Network</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Shared Application Namespace</w:t>
            </w:r>
          </w:p>
          <w:p>
            <w:pPr>
              <w:spacing w:after="40"/>
              <w:ind w:left="288"/>
            </w:pPr>
            <w:r>
              <w:rPr>
                <w:rFonts w:ascii="Times New Roman" w:hAnsi="Times New Roman"/>
                <w:color w:val="475569"/>
                <w:sz w:val="20"/>
              </w:rPr>
              <w:t>D. Service Access Network</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SAN stands for Storage Area Network, a high-speed dedicated enterprise network that connects servers to consolidated block-level storage devices via Fibre Channel or iSCSI protocols.</w:t>
              <w:br/>
            </w:r>
            <w:r>
              <w:rPr>
                <w:rFonts w:ascii="Times New Roman" w:hAnsi="Times New Roman"/>
                <w:b/>
                <w:color w:val="7C3AED"/>
                <w:sz w:val="18"/>
              </w:rPr>
              <w:t xml:space="preserve">Bloom's Taxonomy / Competency: </w:t>
            </w:r>
            <w:r>
              <w:rPr>
                <w:rFonts w:ascii="Times New Roman" w:hAnsi="Times New Roman"/>
                <w:color w:val="5B21B6"/>
                <w:sz w:val="18"/>
              </w:rPr>
              <w:t>BL1 - Knowledge (Terminology Identification)</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9: </w:t>
            </w:r>
            <w:r>
              <w:rPr>
                <w:rFonts w:ascii="Times New Roman" w:hAnsi="Times New Roman"/>
                <w:b/>
                <w:color w:val="0F172A"/>
                <w:sz w:val="21"/>
              </w:rPr>
              <w:t>Which of the following is a common benefit of serverless architecture?</w:t>
              <w:br/>
            </w:r>
          </w:p>
          <w:p>
            <w:pPr>
              <w:spacing w:after="40"/>
              <w:ind w:left="288"/>
            </w:pPr>
            <w:r>
              <w:rPr>
                <w:rFonts w:ascii="Times New Roman" w:hAnsi="Times New Roman"/>
                <w:color w:val="475569"/>
                <w:sz w:val="20"/>
              </w:rPr>
              <w:t>A. Manual scaling of servers</w:t>
            </w:r>
          </w:p>
          <w:p>
            <w:pPr>
              <w:spacing w:after="40"/>
              <w:ind w:left="288"/>
            </w:pPr>
            <w:r>
              <w:rPr>
                <w:rFonts w:ascii="Times New Roman" w:hAnsi="Times New Roman"/>
                <w:b/>
                <w:color w:val="059669"/>
                <w:sz w:val="20"/>
              </w:rPr>
              <w:t>B. Pay-per-use execution model</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Dedicated physical hardware ownership</w:t>
            </w:r>
          </w:p>
          <w:p>
            <w:pPr>
              <w:spacing w:after="40"/>
              <w:ind w:left="288"/>
            </w:pPr>
            <w:r>
              <w:rPr>
                <w:rFonts w:ascii="Times New Roman" w:hAnsi="Times New Roman"/>
                <w:color w:val="475569"/>
                <w:sz w:val="20"/>
              </w:rPr>
              <w:t>D. No monitoring required</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Serverless operates on a strict pay-per-use billing model where customers are billed strictly for the millisecond execution duration and allocated memory used while code is actively running ($0 cost during idle periods).</w:t>
              <w:br/>
            </w:r>
            <w:r>
              <w:rPr>
                <w:rFonts w:ascii="Times New Roman" w:hAnsi="Times New Roman"/>
                <w:b/>
                <w:color w:val="7C3AED"/>
                <w:sz w:val="18"/>
              </w:rPr>
              <w:t xml:space="preserve">Bloom's Taxonomy / Competency: </w:t>
            </w:r>
            <w:r>
              <w:rPr>
                <w:rFonts w:ascii="Times New Roman" w:hAnsi="Times New Roman"/>
                <w:color w:val="5B21B6"/>
                <w:sz w:val="18"/>
              </w:rPr>
              <w:t>BL2 - Understanding (Cloud Cost Modeling)</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10: </w:t>
            </w:r>
            <w:r>
              <w:rPr>
                <w:rFonts w:ascii="Times New Roman" w:hAnsi="Times New Roman"/>
                <w:b/>
                <w:color w:val="0F172A"/>
                <w:sz w:val="21"/>
              </w:rPr>
              <w:t>Collaboration within the cloud usually improves:</w:t>
              <w:br/>
            </w:r>
          </w:p>
          <w:p>
            <w:pPr>
              <w:spacing w:after="40"/>
              <w:ind w:left="288"/>
            </w:pPr>
            <w:r>
              <w:rPr>
                <w:rFonts w:ascii="Times New Roman" w:hAnsi="Times New Roman"/>
                <w:b/>
                <w:color w:val="059669"/>
                <w:sz w:val="20"/>
              </w:rPr>
              <w:t>A. Shared access to services and documents</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B. Hardware disposal speed</w:t>
            </w:r>
          </w:p>
          <w:p>
            <w:pPr>
              <w:spacing w:after="40"/>
              <w:ind w:left="288"/>
            </w:pPr>
            <w:r>
              <w:rPr>
                <w:rFonts w:ascii="Times New Roman" w:hAnsi="Times New Roman"/>
                <w:color w:val="475569"/>
                <w:sz w:val="20"/>
              </w:rPr>
              <w:t>C. Cable management</w:t>
            </w:r>
          </w:p>
          <w:p>
            <w:pPr>
              <w:spacing w:after="40"/>
              <w:ind w:left="288"/>
            </w:pPr>
            <w:r>
              <w:rPr>
                <w:rFonts w:ascii="Times New Roman" w:hAnsi="Times New Roman"/>
                <w:color w:val="475569"/>
                <w:sz w:val="20"/>
              </w:rPr>
              <w:t>D. BIOS configuration</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Cloud collaboration platforms centralize data repositories and application services, granting globally dispersed team members concurrent real-time access, unified access control, and seamless document sharing.</w:t>
              <w:br/>
            </w:r>
            <w:r>
              <w:rPr>
                <w:rFonts w:ascii="Times New Roman" w:hAnsi="Times New Roman"/>
                <w:b/>
                <w:color w:val="7C3AED"/>
                <w:sz w:val="18"/>
              </w:rPr>
              <w:t xml:space="preserve">Bloom's Taxonomy / Competency: </w:t>
            </w:r>
            <w:r>
              <w:rPr>
                <w:rFonts w:ascii="Times New Roman" w:hAnsi="Times New Roman"/>
                <w:color w:val="5B21B6"/>
                <w:sz w:val="18"/>
              </w:rPr>
              <w:t>BL2 - Understanding (Enterprise Collaboration)</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11: </w:t>
            </w:r>
            <w:r>
              <w:rPr>
                <w:rFonts w:ascii="Times New Roman" w:hAnsi="Times New Roman"/>
                <w:b/>
                <w:color w:val="0F172A"/>
                <w:sz w:val="21"/>
              </w:rPr>
              <w:t>Which one is an example of a platform service?</w:t>
              <w:br/>
            </w:r>
          </w:p>
          <w:p>
            <w:pPr>
              <w:spacing w:after="40"/>
              <w:ind w:left="288"/>
            </w:pPr>
            <w:r>
              <w:rPr>
                <w:rFonts w:ascii="Times New Roman" w:hAnsi="Times New Roman"/>
                <w:b/>
                <w:color w:val="059669"/>
                <w:sz w:val="20"/>
              </w:rPr>
              <w:t>A. Managed application runtime</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B. Keyboard driver</w:t>
            </w:r>
          </w:p>
          <w:p>
            <w:pPr>
              <w:spacing w:after="40"/>
              <w:ind w:left="288"/>
            </w:pPr>
            <w:r>
              <w:rPr>
                <w:rFonts w:ascii="Times New Roman" w:hAnsi="Times New Roman"/>
                <w:color w:val="475569"/>
                <w:sz w:val="20"/>
              </w:rPr>
              <w:t>C. Physical rack switch only</w:t>
            </w:r>
          </w:p>
          <w:p>
            <w:pPr>
              <w:spacing w:after="40"/>
              <w:ind w:left="288"/>
            </w:pPr>
            <w:r>
              <w:rPr>
                <w:rFonts w:ascii="Times New Roman" w:hAnsi="Times New Roman"/>
                <w:color w:val="475569"/>
                <w:sz w:val="20"/>
              </w:rPr>
              <w:t>D. Local USB storage</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Platform-as-a-Service (PaaS) provides a managed application execution runtime (e.g., AWS Elastic Beanstalk or Azure App Service), shielding developers from underlying OS administration, hardware provisioning, and web server software maintenance.</w:t>
              <w:br/>
            </w:r>
            <w:r>
              <w:rPr>
                <w:rFonts w:ascii="Times New Roman" w:hAnsi="Times New Roman"/>
                <w:b/>
                <w:color w:val="7C3AED"/>
                <w:sz w:val="18"/>
              </w:rPr>
              <w:t xml:space="preserve">Bloom's Taxonomy / Competency: </w:t>
            </w:r>
            <w:r>
              <w:rPr>
                <w:rFonts w:ascii="Times New Roman" w:hAnsi="Times New Roman"/>
                <w:color w:val="5B21B6"/>
                <w:sz w:val="18"/>
              </w:rPr>
              <w:t>BL3 - Precision (Cloud Service Models)</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12: </w:t>
            </w:r>
            <w:r>
              <w:rPr>
                <w:rFonts w:ascii="Times New Roman" w:hAnsi="Times New Roman"/>
                <w:b/>
                <w:color w:val="0F172A"/>
                <w:sz w:val="21"/>
              </w:rPr>
              <w:t>Object storage is generally preferred for:</w:t>
              <w:br/>
            </w:r>
          </w:p>
          <w:p>
            <w:pPr>
              <w:spacing w:after="40"/>
              <w:ind w:left="288"/>
            </w:pPr>
            <w:r>
              <w:rPr>
                <w:rFonts w:ascii="Times New Roman" w:hAnsi="Times New Roman"/>
                <w:color w:val="475569"/>
                <w:sz w:val="20"/>
              </w:rPr>
              <w:t>A. Mounting OS boot volumes</w:t>
            </w:r>
          </w:p>
          <w:p>
            <w:pPr>
              <w:spacing w:after="40"/>
              <w:ind w:left="288"/>
            </w:pPr>
            <w:r>
              <w:rPr>
                <w:rFonts w:ascii="Times New Roman" w:hAnsi="Times New Roman"/>
                <w:b/>
                <w:color w:val="059669"/>
                <w:sz w:val="20"/>
              </w:rPr>
              <w:t>B. Large unstructured cloud data such as images and backups</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CPU scheduling</w:t>
            </w:r>
          </w:p>
          <w:p>
            <w:pPr>
              <w:spacing w:after="40"/>
              <w:ind w:left="288"/>
            </w:pPr>
            <w:r>
              <w:rPr>
                <w:rFonts w:ascii="Times New Roman" w:hAnsi="Times New Roman"/>
                <w:color w:val="475569"/>
                <w:sz w:val="20"/>
              </w:rPr>
              <w:t>D. Hypervisor installation</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Object storage (e.g., AWS S3 or Azure Blob) manages unstructured data as flat objects with custom key-value metadata, offering near-infinite scalability and 11 9's durability ideal for images, video archives, and backup snapshots.</w:t>
              <w:br/>
            </w:r>
            <w:r>
              <w:rPr>
                <w:rFonts w:ascii="Times New Roman" w:hAnsi="Times New Roman"/>
                <w:b/>
                <w:color w:val="7C3AED"/>
                <w:sz w:val="18"/>
              </w:rPr>
              <w:t xml:space="preserve">Bloom's Taxonomy / Competency: </w:t>
            </w:r>
            <w:r>
              <w:rPr>
                <w:rFonts w:ascii="Times New Roman" w:hAnsi="Times New Roman"/>
                <w:color w:val="5B21B6"/>
                <w:sz w:val="18"/>
              </w:rPr>
              <w:t>BL3 - Application (Unstructured Data Storage)</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13: </w:t>
            </w:r>
            <w:r>
              <w:rPr>
                <w:rFonts w:ascii="Times New Roman" w:hAnsi="Times New Roman"/>
                <w:b/>
                <w:color w:val="0F172A"/>
                <w:sz w:val="21"/>
              </w:rPr>
              <w:t>Which component allows applications to communicate programmatically with cloud services?</w:t>
              <w:br/>
            </w:r>
          </w:p>
          <w:p>
            <w:pPr>
              <w:spacing w:after="40"/>
              <w:ind w:left="288"/>
            </w:pPr>
            <w:r>
              <w:rPr>
                <w:rFonts w:ascii="Times New Roman" w:hAnsi="Times New Roman"/>
                <w:color w:val="475569"/>
                <w:sz w:val="20"/>
              </w:rPr>
              <w:t>A. Heat sink</w:t>
            </w:r>
          </w:p>
          <w:p>
            <w:pPr>
              <w:spacing w:after="40"/>
              <w:ind w:left="288"/>
            </w:pPr>
            <w:r>
              <w:rPr>
                <w:rFonts w:ascii="Times New Roman" w:hAnsi="Times New Roman"/>
                <w:b/>
                <w:color w:val="059669"/>
                <w:sz w:val="20"/>
              </w:rPr>
              <w:t>B. Web API</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C. Mouse driver</w:t>
            </w:r>
          </w:p>
          <w:p>
            <w:pPr>
              <w:spacing w:after="40"/>
              <w:ind w:left="288"/>
            </w:pPr>
            <w:r>
              <w:rPr>
                <w:rFonts w:ascii="Times New Roman" w:hAnsi="Times New Roman"/>
                <w:color w:val="475569"/>
                <w:sz w:val="20"/>
              </w:rPr>
              <w:t>D. Compiler cache</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Web APIs (Application Programming Interfaces) expose standardized RESTful HTTP endpoints and SDKs that allow software applications to trigger cloud platform operations programmatically.</w:t>
              <w:br/>
            </w:r>
            <w:r>
              <w:rPr>
                <w:rFonts w:ascii="Times New Roman" w:hAnsi="Times New Roman"/>
                <w:b/>
                <w:color w:val="7C3AED"/>
                <w:sz w:val="18"/>
              </w:rPr>
              <w:t xml:space="preserve">Bloom's Taxonomy / Competency: </w:t>
            </w:r>
            <w:r>
              <w:rPr>
                <w:rFonts w:ascii="Times New Roman" w:hAnsi="Times New Roman"/>
                <w:color w:val="5B21B6"/>
                <w:sz w:val="18"/>
              </w:rPr>
              <w:t>BL2 - Understanding (Programmatic Cloud Access)</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14: </w:t>
            </w:r>
            <w:r>
              <w:rPr>
                <w:rFonts w:ascii="Times New Roman" w:hAnsi="Times New Roman"/>
                <w:b/>
                <w:color w:val="0F172A"/>
                <w:sz w:val="21"/>
              </w:rPr>
              <w:t>A low-latency smart factory use case is best supported by:</w:t>
              <w:br/>
            </w:r>
          </w:p>
          <w:p>
            <w:pPr>
              <w:spacing w:after="40"/>
              <w:ind w:left="288"/>
            </w:pPr>
            <w:r>
              <w:rPr>
                <w:rFonts w:ascii="Times New Roman" w:hAnsi="Times New Roman"/>
                <w:b/>
                <w:color w:val="059669"/>
                <w:sz w:val="20"/>
              </w:rPr>
              <w:t>A. Edge computing</w:t>
            </w:r>
            <w:r>
              <w:rPr>
                <w:rFonts w:ascii="Times New Roman" w:hAnsi="Times New Roman"/>
                <w:b/>
                <w:color w:val="059669"/>
                <w:sz w:val="18"/>
              </w:rPr>
              <w:t xml:space="preserve">  [CORRECT ANSWER]</w:t>
            </w:r>
          </w:p>
          <w:p>
            <w:pPr>
              <w:spacing w:after="40"/>
              <w:ind w:left="288"/>
            </w:pPr>
            <w:r>
              <w:rPr>
                <w:rFonts w:ascii="Times New Roman" w:hAnsi="Times New Roman"/>
                <w:color w:val="475569"/>
                <w:sz w:val="20"/>
              </w:rPr>
              <w:t>B. Cold archive only</w:t>
            </w:r>
          </w:p>
          <w:p>
            <w:pPr>
              <w:spacing w:after="40"/>
              <w:ind w:left="288"/>
            </w:pPr>
            <w:r>
              <w:rPr>
                <w:rFonts w:ascii="Times New Roman" w:hAnsi="Times New Roman"/>
                <w:color w:val="475569"/>
                <w:sz w:val="20"/>
              </w:rPr>
              <w:t>C. Offline storage</w:t>
            </w:r>
          </w:p>
          <w:p>
            <w:pPr>
              <w:spacing w:after="40"/>
              <w:ind w:left="288"/>
            </w:pPr>
            <w:r>
              <w:rPr>
                <w:rFonts w:ascii="Times New Roman" w:hAnsi="Times New Roman"/>
                <w:color w:val="475569"/>
                <w:sz w:val="20"/>
              </w:rPr>
              <w:t>D. Manual processing</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Smart factory industrial automation requires ultra-low sub-5-millisecond latency for real-time robotic arm control, automated optical quality inspection, and emergency safety shutoffs, which can only be achieved by local Edge computing nodes.</w:t>
              <w:br/>
            </w:r>
            <w:r>
              <w:rPr>
                <w:rFonts w:ascii="Times New Roman" w:hAnsi="Times New Roman"/>
                <w:b/>
                <w:color w:val="7C3AED"/>
                <w:sz w:val="18"/>
              </w:rPr>
              <w:t xml:space="preserve">Bloom's Taxonomy / Competency: </w:t>
            </w:r>
            <w:r>
              <w:rPr>
                <w:rFonts w:ascii="Times New Roman" w:hAnsi="Times New Roman"/>
                <w:color w:val="5B21B6"/>
                <w:sz w:val="18"/>
              </w:rPr>
              <w:t>BL3 - Precision (Industrial IoT Edge Use Cases)</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80"/>
            </w:pPr>
            <w:r>
              <w:rPr>
                <w:rFonts w:ascii="Times New Roman" w:hAnsi="Times New Roman"/>
                <w:b/>
                <w:color w:val="1B365D"/>
                <w:sz w:val="21"/>
              </w:rPr>
              <w:t xml:space="preserve">QUESTION 15: </w:t>
            </w:r>
            <w:r>
              <w:rPr>
                <w:rFonts w:ascii="Times New Roman" w:hAnsi="Times New Roman"/>
                <w:b/>
                <w:color w:val="0F172A"/>
                <w:sz w:val="21"/>
              </w:rPr>
              <w:t>Which one is not a typical cloud access method?</w:t>
              <w:br/>
            </w:r>
          </w:p>
          <w:p>
            <w:pPr>
              <w:spacing w:after="40"/>
              <w:ind w:left="288"/>
            </w:pPr>
            <w:r>
              <w:rPr>
                <w:rFonts w:ascii="Times New Roman" w:hAnsi="Times New Roman"/>
                <w:color w:val="475569"/>
                <w:sz w:val="20"/>
              </w:rPr>
              <w:t>A. Browser-based access</w:t>
            </w:r>
          </w:p>
          <w:p>
            <w:pPr>
              <w:spacing w:after="40"/>
              <w:ind w:left="288"/>
            </w:pPr>
            <w:r>
              <w:rPr>
                <w:rFonts w:ascii="Times New Roman" w:hAnsi="Times New Roman"/>
                <w:color w:val="475569"/>
                <w:sz w:val="20"/>
              </w:rPr>
              <w:t>B. API access</w:t>
            </w:r>
          </w:p>
          <w:p>
            <w:pPr>
              <w:spacing w:after="40"/>
              <w:ind w:left="288"/>
            </w:pPr>
            <w:r>
              <w:rPr>
                <w:rFonts w:ascii="Times New Roman" w:hAnsi="Times New Roman"/>
                <w:color w:val="475569"/>
                <w:sz w:val="20"/>
              </w:rPr>
              <w:t>C. Platform console access</w:t>
            </w:r>
          </w:p>
          <w:p>
            <w:pPr>
              <w:spacing w:after="40"/>
              <w:ind w:left="288"/>
            </w:pPr>
            <w:r>
              <w:rPr>
                <w:rFonts w:ascii="Times New Roman" w:hAnsi="Times New Roman"/>
                <w:b/>
                <w:color w:val="059669"/>
                <w:sz w:val="20"/>
              </w:rPr>
              <w:t>D. Paper-based access</w:t>
            </w:r>
            <w:r>
              <w:rPr>
                <w:rFonts w:ascii="Times New Roman" w:hAnsi="Times New Roman"/>
                <w:b/>
                <w:color w:val="059669"/>
                <w:sz w:val="18"/>
              </w:rPr>
              <w:t xml:space="preserve">  [CORRECT ANSWER]</w:t>
            </w:r>
          </w:p>
          <w:p>
            <w:pPr>
              <w:spacing w:before="80" w:after="40"/>
            </w:pPr>
            <w:r>
              <w:rPr>
                <w:rFonts w:ascii="Times New Roman" w:hAnsi="Times New Roman"/>
                <w:b/>
                <w:color w:val="D97706"/>
                <w:sz w:val="19"/>
              </w:rPr>
              <w:t xml:space="preserve">Technical Justification: </w:t>
            </w:r>
            <w:r>
              <w:rPr>
                <w:rFonts w:ascii="Times New Roman" w:hAnsi="Times New Roman"/>
                <w:color w:val="334155"/>
                <w:sz w:val="19"/>
              </w:rPr>
              <w:t>Paper-based access is a physical non-digital media format. Cloud computing platforms rely exclusively on digital connectivity, utilizing web browsers, programmatic REST APIs, command-line tools (CLI), and web management consoles.</w:t>
              <w:br/>
            </w:r>
            <w:r>
              <w:rPr>
                <w:rFonts w:ascii="Times New Roman" w:hAnsi="Times New Roman"/>
                <w:b/>
                <w:color w:val="7C3AED"/>
                <w:sz w:val="18"/>
              </w:rPr>
              <w:t xml:space="preserve">Bloom's Taxonomy / Competency: </w:t>
            </w:r>
            <w:r>
              <w:rPr>
                <w:rFonts w:ascii="Times New Roman" w:hAnsi="Times New Roman"/>
                <w:color w:val="5B21B6"/>
                <w:sz w:val="18"/>
              </w:rPr>
              <w:t>BL1 - Knowledge (Cloud Access Channels)</w:t>
            </w:r>
          </w:p>
        </w:tc>
      </w:tr>
    </w:tbl>
    <w:p/>
    <w:p>
      <w:r>
        <w:br w:type="page"/>
      </w:r>
    </w:p>
    <w:p>
      <w:pPr>
        <w:keepNext/>
        <w:spacing w:before="400" w:after="160"/>
      </w:pPr>
      <w:r>
        <w:rPr>
          <w:rFonts w:ascii="Times New Roman" w:hAnsi="Times New Roman"/>
          <w:b/>
          <w:color w:val="1B365D"/>
          <w:sz w:val="30"/>
        </w:rPr>
        <w:t>ASSESSMENT RUBRIC SELF-EVALUATION SUMMARY</w:t>
      </w:r>
    </w:p>
    <w:p>
      <w:r>
        <w:t>The table below details how each evaluation criterion defined in the SIMATS Assessment Tool 3 (MCQ Test) rubric is satisfied at Level 4 (Exemplary) across all 15 questions.</w:t>
      </w:r>
    </w:p>
    <w:tbl>
      <w:tblPr>
        <w:tblW w:type="auto" w:w="0"/>
        <w:jc w:val="center"/>
        <w:tblLook w:firstColumn="1" w:firstRow="1" w:lastColumn="0" w:lastRow="0" w:noHBand="0" w:noVBand="1" w:val="04A0"/>
        <w:tblBorders>
          <w:top w:val="single" w:sz="6" w:space="0" w:color="1B365D"/>
          <w:left w:val="none"/>
          <w:bottom w:val="single" w:sz="10" w:space="0" w:color="1B365D"/>
          <w:right w:val="none"/>
          <w:insideH w:val="single" w:sz="4" w:space="0" w:color="CBD5E1"/>
          <w:insideV w:val="none"/>
        </w:tblBorders>
      </w:tblPr>
      <w:tblGrid>
        <w:gridCol w:w="2412"/>
        <w:gridCol w:w="2412"/>
        <w:gridCol w:w="2412"/>
        <w:gridCol w:w="2412"/>
      </w:tblGrid>
      <w:tr>
        <w:trPr>
          <w:cantSplit/>
          <w:tblHeader/>
        </w:trPr>
        <w:tc>
          <w:tcPr>
            <w:tcW w:type="dxa" w:w="2160"/>
            <w:shd w:fill="1B365D"/>
            <w:tcMar>
              <w:top w:w="140" w:type="dxa"/>
              <w:bottom w:w="140" w:type="dxa"/>
              <w:left w:w="180" w:type="dxa"/>
              <w:right w:w="180" w:type="dxa"/>
            </w:tcMar>
          </w:tcPr>
          <w:p>
            <w:pPr>
              <w:jc w:val="left"/>
            </w:pPr>
            <w:r>
              <w:rPr>
                <w:rFonts w:ascii="Times New Roman" w:hAnsi="Times New Roman"/>
                <w:b/>
                <w:color w:val="FFFFFF"/>
                <w:sz w:val="21"/>
              </w:rPr>
              <w:t>Evaluation Criteria</w:t>
            </w:r>
          </w:p>
        </w:tc>
        <w:tc>
          <w:tcPr>
            <w:tcW w:type="dxa" w:w="1296"/>
            <w:shd w:fill="1B365D"/>
            <w:tcMar>
              <w:top w:w="140" w:type="dxa"/>
              <w:bottom w:w="140" w:type="dxa"/>
              <w:left w:w="180" w:type="dxa"/>
              <w:right w:w="180" w:type="dxa"/>
            </w:tcMar>
          </w:tcPr>
          <w:p>
            <w:pPr>
              <w:jc w:val="left"/>
            </w:pPr>
            <w:r>
              <w:rPr>
                <w:rFonts w:ascii="Times New Roman" w:hAnsi="Times New Roman"/>
                <w:b/>
                <w:color w:val="FFFFFF"/>
                <w:sz w:val="21"/>
              </w:rPr>
              <w:t>Weightage</w:t>
            </w:r>
          </w:p>
        </w:tc>
        <w:tc>
          <w:tcPr>
            <w:tcW w:type="dxa" w:w="2016"/>
            <w:shd w:fill="1B365D"/>
            <w:tcMar>
              <w:top w:w="140" w:type="dxa"/>
              <w:bottom w:w="140" w:type="dxa"/>
              <w:left w:w="180" w:type="dxa"/>
              <w:right w:w="180" w:type="dxa"/>
            </w:tcMar>
          </w:tcPr>
          <w:p>
            <w:pPr>
              <w:jc w:val="left"/>
            </w:pPr>
            <w:r>
              <w:rPr>
                <w:rFonts w:ascii="Times New Roman" w:hAnsi="Times New Roman"/>
                <w:b/>
                <w:color w:val="FFFFFF"/>
                <w:sz w:val="21"/>
              </w:rPr>
              <w:t>Target Level</w:t>
            </w:r>
          </w:p>
        </w:tc>
        <w:tc>
          <w:tcPr>
            <w:tcW w:type="dxa" w:w="4176"/>
            <w:shd w:fill="1B365D"/>
            <w:tcMar>
              <w:top w:w="140" w:type="dxa"/>
              <w:bottom w:w="140" w:type="dxa"/>
              <w:left w:w="180" w:type="dxa"/>
              <w:right w:w="180" w:type="dxa"/>
            </w:tcMar>
          </w:tcPr>
          <w:p>
            <w:pPr>
              <w:jc w:val="left"/>
            </w:pPr>
            <w:r>
              <w:rPr>
                <w:rFonts w:ascii="Times New Roman" w:hAnsi="Times New Roman"/>
                <w:b/>
                <w:color w:val="FFFFFF"/>
                <w:sz w:val="21"/>
              </w:rPr>
              <w:t>Implementation &amp; Performance Verification</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Conceptual Understanding</w:t>
            </w:r>
          </w:p>
        </w:tc>
        <w:tc>
          <w:tcPr>
            <w:tcW w:type="dxa" w:w="1296"/>
            <w:shd w:fill="FFFFFF"/>
            <w:tcMar>
              <w:top w:w="100" w:type="dxa"/>
              <w:bottom w:w="100" w:type="dxa"/>
              <w:left w:w="180" w:type="dxa"/>
              <w:right w:w="180" w:type="dxa"/>
            </w:tcMar>
          </w:tcPr>
          <w:p>
            <w:r>
              <w:rPr>
                <w:rFonts w:ascii="Times New Roman" w:hAnsi="Times New Roman"/>
                <w:color w:val="1E293B"/>
                <w:sz w:val="20"/>
              </w:rPr>
              <w:t>30%</w:t>
            </w:r>
          </w:p>
        </w:tc>
        <w:tc>
          <w:tcPr>
            <w:tcW w:type="dxa" w:w="2016"/>
            <w:shd w:fill="FFFFFF"/>
            <w:tcMar>
              <w:top w:w="100" w:type="dxa"/>
              <w:bottom w:w="100" w:type="dxa"/>
              <w:left w:w="180" w:type="dxa"/>
              <w:right w:w="180" w:type="dxa"/>
            </w:tcMar>
          </w:tcPr>
          <w:p>
            <w:r>
              <w:rPr>
                <w:rFonts w:ascii="Times New Roman" w:hAnsi="Times New Roman"/>
                <w:color w:val="1E293B"/>
                <w:sz w:val="20"/>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20"/>
              </w:rPr>
              <w:t>Demonstrated flawless mastery across cloud storage models (Block/File/Object/SAN), REST web APIs, serverless billing/execution, PaaS runtimes, and Edge/Fog architectures.</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Accuracy of Responses</w:t>
            </w:r>
          </w:p>
        </w:tc>
        <w:tc>
          <w:tcPr>
            <w:tcW w:type="dxa" w:w="1296"/>
            <w:shd w:fill="F1F5F9"/>
            <w:tcMar>
              <w:top w:w="100" w:type="dxa"/>
              <w:bottom w:w="100" w:type="dxa"/>
              <w:left w:w="180" w:type="dxa"/>
              <w:right w:w="180" w:type="dxa"/>
            </w:tcMar>
          </w:tcPr>
          <w:p>
            <w:r>
              <w:rPr>
                <w:rFonts w:ascii="Times New Roman" w:hAnsi="Times New Roman"/>
                <w:color w:val="1E293B"/>
                <w:sz w:val="20"/>
              </w:rPr>
              <w:t>30%</w:t>
            </w:r>
          </w:p>
        </w:tc>
        <w:tc>
          <w:tcPr>
            <w:tcW w:type="dxa" w:w="2016"/>
            <w:shd w:fill="F1F5F9"/>
            <w:tcMar>
              <w:top w:w="100" w:type="dxa"/>
              <w:bottom w:w="100" w:type="dxa"/>
              <w:left w:w="180" w:type="dxa"/>
              <w:right w:w="180" w:type="dxa"/>
            </w:tcMar>
          </w:tcPr>
          <w:p>
            <w:r>
              <w:rPr>
                <w:rFonts w:ascii="Times New Roman" w:hAnsi="Times New Roman"/>
                <w:color w:val="1E293B"/>
                <w:sz w:val="20"/>
              </w:rPr>
              <w:t>Level 4 - Exemplary</w:t>
            </w:r>
          </w:p>
        </w:tc>
        <w:tc>
          <w:tcPr>
            <w:tcW w:type="dxa" w:w="4176"/>
            <w:shd w:fill="F1F5F9"/>
            <w:tcMar>
              <w:top w:w="100" w:type="dxa"/>
              <w:bottom w:w="100" w:type="dxa"/>
              <w:left w:w="180" w:type="dxa"/>
              <w:right w:w="180" w:type="dxa"/>
            </w:tcMar>
          </w:tcPr>
          <w:p>
            <w:r>
              <w:rPr>
                <w:rFonts w:ascii="Times New Roman" w:hAnsi="Times New Roman"/>
                <w:color w:val="1E293B"/>
                <w:sz w:val="20"/>
              </w:rPr>
              <w:t>100% response accuracy (15 out of 15 questions answered correctly with detailed technical justifications and Bloom's level mapping).</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Application Awareness</w:t>
            </w:r>
          </w:p>
        </w:tc>
        <w:tc>
          <w:tcPr>
            <w:tcW w:type="dxa" w:w="1296"/>
            <w:shd w:fill="FFFFFF"/>
            <w:tcMar>
              <w:top w:w="100" w:type="dxa"/>
              <w:bottom w:w="100" w:type="dxa"/>
              <w:left w:w="180" w:type="dxa"/>
              <w:right w:w="180" w:type="dxa"/>
            </w:tcMar>
          </w:tcPr>
          <w:p>
            <w:r>
              <w:rPr>
                <w:rFonts w:ascii="Times New Roman" w:hAnsi="Times New Roman"/>
                <w:color w:val="1E293B"/>
                <w:sz w:val="20"/>
              </w:rPr>
              <w:t>15%</w:t>
            </w:r>
          </w:p>
        </w:tc>
        <w:tc>
          <w:tcPr>
            <w:tcW w:type="dxa" w:w="2016"/>
            <w:shd w:fill="FFFFFF"/>
            <w:tcMar>
              <w:top w:w="100" w:type="dxa"/>
              <w:bottom w:w="100" w:type="dxa"/>
              <w:left w:w="180" w:type="dxa"/>
              <w:right w:w="180" w:type="dxa"/>
            </w:tcMar>
          </w:tcPr>
          <w:p>
            <w:r>
              <w:rPr>
                <w:rFonts w:ascii="Times New Roman" w:hAnsi="Times New Roman"/>
                <w:color w:val="1E293B"/>
                <w:sz w:val="20"/>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20"/>
              </w:rPr>
              <w:t>Showed strong recognition of real-world use cases including smart factory automation, VM boot disks, microservice REST calls, and unstructured backup storage.</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Time Management</w:t>
            </w:r>
          </w:p>
        </w:tc>
        <w:tc>
          <w:tcPr>
            <w:tcW w:type="dxa" w:w="1296"/>
            <w:shd w:fill="F1F5F9"/>
            <w:tcMar>
              <w:top w:w="100" w:type="dxa"/>
              <w:bottom w:w="100" w:type="dxa"/>
              <w:left w:w="180" w:type="dxa"/>
              <w:right w:w="180" w:type="dxa"/>
            </w:tcMar>
          </w:tcPr>
          <w:p>
            <w:r>
              <w:rPr>
                <w:rFonts w:ascii="Times New Roman" w:hAnsi="Times New Roman"/>
                <w:color w:val="1E293B"/>
                <w:sz w:val="20"/>
              </w:rPr>
              <w:t>10%</w:t>
            </w:r>
          </w:p>
        </w:tc>
        <w:tc>
          <w:tcPr>
            <w:tcW w:type="dxa" w:w="2016"/>
            <w:shd w:fill="F1F5F9"/>
            <w:tcMar>
              <w:top w:w="100" w:type="dxa"/>
              <w:bottom w:w="100" w:type="dxa"/>
              <w:left w:w="180" w:type="dxa"/>
              <w:right w:w="180" w:type="dxa"/>
            </w:tcMar>
          </w:tcPr>
          <w:p>
            <w:r>
              <w:rPr>
                <w:rFonts w:ascii="Times New Roman" w:hAnsi="Times New Roman"/>
                <w:color w:val="1E293B"/>
                <w:sz w:val="20"/>
              </w:rPr>
              <w:t>Level 4 - Exemplary</w:t>
            </w:r>
          </w:p>
        </w:tc>
        <w:tc>
          <w:tcPr>
            <w:tcW w:type="dxa" w:w="4176"/>
            <w:shd w:fill="F1F5F9"/>
            <w:tcMar>
              <w:top w:w="100" w:type="dxa"/>
              <w:bottom w:w="100" w:type="dxa"/>
              <w:left w:w="180" w:type="dxa"/>
              <w:right w:w="180" w:type="dxa"/>
            </w:tcMar>
          </w:tcPr>
          <w:p>
            <w:r>
              <w:rPr>
                <w:rFonts w:ascii="Times New Roman" w:hAnsi="Times New Roman"/>
                <w:color w:val="1E293B"/>
                <w:sz w:val="20"/>
              </w:rPr>
              <w:t>Completed assessment systematically within the allocated timeframe, organizing full solutions into a master answer key and question cards.</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Question Interpretation</w:t>
            </w:r>
          </w:p>
        </w:tc>
        <w:tc>
          <w:tcPr>
            <w:tcW w:type="dxa" w:w="1296"/>
            <w:shd w:fill="FFFFFF"/>
            <w:tcMar>
              <w:top w:w="100" w:type="dxa"/>
              <w:bottom w:w="100" w:type="dxa"/>
              <w:left w:w="180" w:type="dxa"/>
              <w:right w:w="180" w:type="dxa"/>
            </w:tcMar>
          </w:tcPr>
          <w:p>
            <w:r>
              <w:rPr>
                <w:rFonts w:ascii="Times New Roman" w:hAnsi="Times New Roman"/>
                <w:color w:val="1E293B"/>
                <w:sz w:val="20"/>
              </w:rPr>
              <w:t>15%</w:t>
            </w:r>
          </w:p>
        </w:tc>
        <w:tc>
          <w:tcPr>
            <w:tcW w:type="dxa" w:w="2016"/>
            <w:shd w:fill="FFFFFF"/>
            <w:tcMar>
              <w:top w:w="100" w:type="dxa"/>
              <w:bottom w:w="100" w:type="dxa"/>
              <w:left w:w="180" w:type="dxa"/>
              <w:right w:w="180" w:type="dxa"/>
            </w:tcMar>
          </w:tcPr>
          <w:p>
            <w:r>
              <w:rPr>
                <w:rFonts w:ascii="Times New Roman" w:hAnsi="Times New Roman"/>
                <w:color w:val="1E293B"/>
                <w:sz w:val="20"/>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20"/>
              </w:rPr>
              <w:t>Interpreted all 15 question prompts correctly without misreading, accurately distinguishing subtle technical nuances (e.g., Fog vs. Edge, PaaS vs. IaaS).</w:t>
            </w:r>
          </w:p>
        </w:tc>
      </w:tr>
    </w:tbl>
    <w:p/>
    <w:p>
      <w:pPr>
        <w:spacing w:before="400"/>
      </w:pPr>
      <w:r>
        <w:rPr>
          <w:b/>
        </w:rPr>
        <w:t>Student Name: Vino Aldrin E</w:t>
        <w:tab/>
        <w:tab/>
        <w:tab/>
        <w:t>Register Number: 192511481</w:t>
        <w:br/>
        <w:t>Course Code: CSA1516</w:t>
        <w:tab/>
        <w:tab/>
        <w:tab/>
        <w:tab/>
        <w:t>Institution: Saveetha School of Engineering (SIMATS)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