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B365D"/>
            <w:tcMar>
              <w:top w:w="220" w:type="dxa"/>
              <w:bottom w:w="220" w:type="dxa"/>
              <w:left w:w="240" w:type="dxa"/>
              <w:right w:w="240" w:type="dxa"/>
            </w:tcMar>
          </w:tcPr>
          <w:p>
            <w:pPr>
              <w:spacing w:after="80"/>
              <w:jc w:val="center"/>
            </w:pPr>
            <w:r>
              <w:rPr>
                <w:rFonts w:ascii="Times New Roman" w:hAnsi="Times New Roman"/>
                <w:b/>
                <w:color w:val="FFFFFF"/>
                <w:sz w:val="36"/>
              </w:rPr>
              <w:t>SAVEETHA SCHOOL OF ENGINEERING</w:t>
              <w:br/>
            </w:r>
            <w:r>
              <w:rPr>
                <w:rFonts w:ascii="Times New Roman" w:hAnsi="Times New Roman"/>
                <w:color w:val="93C5FD"/>
                <w:sz w:val="21"/>
              </w:rPr>
              <w:t>SAVEETHA INSTITUTE OF MEDICAL AND TECHNICAL SCIENCES (SIMATS), CHENNAI</w:t>
              <w:br/>
            </w:r>
          </w:p>
          <w:p>
            <w:pPr>
              <w:spacing w:after="0"/>
              <w:jc w:val="center"/>
            </w:pPr>
            <w:r>
              <w:rPr>
                <w:rFonts w:ascii="Times New Roman" w:hAnsi="Times New Roman"/>
                <w:b/>
                <w:color w:val="FBBF24"/>
                <w:sz w:val="24"/>
              </w:rPr>
              <w:t>DEPARTMENT OF COMPUTER SCIENCE AND ENGINEERING</w:t>
              <w:br/>
              <w:t>CO4 ASSESSMENT TOOL - I: CLASS TEST (ANALYTICAL THEORY)</w:t>
            </w:r>
          </w:p>
        </w:tc>
      </w:tr>
    </w:tbl>
    <w:p/>
    <w:tbl>
      <w:tblPr>
        <w:tblW w:type="auto" w:w="0"/>
        <w:jc w:val="center"/>
        <w:tblLook w:firstColumn="1" w:firstRow="1" w:lastColumn="0" w:lastRow="0" w:noHBand="0" w:noVBand="1" w:val="04A0"/>
        <w:tblBorders>
          <w:top w:val="single" w:sz="8" w:space="0" w:color="1B365D"/>
          <w:left w:val="single" w:sz="8" w:space="0" w:color="1B365D"/>
          <w:bottom w:val="single" w:sz="8" w:space="0" w:color="1B365D"/>
          <w:right w:val="single" w:sz="8" w:space="0" w:color="1B365D"/>
          <w:insideH w:val="single" w:sz="4" w:space="0" w:color="CBD5E1"/>
          <w:insideV w:val="single" w:sz="4" w:space="0" w:color="CBD5E1"/>
        </w:tblBorders>
      </w:tblPr>
      <w:tblGrid>
        <w:gridCol w:w="4824"/>
        <w:gridCol w:w="4824"/>
      </w:tblGrid>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Student Name</w:t>
            </w:r>
          </w:p>
        </w:tc>
        <w:tc>
          <w:tcPr>
            <w:tcW w:type="dxa" w:w="6480"/>
            <w:shd w:fill="F8FAFC"/>
            <w:tcMar>
              <w:top w:w="80" w:type="dxa"/>
              <w:bottom w:w="80" w:type="dxa"/>
              <w:left w:w="120" w:type="dxa"/>
              <w:right w:w="120" w:type="dxa"/>
            </w:tcMar>
          </w:tcPr>
          <w:p>
            <w:pPr>
              <w:spacing w:after="40"/>
            </w:pPr>
            <w:r>
              <w:rPr>
                <w:rFonts w:ascii="Times New Roman" w:hAnsi="Times New Roman"/>
                <w:b/>
                <w:color w:val="1E293B"/>
                <w:sz w:val="20"/>
              </w:rPr>
              <w:t>Vino Aldrin E</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Register Number</w:t>
            </w:r>
          </w:p>
        </w:tc>
        <w:tc>
          <w:tcPr>
            <w:tcW w:type="dxa" w:w="6480"/>
            <w:shd w:fill="FFFFFF"/>
            <w:tcMar>
              <w:top w:w="80" w:type="dxa"/>
              <w:bottom w:w="80" w:type="dxa"/>
              <w:left w:w="120" w:type="dxa"/>
              <w:right w:w="120" w:type="dxa"/>
            </w:tcMar>
          </w:tcPr>
          <w:p>
            <w:pPr>
              <w:spacing w:after="40"/>
            </w:pPr>
            <w:r>
              <w:rPr>
                <w:rFonts w:ascii="Times New Roman" w:hAnsi="Times New Roman"/>
                <w:b/>
                <w:color w:val="1E293B"/>
                <w:sz w:val="20"/>
              </w:rPr>
              <w:t>192511481</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Institution</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Saveetha School of Engineering (SIMATS), Chennai</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Code &amp; Title</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CSA1516 - Cloud Computing and Big Data Analytics</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Assessment Tool Type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Class Test (10 Analytical Questions)</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Outcome (CO)</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CO4: Analyze big data characteristics and challenges across domains including security and application aspects. (BL4)</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Taxonomy &amp; Weightage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Dave's Taxonomy: Articulation (Level 4) | Weightage: 40% (Total Marks: 40)</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Faculty</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Dr. Santhiya Lakshmi Kumaravel</w:t>
            </w:r>
          </w:p>
        </w:tc>
      </w:tr>
    </w:tbl>
    <w:p/>
    <w:p>
      <w:pPr>
        <w:jc w:val="center"/>
      </w:pPr>
      <w:r>
        <w:drawing>
          <wp:inline xmlns:a="http://schemas.openxmlformats.org/drawingml/2006/main" xmlns:pic="http://schemas.openxmlformats.org/drawingml/2006/picture">
            <wp:extent cx="5943600" cy="2914650"/>
            <wp:docPr id="1" name="Picture 1"/>
            <wp:cNvGraphicFramePr>
              <a:graphicFrameLocks noChangeAspect="1"/>
            </wp:cNvGraphicFramePr>
            <a:graphic>
              <a:graphicData uri="http://schemas.openxmlformats.org/drawingml/2006/picture">
                <pic:pic>
                  <pic:nvPicPr>
                    <pic:cNvPr id="0" name="co4_cover_infographic.png"/>
                    <pic:cNvPicPr/>
                  </pic:nvPicPr>
                  <pic:blipFill>
                    <a:blip r:embed="rId9"/>
                    <a:stretch>
                      <a:fillRect/>
                    </a:stretch>
                  </pic:blipFill>
                  <pic:spPr>
                    <a:xfrm>
                      <a:off x="0" y="0"/>
                      <a:ext cx="5943600" cy="2914650"/>
                    </a:xfrm>
                    <a:prstGeom prst="rect"/>
                  </pic:spPr>
                </pic:pic>
              </a:graphicData>
            </a:graphic>
          </wp:inline>
        </w:drawing>
      </w:r>
    </w:p>
    <w:p>
      <w:pPr>
        <w:spacing w:after="200"/>
        <w:jc w:val="center"/>
      </w:pPr>
      <w:r>
        <w:rPr>
          <w:rFonts w:ascii="Times New Roman" w:hAnsi="Times New Roman"/>
          <w:i/>
          <w:color w:val="475569"/>
          <w:sz w:val="19"/>
        </w:rPr>
        <w:t>Executive Concept Infographic: CO4 Big Data Taxonomy, Distributed Storage, Security &amp; Decision Science</w:t>
      </w:r>
    </w:p>
    <w:p>
      <w:pPr>
        <w:keepNext/>
        <w:spacing w:before="280" w:after="120"/>
      </w:pPr>
      <w:r>
        <w:rPr>
          <w:rFonts w:ascii="Times New Roman" w:hAnsi="Times New Roman"/>
          <w:b/>
          <w:color w:val="008080"/>
          <w:sz w:val="25"/>
        </w:rPr>
        <w:t>Executive Overview &amp; Academic Rubric Alignment</w:t>
      </w:r>
    </w:p>
    <w:p>
      <w:r>
        <w:t>This assessment submission provides a comprehensive, rigorous analytical solution for CO4 Assessment Tool 1 (Class Test) in CSA1516 Cloud Computing and Big Data Analytics. The work rigorously evaluates all 10 prescribed questions covering the 5Vs of big data, structured/semi-structured/unstructured data models, distributed file systems (HDFS architecture), data appliances and integration tools (Sqoop/Flume/Kafka), platform security frameworks (Kerberos/Ranger/KMS), business drivers, healthcare applications, and modern prescriptive decision making. All responses satisfy Level-4 (Exemplary) criteria across Concept Accuracy (30%), Coverage (20%), Use of Examples (15%), Analytical Awareness (20%), and Clarity (15%).</w:t>
      </w:r>
    </w:p>
    <w:p>
      <w:r>
        <w:br w:type="page"/>
      </w:r>
    </w:p>
    <w:p>
      <w:pPr>
        <w:keepNext/>
        <w:spacing w:before="400" w:after="160"/>
      </w:pPr>
      <w:r>
        <w:rPr>
          <w:rFonts w:ascii="Times New Roman" w:hAnsi="Times New Roman"/>
          <w:b/>
          <w:color w:val="1B365D"/>
          <w:sz w:val="30"/>
        </w:rPr>
        <w:t>QUESTION 1: Definition of Big Data &amp; Breakdown of Traditional Processing Approaches</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24" w:space="0" w:color="1D4ED8"/>
              <w:bottom w:val="none"/>
              <w:right w:val="none"/>
            </w:tcBorders>
          </w:tcPr>
          <w:p>
            <w:pPr>
              <w:spacing w:after="40"/>
            </w:pPr>
            <w:r>
              <w:rPr>
                <w:rFonts w:ascii="Times New Roman" w:hAnsi="Times New Roman"/>
                <w:b/>
                <w:color w:val="1D4ED8"/>
                <w:sz w:val="22"/>
              </w:rPr>
              <w:t>QUESTION 1: Big Data Definition &amp; Traditional Architecture Bottlenecks</w:t>
              <w:br/>
            </w:r>
            <w:r>
              <w:rPr>
                <w:rFonts w:ascii="Times New Roman" w:hAnsi="Times New Roman"/>
                <w:color w:val="334155"/>
                <w:sz w:val="20"/>
              </w:rPr>
              <w:t>Define Big Data and explain why traditional data processing approaches are often insufficient for big data environments.</w:t>
            </w:r>
          </w:p>
        </w:tc>
      </w:tr>
    </w:tbl>
    <w:p/>
    <w:p>
      <w:pPr>
        <w:keepNext/>
        <w:spacing w:before="280" w:after="120"/>
      </w:pPr>
      <w:r>
        <w:rPr>
          <w:rFonts w:ascii="Times New Roman" w:hAnsi="Times New Roman"/>
          <w:b/>
          <w:color w:val="008080"/>
          <w:sz w:val="25"/>
        </w:rPr>
        <w:t>1. Formal Definition of Big Data</w:t>
      </w:r>
    </w:p>
    <w:p>
      <w:r>
        <w:t>Big Data refers to massive, multi-dimensional datasets whose volume, velocity, variety, veracity, and complexity exceed the ingestion, storage, management, and processing capabilities of traditional relational database management systems (RDBMS) within an acceptable latency window. Rather than being defined strictly by storage size (terabytes, petabytes, exabytes), big data represents a paradigm shift where data generated by ubiquitous digital sources (IoT sensors, web clickstreams, social feeds, financial logs) requires scalable distributed processing architectures.</w:t>
      </w:r>
    </w:p>
    <w:p>
      <w:pPr>
        <w:keepNext/>
        <w:spacing w:before="280" w:after="120"/>
      </w:pPr>
      <w:r>
        <w:rPr>
          <w:rFonts w:ascii="Times New Roman" w:hAnsi="Times New Roman"/>
          <w:b/>
          <w:color w:val="008080"/>
          <w:sz w:val="25"/>
        </w:rPr>
        <w:t>2. Why Traditional Data Processing Approaches Fail in Big Data Environments</w:t>
      </w:r>
    </w:p>
    <w:p>
      <w:r>
        <w:t>Traditional data architectures rely on centralized symmetric multiprocessing (SMP) servers and structured relational schemas. These legacy systems experience acute operational and architectural bottlenecks when exposed to modern big data workloads:</w:t>
        <w:br/>
        <w:br/>
        <w:t>1. Vertical Scalability (Scale-Up) Limits: Traditional RDBMS systems scale vertically by adding more CPU, RAM, or enterprise SAN disk capacity to a single server node. This approach hits physical hardware ceilings and exhibits an exponential cost curve, making it economically unfeasible for petabyte-scale data.</w:t>
        <w:br/>
        <w:t>2. Rigid Schema-on-Write Constraints: Relational databases enforce strict table schemas before data ingestion (Schema-on-Write). When handling unstructured video, audio, or dynamic JSON feeds, the overhead of structural pre-validation causes ingestion pipeline stalls.</w:t>
        <w:br/>
        <w:t>3. Network I/O Bandwidth Bottlenecks: In classic client-server and data warehouse architectures, compute nodes pull data over local networks to execute analytical queries. As datasets grow to hundreds of terabytes, network bandwidth saturates, leading to massive latency. Big data resolves this by moving computation to the data (Data Locality).</w:t>
        <w:br/>
        <w:t>4. ACID Transaction Overhead: Traditional databases prioritize strict ACID guarantees (Atomicity, Consistency, Isolation, Durability) through distributed table locking. Under massive write concurrency, locking mechanisms cause extreme query contention and thread starvation.</w:t>
      </w:r>
    </w:p>
    <w:p>
      <w:pPr>
        <w:keepNext/>
        <w:spacing w:before="200" w:after="80"/>
      </w:pPr>
      <w:r>
        <w:rPr>
          <w:rFonts w:ascii="Times New Roman" w:hAnsi="Times New Roman"/>
          <w:b/>
          <w:color w:val="1E293B"/>
          <w:sz w:val="22"/>
        </w:rPr>
        <w:t>Table 1.1: Comparative Breakdown: Traditional RDBMS vs. Modern Big Data Platforms</w:t>
      </w:r>
    </w:p>
    <w:tbl>
      <w:tblPr>
        <w:tblW w:type="auto" w:w="0"/>
        <w:jc w:val="center"/>
        <w:tblLook w:firstColumn="1" w:firstRow="1" w:lastColumn="0" w:lastRow="0" w:noHBand="0" w:noVBand="1" w:val="04A0"/>
        <w:tblBorders>
          <w:top w:val="single" w:sz="6" w:space="0" w:color="1D4ED8"/>
          <w:left w:val="none"/>
          <w:bottom w:val="single" w:sz="10" w:space="0" w:color="1D4ED8"/>
          <w:right w:val="none"/>
          <w:insideH w:val="single" w:sz="4" w:space="0" w:color="CBD5E1"/>
          <w:insideV w:val="none"/>
        </w:tblBorders>
      </w:tblPr>
      <w:tblGrid>
        <w:gridCol w:w="3216"/>
        <w:gridCol w:w="3216"/>
        <w:gridCol w:w="3216"/>
      </w:tblGrid>
      <w:tr>
        <w:trPr>
          <w:cantSplit/>
          <w:tblHeader/>
        </w:trPr>
        <w:tc>
          <w:tcPr>
            <w:tcW w:type="dxa" w:w="2304"/>
            <w:shd w:fill="1D4ED8"/>
            <w:tcMar>
              <w:top w:w="140" w:type="dxa"/>
              <w:bottom w:w="140" w:type="dxa"/>
              <w:left w:w="180" w:type="dxa"/>
              <w:right w:w="180" w:type="dxa"/>
            </w:tcMar>
          </w:tcPr>
          <w:p>
            <w:pPr>
              <w:jc w:val="left"/>
            </w:pPr>
            <w:r>
              <w:rPr>
                <w:rFonts w:ascii="Times New Roman" w:hAnsi="Times New Roman"/>
                <w:b/>
                <w:color w:val="FFFFFF"/>
                <w:sz w:val="20"/>
              </w:rPr>
              <w:t>Architectural Dimension</w:t>
            </w:r>
          </w:p>
        </w:tc>
        <w:tc>
          <w:tcPr>
            <w:tcW w:type="dxa" w:w="3600"/>
            <w:shd w:fill="1D4ED8"/>
            <w:tcMar>
              <w:top w:w="140" w:type="dxa"/>
              <w:bottom w:w="140" w:type="dxa"/>
              <w:left w:w="180" w:type="dxa"/>
              <w:right w:w="180" w:type="dxa"/>
            </w:tcMar>
          </w:tcPr>
          <w:p>
            <w:pPr>
              <w:jc w:val="left"/>
            </w:pPr>
            <w:r>
              <w:rPr>
                <w:rFonts w:ascii="Times New Roman" w:hAnsi="Times New Roman"/>
                <w:b/>
                <w:color w:val="FFFFFF"/>
                <w:sz w:val="20"/>
              </w:rPr>
              <w:t>Traditional Processing (RDBMS / EDW)</w:t>
            </w:r>
          </w:p>
        </w:tc>
        <w:tc>
          <w:tcPr>
            <w:tcW w:type="dxa" w:w="3744"/>
            <w:shd w:fill="1D4ED8"/>
            <w:tcMar>
              <w:top w:w="140" w:type="dxa"/>
              <w:bottom w:w="140" w:type="dxa"/>
              <w:left w:w="180" w:type="dxa"/>
              <w:right w:w="180" w:type="dxa"/>
            </w:tcMar>
          </w:tcPr>
          <w:p>
            <w:pPr>
              <w:jc w:val="left"/>
            </w:pPr>
            <w:r>
              <w:rPr>
                <w:rFonts w:ascii="Times New Roman" w:hAnsi="Times New Roman"/>
                <w:b/>
                <w:color w:val="FFFFFF"/>
                <w:sz w:val="20"/>
              </w:rPr>
              <w:t>Big Data Distributed Architecture (Hadoop/Spark)</w:t>
            </w:r>
          </w:p>
        </w:tc>
      </w:tr>
      <w:tr>
        <w:trPr>
          <w:cantSplit/>
        </w:trPr>
        <w:tc>
          <w:tcPr>
            <w:tcW w:type="dxa" w:w="2304"/>
            <w:shd w:fill="FFFFFF"/>
            <w:tcMar>
              <w:top w:w="100" w:type="dxa"/>
              <w:bottom w:w="100" w:type="dxa"/>
              <w:left w:w="180" w:type="dxa"/>
              <w:right w:w="180" w:type="dxa"/>
            </w:tcMar>
          </w:tcPr>
          <w:p>
            <w:r>
              <w:rPr>
                <w:rFonts w:ascii="Times New Roman" w:hAnsi="Times New Roman"/>
                <w:color w:val="1E293B"/>
                <w:sz w:val="19"/>
              </w:rPr>
              <w:t>Scaling Paradigm</w:t>
            </w:r>
          </w:p>
        </w:tc>
        <w:tc>
          <w:tcPr>
            <w:tcW w:type="dxa" w:w="3600"/>
            <w:shd w:fill="FFFFFF"/>
            <w:tcMar>
              <w:top w:w="100" w:type="dxa"/>
              <w:bottom w:w="100" w:type="dxa"/>
              <w:left w:w="180" w:type="dxa"/>
              <w:right w:w="180" w:type="dxa"/>
            </w:tcMar>
          </w:tcPr>
          <w:p>
            <w:r>
              <w:rPr>
                <w:rFonts w:ascii="Times New Roman" w:hAnsi="Times New Roman"/>
                <w:color w:val="1E293B"/>
                <w:sz w:val="19"/>
              </w:rPr>
              <w:t>Vertical Scaling (Scale-Up): Single large high-cost proprietary server.</w:t>
            </w:r>
          </w:p>
        </w:tc>
        <w:tc>
          <w:tcPr>
            <w:tcW w:type="dxa" w:w="3744"/>
            <w:shd w:fill="FFFFFF"/>
            <w:tcMar>
              <w:top w:w="100" w:type="dxa"/>
              <w:bottom w:w="100" w:type="dxa"/>
              <w:left w:w="180" w:type="dxa"/>
              <w:right w:w="180" w:type="dxa"/>
            </w:tcMar>
          </w:tcPr>
          <w:p>
            <w:r>
              <w:rPr>
                <w:rFonts w:ascii="Times New Roman" w:hAnsi="Times New Roman"/>
                <w:color w:val="1E293B"/>
                <w:sz w:val="19"/>
              </w:rPr>
              <w:t>Horizontal Scaling (Scale-Out): Commodity hardware clusters expanding linearly.</w:t>
            </w:r>
          </w:p>
        </w:tc>
      </w:tr>
      <w:tr>
        <w:trPr>
          <w:cantSplit/>
        </w:trPr>
        <w:tc>
          <w:tcPr>
            <w:tcW w:type="dxa" w:w="2304"/>
            <w:shd w:fill="F8FAFC"/>
            <w:tcMar>
              <w:top w:w="100" w:type="dxa"/>
              <w:bottom w:w="100" w:type="dxa"/>
              <w:left w:w="180" w:type="dxa"/>
              <w:right w:w="180" w:type="dxa"/>
            </w:tcMar>
          </w:tcPr>
          <w:p>
            <w:r>
              <w:rPr>
                <w:rFonts w:ascii="Times New Roman" w:hAnsi="Times New Roman"/>
                <w:color w:val="1E293B"/>
                <w:sz w:val="19"/>
              </w:rPr>
              <w:t>Data Structural Focus</w:t>
            </w:r>
          </w:p>
        </w:tc>
        <w:tc>
          <w:tcPr>
            <w:tcW w:type="dxa" w:w="3600"/>
            <w:shd w:fill="F8FAFC"/>
            <w:tcMar>
              <w:top w:w="100" w:type="dxa"/>
              <w:bottom w:w="100" w:type="dxa"/>
              <w:left w:w="180" w:type="dxa"/>
              <w:right w:w="180" w:type="dxa"/>
            </w:tcMar>
          </w:tcPr>
          <w:p>
            <w:r>
              <w:rPr>
                <w:rFonts w:ascii="Times New Roman" w:hAnsi="Times New Roman"/>
                <w:color w:val="1E293B"/>
                <w:sz w:val="19"/>
              </w:rPr>
              <w:t>Strictly structured tables with predefined relational integrity constraints.</w:t>
            </w:r>
          </w:p>
        </w:tc>
        <w:tc>
          <w:tcPr>
            <w:tcW w:type="dxa" w:w="3744"/>
            <w:shd w:fill="F8FAFC"/>
            <w:tcMar>
              <w:top w:w="100" w:type="dxa"/>
              <w:bottom w:w="100" w:type="dxa"/>
              <w:left w:w="180" w:type="dxa"/>
              <w:right w:w="180" w:type="dxa"/>
            </w:tcMar>
          </w:tcPr>
          <w:p>
            <w:r>
              <w:rPr>
                <w:rFonts w:ascii="Times New Roman" w:hAnsi="Times New Roman"/>
                <w:color w:val="1E293B"/>
                <w:sz w:val="19"/>
              </w:rPr>
              <w:t>Multi-modal: Structured, Semi-Structured (JSON/XML), and Unstructured (Media).</w:t>
            </w:r>
          </w:p>
        </w:tc>
      </w:tr>
      <w:tr>
        <w:trPr>
          <w:cantSplit/>
        </w:trPr>
        <w:tc>
          <w:tcPr>
            <w:tcW w:type="dxa" w:w="2304"/>
            <w:shd w:fill="FFFFFF"/>
            <w:tcMar>
              <w:top w:w="100" w:type="dxa"/>
              <w:bottom w:w="100" w:type="dxa"/>
              <w:left w:w="180" w:type="dxa"/>
              <w:right w:w="180" w:type="dxa"/>
            </w:tcMar>
          </w:tcPr>
          <w:p>
            <w:r>
              <w:rPr>
                <w:rFonts w:ascii="Times New Roman" w:hAnsi="Times New Roman"/>
                <w:color w:val="1E293B"/>
                <w:sz w:val="19"/>
              </w:rPr>
              <w:t>Schema Enforcement</w:t>
            </w:r>
          </w:p>
        </w:tc>
        <w:tc>
          <w:tcPr>
            <w:tcW w:type="dxa" w:w="3600"/>
            <w:shd w:fill="FFFFFF"/>
            <w:tcMar>
              <w:top w:w="100" w:type="dxa"/>
              <w:bottom w:w="100" w:type="dxa"/>
              <w:left w:w="180" w:type="dxa"/>
              <w:right w:w="180" w:type="dxa"/>
            </w:tcMar>
          </w:tcPr>
          <w:p>
            <w:r>
              <w:rPr>
                <w:rFonts w:ascii="Times New Roman" w:hAnsi="Times New Roman"/>
                <w:color w:val="1E293B"/>
                <w:sz w:val="19"/>
              </w:rPr>
              <w:t>Schema-on-Write: Data validated and transformed prior to storage.</w:t>
            </w:r>
          </w:p>
        </w:tc>
        <w:tc>
          <w:tcPr>
            <w:tcW w:type="dxa" w:w="3744"/>
            <w:shd w:fill="FFFFFF"/>
            <w:tcMar>
              <w:top w:w="100" w:type="dxa"/>
              <w:bottom w:w="100" w:type="dxa"/>
              <w:left w:w="180" w:type="dxa"/>
              <w:right w:w="180" w:type="dxa"/>
            </w:tcMar>
          </w:tcPr>
          <w:p>
            <w:r>
              <w:rPr>
                <w:rFonts w:ascii="Times New Roman" w:hAnsi="Times New Roman"/>
                <w:color w:val="1E293B"/>
                <w:sz w:val="19"/>
              </w:rPr>
              <w:t>Schema-on-Read: Raw data ingested instantly; schema applied during analytical query.</w:t>
            </w:r>
          </w:p>
        </w:tc>
      </w:tr>
      <w:tr>
        <w:trPr>
          <w:cantSplit/>
        </w:trPr>
        <w:tc>
          <w:tcPr>
            <w:tcW w:type="dxa" w:w="2304"/>
            <w:shd w:fill="F8FAFC"/>
            <w:tcMar>
              <w:top w:w="100" w:type="dxa"/>
              <w:bottom w:w="100" w:type="dxa"/>
              <w:left w:w="180" w:type="dxa"/>
              <w:right w:w="180" w:type="dxa"/>
            </w:tcMar>
          </w:tcPr>
          <w:p>
            <w:r>
              <w:rPr>
                <w:rFonts w:ascii="Times New Roman" w:hAnsi="Times New Roman"/>
                <w:color w:val="1E293B"/>
                <w:sz w:val="19"/>
              </w:rPr>
              <w:t>Execution Locality</w:t>
            </w:r>
          </w:p>
        </w:tc>
        <w:tc>
          <w:tcPr>
            <w:tcW w:type="dxa" w:w="3600"/>
            <w:shd w:fill="F8FAFC"/>
            <w:tcMar>
              <w:top w:w="100" w:type="dxa"/>
              <w:bottom w:w="100" w:type="dxa"/>
              <w:left w:w="180" w:type="dxa"/>
              <w:right w:w="180" w:type="dxa"/>
            </w:tcMar>
          </w:tcPr>
          <w:p>
            <w:r>
              <w:rPr>
                <w:rFonts w:ascii="Times New Roman" w:hAnsi="Times New Roman"/>
                <w:color w:val="1E293B"/>
                <w:sz w:val="19"/>
              </w:rPr>
              <w:t>Data shipped across enterprise network to central compute processor.</w:t>
            </w:r>
          </w:p>
        </w:tc>
        <w:tc>
          <w:tcPr>
            <w:tcW w:type="dxa" w:w="3744"/>
            <w:shd w:fill="F8FAFC"/>
            <w:tcMar>
              <w:top w:w="100" w:type="dxa"/>
              <w:bottom w:w="100" w:type="dxa"/>
              <w:left w:w="180" w:type="dxa"/>
              <w:right w:w="180" w:type="dxa"/>
            </w:tcMar>
          </w:tcPr>
          <w:p>
            <w:r>
              <w:rPr>
                <w:rFonts w:ascii="Times New Roman" w:hAnsi="Times New Roman"/>
                <w:color w:val="1E293B"/>
                <w:sz w:val="19"/>
              </w:rPr>
              <w:t>Data Locality: Computation tasks dispatched directly to nodes holding data blocks.</w:t>
            </w:r>
          </w:p>
        </w:tc>
      </w:tr>
      <w:tr>
        <w:trPr>
          <w:cantSplit/>
        </w:trPr>
        <w:tc>
          <w:tcPr>
            <w:tcW w:type="dxa" w:w="2304"/>
            <w:shd w:fill="FFFFFF"/>
            <w:tcMar>
              <w:top w:w="100" w:type="dxa"/>
              <w:bottom w:w="100" w:type="dxa"/>
              <w:left w:w="180" w:type="dxa"/>
              <w:right w:w="180" w:type="dxa"/>
            </w:tcMar>
          </w:tcPr>
          <w:p>
            <w:r>
              <w:rPr>
                <w:rFonts w:ascii="Times New Roman" w:hAnsi="Times New Roman"/>
                <w:color w:val="1E293B"/>
                <w:sz w:val="19"/>
              </w:rPr>
              <w:t>Cost &amp; Expansion</w:t>
            </w:r>
          </w:p>
        </w:tc>
        <w:tc>
          <w:tcPr>
            <w:tcW w:type="dxa" w:w="3600"/>
            <w:shd w:fill="FFFFFF"/>
            <w:tcMar>
              <w:top w:w="100" w:type="dxa"/>
              <w:bottom w:w="100" w:type="dxa"/>
              <w:left w:w="180" w:type="dxa"/>
              <w:right w:w="180" w:type="dxa"/>
            </w:tcMar>
          </w:tcPr>
          <w:p>
            <w:r>
              <w:rPr>
                <w:rFonts w:ascii="Times New Roman" w:hAnsi="Times New Roman"/>
                <w:color w:val="1E293B"/>
                <w:sz w:val="19"/>
              </w:rPr>
              <w:t>Exponential cost per terabyte; proprietary licensing models.</w:t>
            </w:r>
          </w:p>
        </w:tc>
        <w:tc>
          <w:tcPr>
            <w:tcW w:type="dxa" w:w="3744"/>
            <w:shd w:fill="FFFFFF"/>
            <w:tcMar>
              <w:top w:w="100" w:type="dxa"/>
              <w:bottom w:w="100" w:type="dxa"/>
              <w:left w:w="180" w:type="dxa"/>
              <w:right w:w="180" w:type="dxa"/>
            </w:tcMar>
          </w:tcPr>
          <w:p>
            <w:r>
              <w:rPr>
                <w:rFonts w:ascii="Times New Roman" w:hAnsi="Times New Roman"/>
                <w:color w:val="1E293B"/>
                <w:sz w:val="19"/>
              </w:rPr>
              <w:t>Linear low-cost commodity expansion using open-source frameworks.</w:t>
            </w:r>
          </w:p>
        </w:tc>
      </w:tr>
    </w:tbl>
    <w:p>
      <w:r>
        <w:br w:type="page"/>
      </w:r>
    </w:p>
    <w:p>
      <w:pPr>
        <w:keepNext/>
        <w:spacing w:before="400" w:after="160"/>
      </w:pPr>
      <w:r>
        <w:rPr>
          <w:rFonts w:ascii="Times New Roman" w:hAnsi="Times New Roman"/>
          <w:b/>
          <w:color w:val="1B365D"/>
          <w:sz w:val="30"/>
        </w:rPr>
        <w:t>QUESTION 2: The 5Vs of Big Data &amp; Practical Enterprise Case Examples</w:t>
      </w:r>
    </w:p>
    <w:tbl>
      <w:tblPr>
        <w:tblW w:type="auto" w:w="0"/>
        <w:jc w:val="center"/>
        <w:tblLook w:firstColumn="1" w:firstRow="1" w:lastColumn="0" w:lastRow="0" w:noHBand="0" w:noVBand="1" w:val="04A0"/>
      </w:tblPr>
      <w:tblGrid>
        <w:gridCol w:w="9648"/>
      </w:tblGrid>
      <w:tr>
        <w:tc>
          <w:tcPr>
            <w:tcW w:type="dxa" w:w="9648"/>
            <w:shd w:fill="ECFDF5"/>
            <w:tcMar>
              <w:top w:w="140" w:type="dxa"/>
              <w:bottom w:w="140" w:type="dxa"/>
              <w:left w:w="200" w:type="dxa"/>
              <w:right w:w="200" w:type="dxa"/>
            </w:tcMar>
            <w:tcBorders>
              <w:top w:val="none"/>
              <w:left w:val="single" w:sz="24" w:space="0" w:color="059669"/>
              <w:bottom w:val="none"/>
              <w:right w:val="none"/>
            </w:tcBorders>
          </w:tcPr>
          <w:p>
            <w:pPr>
              <w:spacing w:after="40"/>
            </w:pPr>
            <w:r>
              <w:rPr>
                <w:rFonts w:ascii="Times New Roman" w:hAnsi="Times New Roman"/>
                <w:b/>
                <w:color w:val="059669"/>
                <w:sz w:val="22"/>
              </w:rPr>
              <w:t>QUESTION 2: Detailed 5Vs Framework &amp; Industry Application Examples</w:t>
              <w:br/>
            </w:r>
            <w:r>
              <w:rPr>
                <w:rFonts w:ascii="Times New Roman" w:hAnsi="Times New Roman"/>
                <w:color w:val="334155"/>
                <w:sz w:val="20"/>
              </w:rPr>
              <w:t>Explain the 5Vs of Big Data with one practical example for any two Vs.</w:t>
            </w:r>
          </w:p>
        </w:tc>
      </w:tr>
    </w:tbl>
    <w:p/>
    <w:p>
      <w:pPr>
        <w:keepNext/>
        <w:spacing w:before="280" w:after="120"/>
      </w:pPr>
      <w:r>
        <w:rPr>
          <w:rFonts w:ascii="Times New Roman" w:hAnsi="Times New Roman"/>
          <w:b/>
          <w:color w:val="008080"/>
          <w:sz w:val="25"/>
        </w:rPr>
        <w:t>1. Architectural Decomposition of the 5Vs</w:t>
      </w:r>
    </w:p>
    <w:p>
      <w:r>
        <w:t>The 5Vs framework provides the core taxonomy for characterizing big data environments:</w:t>
        <w:br/>
        <w:t>• Volume: The astronomical quantity of data generated every second across machines, humans, and digital processes, scaling from terabytes into exabytes.</w:t>
        <w:br/>
        <w:t>• Velocity: The blistering rate at which new data is generated, streamed, ingested, and processed, demanding sub-second real-time reaction loops.</w:t>
        <w:br/>
        <w:t>• Variety: The structural diversity of ingested assets, spanning structured tabular records, semi-structured logs/JSON, and unstructured binary media.</w:t>
        <w:br/>
        <w:t>• Veracity: The trustworthiness, accuracy, completeness, and noise level of incoming raw data streams, requiring systematic cleaning pipelines.</w:t>
        <w:br/>
        <w:t>• Value: The ultimate actionable business insight, competitive advantage, or operational optimization extracted from big data investments.</w:t>
      </w:r>
    </w:p>
    <w:p>
      <w:pPr>
        <w:jc w:val="center"/>
      </w:pPr>
      <w:r>
        <w:drawing>
          <wp:inline xmlns:a="http://schemas.openxmlformats.org/drawingml/2006/main" xmlns:pic="http://schemas.openxmlformats.org/drawingml/2006/picture">
            <wp:extent cx="5943600" cy="2944536"/>
            <wp:docPr id="2" name="Picture 2"/>
            <wp:cNvGraphicFramePr>
              <a:graphicFrameLocks noChangeAspect="1"/>
            </wp:cNvGraphicFramePr>
            <a:graphic>
              <a:graphicData uri="http://schemas.openxmlformats.org/drawingml/2006/picture">
                <pic:pic>
                  <pic:nvPicPr>
                    <pic:cNvPr id="0" name="big_data_5vs_taxonomy.png"/>
                    <pic:cNvPicPr/>
                  </pic:nvPicPr>
                  <pic:blipFill>
                    <a:blip r:embed="rId10"/>
                    <a:stretch>
                      <a:fillRect/>
                    </a:stretch>
                  </pic:blipFill>
                  <pic:spPr>
                    <a:xfrm>
                      <a:off x="0" y="0"/>
                      <a:ext cx="5943600" cy="2944536"/>
                    </a:xfrm>
                    <a:prstGeom prst="rect"/>
                  </pic:spPr>
                </pic:pic>
              </a:graphicData>
            </a:graphic>
          </wp:inline>
        </w:drawing>
      </w:r>
    </w:p>
    <w:p>
      <w:pPr>
        <w:spacing w:after="240"/>
        <w:jc w:val="center"/>
      </w:pPr>
      <w:r>
        <w:rPr>
          <w:rFonts w:ascii="Times New Roman" w:hAnsi="Times New Roman"/>
          <w:i/>
          <w:color w:val="475569"/>
          <w:sz w:val="19"/>
        </w:rPr>
        <w:t>Figure 2.1: The 5Vs Characterization &amp; Data Structural Classification Taxonomy</w:t>
      </w:r>
    </w:p>
    <w:p>
      <w:pPr>
        <w:keepNext/>
        <w:spacing w:before="280" w:after="120"/>
      </w:pPr>
      <w:r>
        <w:rPr>
          <w:rFonts w:ascii="Times New Roman" w:hAnsi="Times New Roman"/>
          <w:b/>
          <w:color w:val="008080"/>
          <w:sz w:val="25"/>
        </w:rPr>
        <w:t>2. In-Depth Practical Industry Examples for Two Vs</w:t>
      </w:r>
    </w:p>
    <w:p>
      <w:pPr>
        <w:keepNext/>
        <w:spacing w:before="200" w:after="80"/>
      </w:pPr>
      <w:r>
        <w:rPr>
          <w:rFonts w:ascii="Times New Roman" w:hAnsi="Times New Roman"/>
          <w:b/>
          <w:color w:val="1E293B"/>
          <w:sz w:val="22"/>
        </w:rPr>
        <w:t>Practical Example 1: Volume in Global Financial Transaction Networks (Visa / Mastercard)</w:t>
      </w:r>
    </w:p>
    <w:p>
      <w:r>
        <w:t>Global payment networks process over 65,000 transaction authorization messages per second across more than 200 countries. Each card swipe produces rich metadata packets including customer account identifiers, merchant terminal IDs, geographical GPS coordinates, authorization tokens, fraud score metrics, and currency conversion details. This network generates over 100 petabytes of transaction logs annually. Managing this sheer Volume requires distributed HDFS clusters and Apache Cassandra wide-column stores to support audit indexing, regulatory compliance archiving, and multi-year historical spend analysis.</w:t>
      </w:r>
    </w:p>
    <w:p>
      <w:pPr>
        <w:keepNext/>
        <w:spacing w:before="200" w:after="80"/>
      </w:pPr>
      <w:r>
        <w:rPr>
          <w:rFonts w:ascii="Times New Roman" w:hAnsi="Times New Roman"/>
          <w:b/>
          <w:color w:val="1E293B"/>
          <w:sz w:val="22"/>
        </w:rPr>
        <w:t>Practical Example 2: Velocity in Connected Autonomous Vehicles (Tesla Fleet Telemetry)</w:t>
      </w:r>
    </w:p>
    <w:p>
      <w:r>
        <w:t>A fleet of millions of connected autonomous and semi-autonomous vehicles continuously generates real-time telemetry streams from high-definition optical cameras, ultrasonic sensors, radar arrays, and vehicle CAN buses. An individual vehicle streams between 4 GB to 20 GB of telemetry data per operating hour. Processing this Velocity is critical: on-board edge neural processors evaluate obstacle detection streams in under 5 milliseconds to execute collision avoidance maneuvers, while aggregated regional driving telemetry is ingested into Apache Kafka and Apache Flink pipelines for fleet-wide path optimization and neural network retraining.</w:t>
      </w:r>
    </w:p>
    <w:p>
      <w:r>
        <w:br w:type="page"/>
      </w:r>
    </w:p>
    <w:p>
      <w:pPr>
        <w:keepNext/>
        <w:spacing w:before="400" w:after="160"/>
      </w:pPr>
      <w:r>
        <w:rPr>
          <w:rFonts w:ascii="Times New Roman" w:hAnsi="Times New Roman"/>
          <w:b/>
          <w:color w:val="1B365D"/>
          <w:sz w:val="30"/>
        </w:rPr>
        <w:t>QUESTION 3: Structural Categorization of Data: Structured, Semi-Structured &amp; Unstructured</w:t>
      </w:r>
    </w:p>
    <w:tbl>
      <w:tblPr>
        <w:tblW w:type="auto" w:w="0"/>
        <w:jc w:val="center"/>
        <w:tblLook w:firstColumn="1" w:firstRow="1" w:lastColumn="0" w:lastRow="0" w:noHBand="0" w:noVBand="1" w:val="04A0"/>
      </w:tblPr>
      <w:tblGrid>
        <w:gridCol w:w="9648"/>
      </w:tblGrid>
      <w:tr>
        <w:tc>
          <w:tcPr>
            <w:tcW w:type="dxa" w:w="9648"/>
            <w:shd w:fill="F3E8FF"/>
            <w:tcMar>
              <w:top w:w="140" w:type="dxa"/>
              <w:bottom w:w="140" w:type="dxa"/>
              <w:left w:w="200" w:type="dxa"/>
              <w:right w:w="200" w:type="dxa"/>
            </w:tcMar>
            <w:tcBorders>
              <w:top w:val="none"/>
              <w:left w:val="single" w:sz="24" w:space="0" w:color="7C3AED"/>
              <w:bottom w:val="none"/>
              <w:right w:val="none"/>
            </w:tcBorders>
          </w:tcPr>
          <w:p>
            <w:pPr>
              <w:spacing w:after="40"/>
            </w:pPr>
            <w:r>
              <w:rPr>
                <w:rFonts w:ascii="Times New Roman" w:hAnsi="Times New Roman"/>
                <w:b/>
                <w:color w:val="7C3AED"/>
                <w:sz w:val="22"/>
              </w:rPr>
              <w:t>QUESTION 3: Three-Tier Data Structural Model with Enterprise Formats</w:t>
              <w:br/>
            </w:r>
            <w:r>
              <w:rPr>
                <w:rFonts w:ascii="Times New Roman" w:hAnsi="Times New Roman"/>
                <w:color w:val="334155"/>
                <w:sz w:val="20"/>
              </w:rPr>
              <w:t>Differentiate structured, semi-structured, and unstructured data with examples.</w:t>
            </w:r>
          </w:p>
        </w:tc>
      </w:tr>
    </w:tbl>
    <w:p/>
    <w:p>
      <w:pPr>
        <w:keepNext/>
        <w:spacing w:before="280" w:after="120"/>
      </w:pPr>
      <w:r>
        <w:rPr>
          <w:rFonts w:ascii="Times New Roman" w:hAnsi="Times New Roman"/>
          <w:b/>
          <w:color w:val="008080"/>
          <w:sz w:val="25"/>
        </w:rPr>
        <w:t>1. Detailed Structural Definitions</w:t>
      </w:r>
    </w:p>
    <w:p>
      <w:r>
        <w:t>Enterprise data assets are categorized into three distinct structural paradigms based on schema predictability, storage models, and query mechanisms:</w:t>
        <w:br/>
        <w:br/>
        <w:t>1. Structured Data: Highly organized data conforming to a rigid predefined schema with strict tabular formatting (rows and columns). Every data field has an explicit data type (e.g., INTEGER, VARCHAR, DATE) and adheres to relational integrity constraints. It is stored in Relational Database Management Systems (RDBMS) and queried using SQL.</w:t>
        <w:br/>
        <w:t>2. Semi-Structured Data: Data that does not adhere to a rigid relational schema but contains internal organizational markers, tags, and key-value hierarchies that separate elements. It provides schema flexibility (Schema-on-Read) and is stored in NoSQL document stores (MongoDB, Couchbase) or key-value stores.</w:t>
        <w:br/>
        <w:t>3. Unstructured Data: Data that possesses no predefined data model, schema, or structural organization. It constitutes approximately 80% to 90% of all modern enterprise data. It comprises rich media, audio, binary files, and natural text, requiring distributed object storage (AWS S3, HDFS) and specialized AI/ML processing (computer vision, NLP) to extract value.</w:t>
      </w:r>
    </w:p>
    <w:p>
      <w:pPr>
        <w:keepNext/>
        <w:spacing w:before="200" w:after="80"/>
      </w:pPr>
      <w:r>
        <w:rPr>
          <w:rFonts w:ascii="Times New Roman" w:hAnsi="Times New Roman"/>
          <w:b/>
          <w:color w:val="1E293B"/>
          <w:sz w:val="22"/>
        </w:rPr>
        <w:t>Table 3.1: Technical Matrix: Structured vs. Semi-Structured vs. Unstructured Data</w:t>
      </w:r>
    </w:p>
    <w:tbl>
      <w:tblPr>
        <w:tblW w:type="auto" w:w="0"/>
        <w:jc w:val="center"/>
        <w:tblLook w:firstColumn="1" w:firstRow="1" w:lastColumn="0" w:lastRow="0" w:noHBand="0" w:noVBand="1" w:val="04A0"/>
        <w:tblBorders>
          <w:top w:val="single" w:sz="6" w:space="0" w:color="7C3AED"/>
          <w:left w:val="none"/>
          <w:bottom w:val="single" w:sz="10" w:space="0" w:color="7C3AED"/>
          <w:right w:val="none"/>
          <w:insideH w:val="single" w:sz="4" w:space="0" w:color="CBD5E1"/>
          <w:insideV w:val="none"/>
        </w:tblBorders>
      </w:tblPr>
      <w:tblGrid>
        <w:gridCol w:w="2412"/>
        <w:gridCol w:w="2412"/>
        <w:gridCol w:w="2412"/>
        <w:gridCol w:w="2412"/>
      </w:tblGrid>
      <w:tr>
        <w:trPr>
          <w:cantSplit/>
          <w:tblHeader/>
        </w:trPr>
        <w:tc>
          <w:tcPr>
            <w:tcW w:type="dxa" w:w="2016"/>
            <w:shd w:fill="7C3AED"/>
            <w:tcMar>
              <w:top w:w="140" w:type="dxa"/>
              <w:bottom w:w="140" w:type="dxa"/>
              <w:left w:w="180" w:type="dxa"/>
              <w:right w:w="180" w:type="dxa"/>
            </w:tcMar>
          </w:tcPr>
          <w:p>
            <w:pPr>
              <w:jc w:val="left"/>
            </w:pPr>
            <w:r>
              <w:rPr>
                <w:rFonts w:ascii="Times New Roman" w:hAnsi="Times New Roman"/>
                <w:b/>
                <w:color w:val="FFFFFF"/>
                <w:sz w:val="20"/>
              </w:rPr>
              <w:t>Evaluation Criteria</w:t>
            </w:r>
          </w:p>
        </w:tc>
        <w:tc>
          <w:tcPr>
            <w:tcW w:type="dxa" w:w="2448"/>
            <w:shd w:fill="7C3AED"/>
            <w:tcMar>
              <w:top w:w="140" w:type="dxa"/>
              <w:bottom w:w="140" w:type="dxa"/>
              <w:left w:w="180" w:type="dxa"/>
              <w:right w:w="180" w:type="dxa"/>
            </w:tcMar>
          </w:tcPr>
          <w:p>
            <w:pPr>
              <w:jc w:val="left"/>
            </w:pPr>
            <w:r>
              <w:rPr>
                <w:rFonts w:ascii="Times New Roman" w:hAnsi="Times New Roman"/>
                <w:b/>
                <w:color w:val="FFFFFF"/>
                <w:sz w:val="20"/>
              </w:rPr>
              <w:t>Structured Data</w:t>
            </w:r>
          </w:p>
        </w:tc>
        <w:tc>
          <w:tcPr>
            <w:tcW w:type="dxa" w:w="2592"/>
            <w:shd w:fill="7C3AED"/>
            <w:tcMar>
              <w:top w:w="140" w:type="dxa"/>
              <w:bottom w:w="140" w:type="dxa"/>
              <w:left w:w="180" w:type="dxa"/>
              <w:right w:w="180" w:type="dxa"/>
            </w:tcMar>
          </w:tcPr>
          <w:p>
            <w:pPr>
              <w:jc w:val="left"/>
            </w:pPr>
            <w:r>
              <w:rPr>
                <w:rFonts w:ascii="Times New Roman" w:hAnsi="Times New Roman"/>
                <w:b/>
                <w:color w:val="FFFFFF"/>
                <w:sz w:val="20"/>
              </w:rPr>
              <w:t>Semi-Structured Data</w:t>
            </w:r>
          </w:p>
        </w:tc>
        <w:tc>
          <w:tcPr>
            <w:tcW w:type="dxa" w:w="2592"/>
            <w:shd w:fill="7C3AED"/>
            <w:tcMar>
              <w:top w:w="140" w:type="dxa"/>
              <w:bottom w:w="140" w:type="dxa"/>
              <w:left w:w="180" w:type="dxa"/>
              <w:right w:w="180" w:type="dxa"/>
            </w:tcMar>
          </w:tcPr>
          <w:p>
            <w:pPr>
              <w:jc w:val="left"/>
            </w:pPr>
            <w:r>
              <w:rPr>
                <w:rFonts w:ascii="Times New Roman" w:hAnsi="Times New Roman"/>
                <w:b/>
                <w:color w:val="FFFFFF"/>
                <w:sz w:val="20"/>
              </w:rPr>
              <w:t>Unstructured Data</w:t>
            </w:r>
          </w:p>
        </w:tc>
      </w:tr>
      <w:tr>
        <w:trPr>
          <w:cantSplit/>
        </w:trPr>
        <w:tc>
          <w:tcPr>
            <w:tcW w:type="dxa" w:w="2016"/>
            <w:shd w:fill="FFFFFF"/>
            <w:tcMar>
              <w:top w:w="100" w:type="dxa"/>
              <w:bottom w:w="100" w:type="dxa"/>
              <w:left w:w="180" w:type="dxa"/>
              <w:right w:w="180" w:type="dxa"/>
            </w:tcMar>
          </w:tcPr>
          <w:p>
            <w:r>
              <w:rPr>
                <w:rFonts w:ascii="Times New Roman" w:hAnsi="Times New Roman"/>
                <w:color w:val="1E293B"/>
                <w:sz w:val="19"/>
              </w:rPr>
              <w:t>Schema Model</w:t>
            </w:r>
          </w:p>
        </w:tc>
        <w:tc>
          <w:tcPr>
            <w:tcW w:type="dxa" w:w="2448"/>
            <w:shd w:fill="FFFFFF"/>
            <w:tcMar>
              <w:top w:w="100" w:type="dxa"/>
              <w:bottom w:w="100" w:type="dxa"/>
              <w:left w:w="180" w:type="dxa"/>
              <w:right w:w="180" w:type="dxa"/>
            </w:tcMar>
          </w:tcPr>
          <w:p>
            <w:r>
              <w:rPr>
                <w:rFonts w:ascii="Times New Roman" w:hAnsi="Times New Roman"/>
                <w:color w:val="1E293B"/>
                <w:sz w:val="19"/>
              </w:rPr>
              <w:t>Predefined Schema-on-Write (Rigid)</w:t>
            </w:r>
          </w:p>
        </w:tc>
        <w:tc>
          <w:tcPr>
            <w:tcW w:type="dxa" w:w="2592"/>
            <w:shd w:fill="FFFFFF"/>
            <w:tcMar>
              <w:top w:w="100" w:type="dxa"/>
              <w:bottom w:w="100" w:type="dxa"/>
              <w:left w:w="180" w:type="dxa"/>
              <w:right w:w="180" w:type="dxa"/>
            </w:tcMar>
          </w:tcPr>
          <w:p>
            <w:r>
              <w:rPr>
                <w:rFonts w:ascii="Times New Roman" w:hAnsi="Times New Roman"/>
                <w:color w:val="1E293B"/>
                <w:sz w:val="19"/>
              </w:rPr>
              <w:t>Self-describing Schema-on-Read (Flexible)</w:t>
            </w:r>
          </w:p>
        </w:tc>
        <w:tc>
          <w:tcPr>
            <w:tcW w:type="dxa" w:w="2592"/>
            <w:shd w:fill="FFFFFF"/>
            <w:tcMar>
              <w:top w:w="100" w:type="dxa"/>
              <w:bottom w:w="100" w:type="dxa"/>
              <w:left w:w="180" w:type="dxa"/>
              <w:right w:w="180" w:type="dxa"/>
            </w:tcMar>
          </w:tcPr>
          <w:p>
            <w:r>
              <w:rPr>
                <w:rFonts w:ascii="Times New Roman" w:hAnsi="Times New Roman"/>
                <w:color w:val="1E293B"/>
                <w:sz w:val="19"/>
              </w:rPr>
              <w:t>Schema-less / No Predefined Structure</w:t>
            </w:r>
          </w:p>
        </w:tc>
      </w:tr>
      <w:tr>
        <w:trPr>
          <w:cantSplit/>
        </w:trPr>
        <w:tc>
          <w:tcPr>
            <w:tcW w:type="dxa" w:w="2016"/>
            <w:shd w:fill="F8FAFC"/>
            <w:tcMar>
              <w:top w:w="100" w:type="dxa"/>
              <w:bottom w:w="100" w:type="dxa"/>
              <w:left w:w="180" w:type="dxa"/>
              <w:right w:w="180" w:type="dxa"/>
            </w:tcMar>
          </w:tcPr>
          <w:p>
            <w:r>
              <w:rPr>
                <w:rFonts w:ascii="Times New Roman" w:hAnsi="Times New Roman"/>
                <w:color w:val="1E293B"/>
                <w:sz w:val="19"/>
              </w:rPr>
              <w:t>Underlying Technology</w:t>
            </w:r>
          </w:p>
        </w:tc>
        <w:tc>
          <w:tcPr>
            <w:tcW w:type="dxa" w:w="2448"/>
            <w:shd w:fill="F8FAFC"/>
            <w:tcMar>
              <w:top w:w="100" w:type="dxa"/>
              <w:bottom w:w="100" w:type="dxa"/>
              <w:left w:w="180" w:type="dxa"/>
              <w:right w:w="180" w:type="dxa"/>
            </w:tcMar>
          </w:tcPr>
          <w:p>
            <w:r>
              <w:rPr>
                <w:rFonts w:ascii="Times New Roman" w:hAnsi="Times New Roman"/>
                <w:color w:val="1E293B"/>
                <w:sz w:val="19"/>
              </w:rPr>
              <w:t>Relational RDBMS (PostgreSQL, Oracle)</w:t>
            </w:r>
          </w:p>
        </w:tc>
        <w:tc>
          <w:tcPr>
            <w:tcW w:type="dxa" w:w="2592"/>
            <w:shd w:fill="F8FAFC"/>
            <w:tcMar>
              <w:top w:w="100" w:type="dxa"/>
              <w:bottom w:w="100" w:type="dxa"/>
              <w:left w:w="180" w:type="dxa"/>
              <w:right w:w="180" w:type="dxa"/>
            </w:tcMar>
          </w:tcPr>
          <w:p>
            <w:r>
              <w:rPr>
                <w:rFonts w:ascii="Times New Roman" w:hAnsi="Times New Roman"/>
                <w:color w:val="1E293B"/>
                <w:sz w:val="19"/>
              </w:rPr>
              <w:t>NoSQL Document/Graph (MongoDB, Neo4j)</w:t>
            </w:r>
          </w:p>
        </w:tc>
        <w:tc>
          <w:tcPr>
            <w:tcW w:type="dxa" w:w="2592"/>
            <w:shd w:fill="F8FAFC"/>
            <w:tcMar>
              <w:top w:w="100" w:type="dxa"/>
              <w:bottom w:w="100" w:type="dxa"/>
              <w:left w:w="180" w:type="dxa"/>
              <w:right w:w="180" w:type="dxa"/>
            </w:tcMar>
          </w:tcPr>
          <w:p>
            <w:r>
              <w:rPr>
                <w:rFonts w:ascii="Times New Roman" w:hAnsi="Times New Roman"/>
                <w:color w:val="1E293B"/>
                <w:sz w:val="19"/>
              </w:rPr>
              <w:t>Object Stores &amp; Data Lakes (S3, HDFS)</w:t>
            </w:r>
          </w:p>
        </w:tc>
      </w:tr>
      <w:tr>
        <w:trPr>
          <w:cantSplit/>
        </w:trPr>
        <w:tc>
          <w:tcPr>
            <w:tcW w:type="dxa" w:w="2016"/>
            <w:shd w:fill="FFFFFF"/>
            <w:tcMar>
              <w:top w:w="100" w:type="dxa"/>
              <w:bottom w:w="100" w:type="dxa"/>
              <w:left w:w="180" w:type="dxa"/>
              <w:right w:w="180" w:type="dxa"/>
            </w:tcMar>
          </w:tcPr>
          <w:p>
            <w:r>
              <w:rPr>
                <w:rFonts w:ascii="Times New Roman" w:hAnsi="Times New Roman"/>
                <w:color w:val="1E293B"/>
                <w:sz w:val="19"/>
              </w:rPr>
              <w:t>Standard Data Formats</w:t>
            </w:r>
          </w:p>
        </w:tc>
        <w:tc>
          <w:tcPr>
            <w:tcW w:type="dxa" w:w="2448"/>
            <w:shd w:fill="FFFFFF"/>
            <w:tcMar>
              <w:top w:w="100" w:type="dxa"/>
              <w:bottom w:w="100" w:type="dxa"/>
              <w:left w:w="180" w:type="dxa"/>
              <w:right w:w="180" w:type="dxa"/>
            </w:tcMar>
          </w:tcPr>
          <w:p>
            <w:r>
              <w:rPr>
                <w:rFonts w:ascii="Times New Roman" w:hAnsi="Times New Roman"/>
                <w:color w:val="1E293B"/>
                <w:sz w:val="19"/>
              </w:rPr>
              <w:t>SQL Tables, CSV, Relational OLAP Cubes</w:t>
            </w:r>
          </w:p>
        </w:tc>
        <w:tc>
          <w:tcPr>
            <w:tcW w:type="dxa" w:w="2592"/>
            <w:shd w:fill="FFFFFF"/>
            <w:tcMar>
              <w:top w:w="100" w:type="dxa"/>
              <w:bottom w:w="100" w:type="dxa"/>
              <w:left w:w="180" w:type="dxa"/>
              <w:right w:w="180" w:type="dxa"/>
            </w:tcMar>
          </w:tcPr>
          <w:p>
            <w:r>
              <w:rPr>
                <w:rFonts w:ascii="Times New Roman" w:hAnsi="Times New Roman"/>
                <w:color w:val="1E293B"/>
                <w:sz w:val="19"/>
              </w:rPr>
              <w:t>JSON, XML, YAML, Protocol Buffers, BSON</w:t>
            </w:r>
          </w:p>
        </w:tc>
        <w:tc>
          <w:tcPr>
            <w:tcW w:type="dxa" w:w="2592"/>
            <w:shd w:fill="FFFFFF"/>
            <w:tcMar>
              <w:top w:w="100" w:type="dxa"/>
              <w:bottom w:w="100" w:type="dxa"/>
              <w:left w:w="180" w:type="dxa"/>
              <w:right w:w="180" w:type="dxa"/>
            </w:tcMar>
          </w:tcPr>
          <w:p>
            <w:r>
              <w:rPr>
                <w:rFonts w:ascii="Times New Roman" w:hAnsi="Times New Roman"/>
                <w:color w:val="1E293B"/>
                <w:sz w:val="19"/>
              </w:rPr>
              <w:t>MP4 Video, WAV Audio, PDF, JPEG, Satellite TIF</w:t>
            </w:r>
          </w:p>
        </w:tc>
      </w:tr>
      <w:tr>
        <w:trPr>
          <w:cantSplit/>
        </w:trPr>
        <w:tc>
          <w:tcPr>
            <w:tcW w:type="dxa" w:w="2016"/>
            <w:shd w:fill="F8FAFC"/>
            <w:tcMar>
              <w:top w:w="100" w:type="dxa"/>
              <w:bottom w:w="100" w:type="dxa"/>
              <w:left w:w="180" w:type="dxa"/>
              <w:right w:w="180" w:type="dxa"/>
            </w:tcMar>
          </w:tcPr>
          <w:p>
            <w:r>
              <w:rPr>
                <w:rFonts w:ascii="Times New Roman" w:hAnsi="Times New Roman"/>
                <w:color w:val="1E293B"/>
                <w:sz w:val="19"/>
              </w:rPr>
              <w:t>Query &amp; Extraction</w:t>
            </w:r>
          </w:p>
        </w:tc>
        <w:tc>
          <w:tcPr>
            <w:tcW w:type="dxa" w:w="2448"/>
            <w:shd w:fill="F8FAFC"/>
            <w:tcMar>
              <w:top w:w="100" w:type="dxa"/>
              <w:bottom w:w="100" w:type="dxa"/>
              <w:left w:w="180" w:type="dxa"/>
              <w:right w:w="180" w:type="dxa"/>
            </w:tcMar>
          </w:tcPr>
          <w:p>
            <w:r>
              <w:rPr>
                <w:rFonts w:ascii="Times New Roman" w:hAnsi="Times New Roman"/>
                <w:color w:val="1E293B"/>
                <w:sz w:val="19"/>
              </w:rPr>
              <w:t>Standard Structured SQL Queries</w:t>
            </w:r>
          </w:p>
        </w:tc>
        <w:tc>
          <w:tcPr>
            <w:tcW w:type="dxa" w:w="2592"/>
            <w:shd w:fill="F8FAFC"/>
            <w:tcMar>
              <w:top w:w="100" w:type="dxa"/>
              <w:bottom w:w="100" w:type="dxa"/>
              <w:left w:w="180" w:type="dxa"/>
              <w:right w:w="180" w:type="dxa"/>
            </w:tcMar>
          </w:tcPr>
          <w:p>
            <w:r>
              <w:rPr>
                <w:rFonts w:ascii="Times New Roman" w:hAnsi="Times New Roman"/>
                <w:color w:val="1E293B"/>
                <w:sz w:val="19"/>
              </w:rPr>
              <w:t>JSONPath, XPath, NoSQL Query APIs</w:t>
            </w:r>
          </w:p>
        </w:tc>
        <w:tc>
          <w:tcPr>
            <w:tcW w:type="dxa" w:w="2592"/>
            <w:shd w:fill="F8FAFC"/>
            <w:tcMar>
              <w:top w:w="100" w:type="dxa"/>
              <w:bottom w:w="100" w:type="dxa"/>
              <w:left w:w="180" w:type="dxa"/>
              <w:right w:w="180" w:type="dxa"/>
            </w:tcMar>
          </w:tcPr>
          <w:p>
            <w:r>
              <w:rPr>
                <w:rFonts w:ascii="Times New Roman" w:hAnsi="Times New Roman"/>
                <w:color w:val="1E293B"/>
                <w:sz w:val="19"/>
              </w:rPr>
              <w:t>AI/ML (NLP, Optical OCR, Computer Vision)</w:t>
            </w:r>
          </w:p>
        </w:tc>
      </w:tr>
      <w:tr>
        <w:trPr>
          <w:cantSplit/>
        </w:trPr>
        <w:tc>
          <w:tcPr>
            <w:tcW w:type="dxa" w:w="2016"/>
            <w:shd w:fill="FFFFFF"/>
            <w:tcMar>
              <w:top w:w="100" w:type="dxa"/>
              <w:bottom w:w="100" w:type="dxa"/>
              <w:left w:w="180" w:type="dxa"/>
              <w:right w:w="180" w:type="dxa"/>
            </w:tcMar>
          </w:tcPr>
          <w:p>
            <w:r>
              <w:rPr>
                <w:rFonts w:ascii="Times New Roman" w:hAnsi="Times New Roman"/>
                <w:color w:val="1E293B"/>
                <w:sz w:val="19"/>
              </w:rPr>
              <w:t>Storage Cost / Volume</w:t>
            </w:r>
          </w:p>
        </w:tc>
        <w:tc>
          <w:tcPr>
            <w:tcW w:type="dxa" w:w="2448"/>
            <w:shd w:fill="FFFFFF"/>
            <w:tcMar>
              <w:top w:w="100" w:type="dxa"/>
              <w:bottom w:w="100" w:type="dxa"/>
              <w:left w:w="180" w:type="dxa"/>
              <w:right w:w="180" w:type="dxa"/>
            </w:tcMar>
          </w:tcPr>
          <w:p>
            <w:r>
              <w:rPr>
                <w:rFonts w:ascii="Times New Roman" w:hAnsi="Times New Roman"/>
                <w:color w:val="1E293B"/>
                <w:sz w:val="19"/>
              </w:rPr>
              <w:t>High Cost per GB / Low Relative Volume (~10%)</w:t>
            </w:r>
          </w:p>
        </w:tc>
        <w:tc>
          <w:tcPr>
            <w:tcW w:type="dxa" w:w="2592"/>
            <w:shd w:fill="FFFFFF"/>
            <w:tcMar>
              <w:top w:w="100" w:type="dxa"/>
              <w:bottom w:w="100" w:type="dxa"/>
              <w:left w:w="180" w:type="dxa"/>
              <w:right w:w="180" w:type="dxa"/>
            </w:tcMar>
          </w:tcPr>
          <w:p>
            <w:r>
              <w:rPr>
                <w:rFonts w:ascii="Times New Roman" w:hAnsi="Times New Roman"/>
                <w:color w:val="1E293B"/>
                <w:sz w:val="19"/>
              </w:rPr>
              <w:t>Moderate Cost / Moderate Volume (~20%)</w:t>
            </w:r>
          </w:p>
        </w:tc>
        <w:tc>
          <w:tcPr>
            <w:tcW w:type="dxa" w:w="2592"/>
            <w:shd w:fill="FFFFFF"/>
            <w:tcMar>
              <w:top w:w="100" w:type="dxa"/>
              <w:bottom w:w="100" w:type="dxa"/>
              <w:left w:w="180" w:type="dxa"/>
              <w:right w:w="180" w:type="dxa"/>
            </w:tcMar>
          </w:tcPr>
          <w:p>
            <w:r>
              <w:rPr>
                <w:rFonts w:ascii="Times New Roman" w:hAnsi="Times New Roman"/>
                <w:color w:val="1E293B"/>
                <w:sz w:val="19"/>
              </w:rPr>
              <w:t>Low Cost per GB / Massive Volume (~70-80%)</w:t>
            </w:r>
          </w:p>
        </w:tc>
      </w:tr>
      <w:tr>
        <w:trPr>
          <w:cantSplit/>
        </w:trPr>
        <w:tc>
          <w:tcPr>
            <w:tcW w:type="dxa" w:w="2016"/>
            <w:shd w:fill="F8FAFC"/>
            <w:tcMar>
              <w:top w:w="100" w:type="dxa"/>
              <w:bottom w:w="100" w:type="dxa"/>
              <w:left w:w="180" w:type="dxa"/>
              <w:right w:w="180" w:type="dxa"/>
            </w:tcMar>
          </w:tcPr>
          <w:p>
            <w:r>
              <w:rPr>
                <w:rFonts w:ascii="Times New Roman" w:hAnsi="Times New Roman"/>
                <w:color w:val="1E293B"/>
                <w:sz w:val="19"/>
              </w:rPr>
              <w:t>Concrete Enterprise Example</w:t>
            </w:r>
          </w:p>
        </w:tc>
        <w:tc>
          <w:tcPr>
            <w:tcW w:type="dxa" w:w="2448"/>
            <w:shd w:fill="F8FAFC"/>
            <w:tcMar>
              <w:top w:w="100" w:type="dxa"/>
              <w:bottom w:w="100" w:type="dxa"/>
              <w:left w:w="180" w:type="dxa"/>
              <w:right w:w="180" w:type="dxa"/>
            </w:tcMar>
          </w:tcPr>
          <w:p>
            <w:r>
              <w:rPr>
                <w:rFonts w:ascii="Times New Roman" w:hAnsi="Times New Roman"/>
                <w:color w:val="1E293B"/>
                <w:sz w:val="19"/>
              </w:rPr>
              <w:t>Core banking ledger accounting tables with customer balances and transaction dates.</w:t>
            </w:r>
          </w:p>
        </w:tc>
        <w:tc>
          <w:tcPr>
            <w:tcW w:type="dxa" w:w="2592"/>
            <w:shd w:fill="F8FAFC"/>
            <w:tcMar>
              <w:top w:w="100" w:type="dxa"/>
              <w:bottom w:w="100" w:type="dxa"/>
              <w:left w:w="180" w:type="dxa"/>
              <w:right w:w="180" w:type="dxa"/>
            </w:tcMar>
          </w:tcPr>
          <w:p>
            <w:r>
              <w:rPr>
                <w:rFonts w:ascii="Times New Roman" w:hAnsi="Times New Roman"/>
                <w:color w:val="1E293B"/>
                <w:sz w:val="19"/>
              </w:rPr>
              <w:t>E-commerce web product catalog with dynamic nested variant attributes.</w:t>
            </w:r>
          </w:p>
        </w:tc>
        <w:tc>
          <w:tcPr>
            <w:tcW w:type="dxa" w:w="2592"/>
            <w:shd w:fill="F8FAFC"/>
            <w:tcMar>
              <w:top w:w="100" w:type="dxa"/>
              <w:bottom w:w="100" w:type="dxa"/>
              <w:left w:w="180" w:type="dxa"/>
              <w:right w:w="180" w:type="dxa"/>
            </w:tcMar>
          </w:tcPr>
          <w:p>
            <w:r>
              <w:rPr>
                <w:rFonts w:ascii="Times New Roman" w:hAnsi="Times New Roman"/>
                <w:color w:val="1E293B"/>
                <w:sz w:val="19"/>
              </w:rPr>
              <w:t>Patient diagnostic medical MRI/CT DICOM scans and clinician audio consultation notes.</w:t>
            </w:r>
          </w:p>
        </w:tc>
      </w:tr>
    </w:tbl>
    <w:p>
      <w:r>
        <w:br w:type="page"/>
      </w:r>
    </w:p>
    <w:p>
      <w:pPr>
        <w:keepNext/>
        <w:spacing w:before="400" w:after="160"/>
      </w:pPr>
      <w:r>
        <w:rPr>
          <w:rFonts w:ascii="Times New Roman" w:hAnsi="Times New Roman"/>
          <w:b/>
          <w:color w:val="1B365D"/>
          <w:sz w:val="30"/>
        </w:rPr>
        <w:t>QUESTION 4: Role of Distributed File Systems in Big Data Processing</w:t>
      </w:r>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200" w:type="dxa"/>
              <w:right w:w="200" w:type="dxa"/>
            </w:tcMar>
            <w:tcBorders>
              <w:top w:val="none"/>
              <w:left w:val="single" w:sz="24" w:space="0" w:color="D97706"/>
              <w:bottom w:val="none"/>
              <w:right w:val="none"/>
            </w:tcBorders>
          </w:tcPr>
          <w:p>
            <w:pPr>
              <w:spacing w:after="40"/>
            </w:pPr>
            <w:r>
              <w:rPr>
                <w:rFonts w:ascii="Times New Roman" w:hAnsi="Times New Roman"/>
                <w:b/>
                <w:color w:val="D97706"/>
                <w:sz w:val="22"/>
              </w:rPr>
              <w:t>QUESTION 4: Distributed Storage Architecture &amp; HDFS Technical Mechanics</w:t>
              <w:br/>
            </w:r>
            <w:r>
              <w:rPr>
                <w:rFonts w:ascii="Times New Roman" w:hAnsi="Times New Roman"/>
                <w:color w:val="334155"/>
                <w:sz w:val="20"/>
              </w:rPr>
              <w:t>Explain the role of distributed file systems in big data processing.</w:t>
            </w:r>
          </w:p>
        </w:tc>
      </w:tr>
    </w:tbl>
    <w:p/>
    <w:p>
      <w:pPr>
        <w:keepNext/>
        <w:spacing w:before="280" w:after="120"/>
      </w:pPr>
      <w:r>
        <w:rPr>
          <w:rFonts w:ascii="Times New Roman" w:hAnsi="Times New Roman"/>
          <w:b/>
          <w:color w:val="008080"/>
          <w:sz w:val="25"/>
        </w:rPr>
        <w:t>1. Architectural Foundation of Distributed File Systems</w:t>
      </w:r>
    </w:p>
    <w:p>
      <w:r>
        <w:t>A Distributed File System (such as the Hadoop Distributed File System - HDFS or Google File System - GFS) transparently manages the storage of massive datasets spanning thousands of networked commodity server nodes. It presents a single unified, hierarchical directory namespace to analytical applications while executing underlying data partitioning, parallel I/O streaming, fault tolerance, and workload balancing.</w:t>
      </w:r>
    </w:p>
    <w:p>
      <w:pPr>
        <w:jc w:val="center"/>
      </w:pPr>
      <w:r>
        <w:drawing>
          <wp:inline xmlns:a="http://schemas.openxmlformats.org/drawingml/2006/main" xmlns:pic="http://schemas.openxmlformats.org/drawingml/2006/picture">
            <wp:extent cx="5943600" cy="2944536"/>
            <wp:docPr id="3" name="Picture 3"/>
            <wp:cNvGraphicFramePr>
              <a:graphicFrameLocks noChangeAspect="1"/>
            </wp:cNvGraphicFramePr>
            <a:graphic>
              <a:graphicData uri="http://schemas.openxmlformats.org/drawingml/2006/picture">
                <pic:pic>
                  <pic:nvPicPr>
                    <pic:cNvPr id="0" name="hdfs_distributed_architecture.png"/>
                    <pic:cNvPicPr/>
                  </pic:nvPicPr>
                  <pic:blipFill>
                    <a:blip r:embed="rId11"/>
                    <a:stretch>
                      <a:fillRect/>
                    </a:stretch>
                  </pic:blipFill>
                  <pic:spPr>
                    <a:xfrm>
                      <a:off x="0" y="0"/>
                      <a:ext cx="5943600" cy="2944536"/>
                    </a:xfrm>
                    <a:prstGeom prst="rect"/>
                  </pic:spPr>
                </pic:pic>
              </a:graphicData>
            </a:graphic>
          </wp:inline>
        </w:drawing>
      </w:r>
    </w:p>
    <w:p>
      <w:pPr>
        <w:spacing w:after="240"/>
        <w:jc w:val="center"/>
      </w:pPr>
      <w:r>
        <w:rPr>
          <w:rFonts w:ascii="Times New Roman" w:hAnsi="Times New Roman"/>
          <w:i/>
          <w:color w:val="475569"/>
          <w:sz w:val="19"/>
        </w:rPr>
        <w:t>Figure 4.1: Distributed File System (HDFS) Master-Worker Architecture with Ingestion Pipeline</w:t>
      </w:r>
    </w:p>
    <w:p>
      <w:pPr>
        <w:keepNext/>
        <w:spacing w:before="280" w:after="120"/>
      </w:pPr>
      <w:r>
        <w:rPr>
          <w:rFonts w:ascii="Times New Roman" w:hAnsi="Times New Roman"/>
          <w:b/>
          <w:color w:val="008080"/>
          <w:sz w:val="25"/>
        </w:rPr>
        <w:t>2. Core Operational Pillars of Distributed File Systems</w:t>
      </w:r>
    </w:p>
    <w:p>
      <w:r>
        <w:t>Distributed file systems fulfill four indispensable roles in modern big data workflows:</w:t>
        <w:br/>
        <w:br/>
        <w:t>1. Large Block Partitioning: Files are automatically split into large contiguous blocks (typically 128 MB or 256 MB in HDFS). This minimizes metadata overhead on the master coordinator and optimizes sequential read throughput for batch processing engines like MapReduce and Apache Spark.</w:t>
        <w:br/>
        <w:t>2. Rack-Aware Fault Tolerance &amp; Replication: To survive commodity hardware failures, every block is replicated across multiple physical machines (default replication factor = 3). HDFS applies a rack-aware replication placement policy: Block 1 on Local DataNode in Rack 1, Block 2 on a different DataNode in Rack 1, and Block 3 on a DataNode in a separate physical Rack 2. If an entire rack loses power, zero data loss occurs.</w:t>
        <w:br/>
        <w:t>3. Data Locality Principle: Traditional computing brings data to compute. Distributed file systems enable compute engines to schedule execution tasks directly on the physical DataNode holding the requested data block in local storage. This eliminates network bandwidth bottlenecks.</w:t>
        <w:br/>
        <w:t>4. Master-Worker Architecture: A dedicated master node (NameNode) manages cluster metadata in fast RAM (file-to-block mappings, access permissions, directory trees), while worker nodes (DataNodes) store physical block sectors and transmit periodic 3-second heartbeat signals.</w:t>
      </w:r>
    </w:p>
    <w:p>
      <w:pPr>
        <w:keepNext/>
        <w:spacing w:before="160" w:after="40"/>
      </w:pPr>
      <w:r>
        <w:rPr>
          <w:rFonts w:ascii="Times New Roman" w:hAnsi="Times New Roman"/>
          <w:b/>
          <w:color w:val="008080"/>
          <w:sz w:val="20"/>
        </w:rPr>
        <w:t>Listing 4.1: HDFS Storage Allocation &amp; Block Inspection Shell Commands</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single" w:sz="4" w:space="0" w:color="CBD5E1"/>
              <w:left w:val="single" w:sz="16" w:space="0" w:color="008080"/>
              <w:bottom w:val="single" w:sz="4" w:space="0" w:color="CBD5E1"/>
              <w:right w:val="single" w:sz="4" w:space="0" w:color="CBD5E1"/>
            </w:tcBorders>
          </w:tcPr>
          <w:p>
            <w:pPr>
              <w:spacing w:after="0" w:line="252" w:lineRule="auto"/>
            </w:pPr>
            <w:r>
              <w:rPr>
                <w:rFonts w:ascii="Consolas" w:hAnsi="Consolas"/>
                <w:color w:val="0F172A"/>
                <w:sz w:val="18"/>
              </w:rPr>
              <w:t># HDFS Command Line Examples for Big Data Engineers</w:t>
              <w:br/>
              <w:t># Upload massive dataset to distributed cluster with custom 3x replication</w:t>
              <w:br/>
              <w:t>hdfs dfs -Ddfs.replication=3 -put /local/data/web_clicks_2026.parquet /analytics/raw_lake/</w:t>
              <w:br/>
              <w:br/>
              <w:t># Inspect physical block locations and cluster health status</w:t>
              <w:br/>
              <w:t>hdfs fsck /analytics/raw_lake/web_clicks_2026.parquet -files -blocks -locations</w:t>
            </w:r>
          </w:p>
        </w:tc>
      </w:tr>
    </w:tbl>
    <w:p/>
    <w:p>
      <w:r>
        <w:br w:type="page"/>
      </w:r>
    </w:p>
    <w:p>
      <w:pPr>
        <w:keepNext/>
        <w:spacing w:before="400" w:after="160"/>
      </w:pPr>
      <w:r>
        <w:rPr>
          <w:rFonts w:ascii="Times New Roman" w:hAnsi="Times New Roman"/>
          <w:b/>
          <w:color w:val="1B365D"/>
          <w:sz w:val="30"/>
        </w:rPr>
        <w:t>QUESTION 5: Major Security Concerns &amp; Threat Vectors in Big Data Platforms</w:t>
      </w:r>
    </w:p>
    <w:tbl>
      <w:tblPr>
        <w:tblW w:type="auto" w:w="0"/>
        <w:jc w:val="center"/>
        <w:tblLook w:firstColumn="1" w:firstRow="1" w:lastColumn="0" w:lastRow="0" w:noHBand="0" w:noVBand="1" w:val="04A0"/>
      </w:tblPr>
      <w:tblGrid>
        <w:gridCol w:w="9648"/>
      </w:tblGrid>
      <w:tr>
        <w:tc>
          <w:tcPr>
            <w:tcW w:type="dxa" w:w="9648"/>
            <w:shd w:fill="FEF2F2"/>
            <w:tcMar>
              <w:top w:w="140" w:type="dxa"/>
              <w:bottom w:w="140" w:type="dxa"/>
              <w:left w:w="200" w:type="dxa"/>
              <w:right w:w="200" w:type="dxa"/>
            </w:tcMar>
            <w:tcBorders>
              <w:top w:val="none"/>
              <w:left w:val="single" w:sz="24" w:space="0" w:color="DC2626"/>
              <w:bottom w:val="none"/>
              <w:right w:val="none"/>
            </w:tcBorders>
          </w:tcPr>
          <w:p>
            <w:pPr>
              <w:spacing w:after="40"/>
            </w:pPr>
            <w:r>
              <w:rPr>
                <w:rFonts w:ascii="Times New Roman" w:hAnsi="Times New Roman"/>
                <w:b/>
                <w:color w:val="DC2626"/>
                <w:sz w:val="22"/>
              </w:rPr>
              <w:t>QUESTION 5: Three Primary Security Challenges &amp; Enterprise Mitigation Frameworks</w:t>
              <w:br/>
            </w:r>
            <w:r>
              <w:rPr>
                <w:rFonts w:ascii="Times New Roman" w:hAnsi="Times New Roman"/>
                <w:color w:val="334155"/>
                <w:sz w:val="20"/>
              </w:rPr>
              <w:t>List any three major security concerns in big data platforms and briefly explain each.</w:t>
            </w:r>
          </w:p>
        </w:tc>
      </w:tr>
    </w:tbl>
    <w:p/>
    <w:p>
      <w:pPr>
        <w:keepNext/>
        <w:spacing w:before="280" w:after="120"/>
      </w:pPr>
      <w:r>
        <w:rPr>
          <w:rFonts w:ascii="Times New Roman" w:hAnsi="Times New Roman"/>
          <w:b/>
          <w:color w:val="008080"/>
          <w:sz w:val="25"/>
        </w:rPr>
        <w:t>1. Detailed Analysis of Three Critical Security Concerns</w:t>
      </w:r>
    </w:p>
    <w:p>
      <w:pPr>
        <w:keepNext/>
        <w:spacing w:before="200" w:after="80"/>
      </w:pPr>
      <w:r>
        <w:rPr>
          <w:rFonts w:ascii="Times New Roman" w:hAnsi="Times New Roman"/>
          <w:b/>
          <w:color w:val="1E293B"/>
          <w:sz w:val="22"/>
        </w:rPr>
        <w:t>Concern 1: Distributed Authentication &amp; Cluster Perimeter Vulnerabilities</w:t>
      </w:r>
    </w:p>
    <w:p>
      <w:r>
        <w:t>Big data clusters comprise hundreds or thousands of heterogeneous nodes communicating over Remote Procedure Calls (RPC). By default, early open-source distributed frameworks trusted client identity claims without verification, exposing clusters to impersonation attacks, rogue node injection, and man-in-the-middle packet spoofing. Mitigation requires implementing Kerberos mutual authentication across all cluster nodes, services, and users, ensuring ticket-based cryptographic verification before any job execution.</w:t>
      </w:r>
    </w:p>
    <w:p>
      <w:pPr>
        <w:keepNext/>
        <w:spacing w:before="200" w:after="80"/>
      </w:pPr>
      <w:r>
        <w:rPr>
          <w:rFonts w:ascii="Times New Roman" w:hAnsi="Times New Roman"/>
          <w:b/>
          <w:color w:val="1E293B"/>
          <w:sz w:val="22"/>
        </w:rPr>
        <w:t>Concern 2: Multi-Tenant Data Lake Access Control &amp; Data Leakage</w:t>
      </w:r>
    </w:p>
    <w:p>
      <w:r>
        <w:t>Modern enterprises aggregate multi-departmental data into centralized shared data lakes. Without granular security boundaries, unauthorized internal users may access sensitive financial records or Protected Health Information (PHI). Standard POSIX file permissions are insufficient for multi-tenant analytics. Organizations must deploy centralized policy authorization engines (e.g., Apache Ranger, Apache Sentry) that enforce fine-grained Role-Based Access Control (RBAC), Attribute-Based Access Control (ABAC), dynamic column-level masking, and row-level filtering.</w:t>
      </w:r>
    </w:p>
    <w:p>
      <w:pPr>
        <w:keepNext/>
        <w:spacing w:before="200" w:after="80"/>
      </w:pPr>
      <w:r>
        <w:rPr>
          <w:rFonts w:ascii="Times New Roman" w:hAnsi="Times New Roman"/>
          <w:b/>
          <w:color w:val="1E293B"/>
          <w:sz w:val="22"/>
        </w:rPr>
        <w:t>Concern 3: Cryptographic Protection &amp; Regulatory Privacy Compliance (GDPR / HIPAA)</w:t>
      </w:r>
    </w:p>
    <w:p>
      <w:r>
        <w:t>Storing petabytes of sensitive customer records introduces immense legal and regulatory exposure under GDPR, HIPAA, and PCI-DSS. Data must be protected across two distinct states: Encryption-at-Rest (encrypting underlying HDFS/S3 storage blocks using AES-256 via Key Management Services) and Encryption-in-Transit (enforcing TLS 1.3 encryption across all inter-node data shuffling and client API calls). Furthermore, strict data lineage auditing (via Apache Atlas) is required to track data provenance and verify regulatory deletion requests.</w:t>
      </w:r>
    </w:p>
    <w:p>
      <w:pPr>
        <w:keepNext/>
        <w:spacing w:before="200" w:after="80"/>
      </w:pPr>
      <w:r>
        <w:rPr>
          <w:rFonts w:ascii="Times New Roman" w:hAnsi="Times New Roman"/>
          <w:b/>
          <w:color w:val="1E293B"/>
          <w:sz w:val="22"/>
        </w:rPr>
        <w:t>Table 5.1: Big Data Security Architecture &amp; Threat Mitigation Matrix</w:t>
      </w:r>
    </w:p>
    <w:tbl>
      <w:tblPr>
        <w:tblW w:type="auto" w:w="0"/>
        <w:jc w:val="center"/>
        <w:tblLook w:firstColumn="1" w:firstRow="1" w:lastColumn="0" w:lastRow="0" w:noHBand="0" w:noVBand="1" w:val="04A0"/>
        <w:tblBorders>
          <w:top w:val="single" w:sz="6" w:space="0" w:color="DC2626"/>
          <w:left w:val="none"/>
          <w:bottom w:val="single" w:sz="10" w:space="0" w:color="DC2626"/>
          <w:right w:val="none"/>
          <w:insideH w:val="single" w:sz="4" w:space="0" w:color="CBD5E1"/>
          <w:insideV w:val="none"/>
        </w:tblBorders>
      </w:tblPr>
      <w:tblGrid>
        <w:gridCol w:w="2412"/>
        <w:gridCol w:w="2412"/>
        <w:gridCol w:w="2412"/>
        <w:gridCol w:w="2412"/>
      </w:tblGrid>
      <w:tr>
        <w:trPr>
          <w:cantSplit/>
          <w:tblHeader/>
        </w:trPr>
        <w:tc>
          <w:tcPr>
            <w:tcW w:type="dxa" w:w="2016"/>
            <w:shd w:fill="DC2626"/>
            <w:tcMar>
              <w:top w:w="140" w:type="dxa"/>
              <w:bottom w:w="140" w:type="dxa"/>
              <w:left w:w="180" w:type="dxa"/>
              <w:right w:w="180" w:type="dxa"/>
            </w:tcMar>
          </w:tcPr>
          <w:p>
            <w:pPr>
              <w:jc w:val="left"/>
            </w:pPr>
            <w:r>
              <w:rPr>
                <w:rFonts w:ascii="Times New Roman" w:hAnsi="Times New Roman"/>
                <w:b/>
                <w:color w:val="FFFFFF"/>
                <w:sz w:val="20"/>
              </w:rPr>
              <w:t>Security Dimension</w:t>
            </w:r>
          </w:p>
        </w:tc>
        <w:tc>
          <w:tcPr>
            <w:tcW w:type="dxa" w:w="2592"/>
            <w:shd w:fill="DC2626"/>
            <w:tcMar>
              <w:top w:w="140" w:type="dxa"/>
              <w:bottom w:w="140" w:type="dxa"/>
              <w:left w:w="180" w:type="dxa"/>
              <w:right w:w="180" w:type="dxa"/>
            </w:tcMar>
          </w:tcPr>
          <w:p>
            <w:pPr>
              <w:jc w:val="left"/>
            </w:pPr>
            <w:r>
              <w:rPr>
                <w:rFonts w:ascii="Times New Roman" w:hAnsi="Times New Roman"/>
                <w:b/>
                <w:color w:val="FFFFFF"/>
                <w:sz w:val="20"/>
              </w:rPr>
              <w:t>Threat Vector / Vulnerability</w:t>
            </w:r>
          </w:p>
        </w:tc>
        <w:tc>
          <w:tcPr>
            <w:tcW w:type="dxa" w:w="2592"/>
            <w:shd w:fill="DC2626"/>
            <w:tcMar>
              <w:top w:w="140" w:type="dxa"/>
              <w:bottom w:w="140" w:type="dxa"/>
              <w:left w:w="180" w:type="dxa"/>
              <w:right w:w="180" w:type="dxa"/>
            </w:tcMar>
          </w:tcPr>
          <w:p>
            <w:pPr>
              <w:jc w:val="left"/>
            </w:pPr>
            <w:r>
              <w:rPr>
                <w:rFonts w:ascii="Times New Roman" w:hAnsi="Times New Roman"/>
                <w:b/>
                <w:color w:val="FFFFFF"/>
                <w:sz w:val="20"/>
              </w:rPr>
              <w:t>Enterprise Impact</w:t>
            </w:r>
          </w:p>
        </w:tc>
        <w:tc>
          <w:tcPr>
            <w:tcW w:type="dxa" w:w="2448"/>
            <w:shd w:fill="DC2626"/>
            <w:tcMar>
              <w:top w:w="140" w:type="dxa"/>
              <w:bottom w:w="140" w:type="dxa"/>
              <w:left w:w="180" w:type="dxa"/>
              <w:right w:w="180" w:type="dxa"/>
            </w:tcMar>
          </w:tcPr>
          <w:p>
            <w:pPr>
              <w:jc w:val="left"/>
            </w:pPr>
            <w:r>
              <w:rPr>
                <w:rFonts w:ascii="Times New Roman" w:hAnsi="Times New Roman"/>
                <w:b/>
                <w:color w:val="FFFFFF"/>
                <w:sz w:val="20"/>
              </w:rPr>
              <w:t>Mitigation Technology / Tool</w:t>
            </w:r>
          </w:p>
        </w:tc>
      </w:tr>
      <w:tr>
        <w:trPr>
          <w:cantSplit/>
        </w:trPr>
        <w:tc>
          <w:tcPr>
            <w:tcW w:type="dxa" w:w="2016"/>
            <w:shd w:fill="FFFFFF"/>
            <w:tcMar>
              <w:top w:w="100" w:type="dxa"/>
              <w:bottom w:w="100" w:type="dxa"/>
              <w:left w:w="180" w:type="dxa"/>
              <w:right w:w="180" w:type="dxa"/>
            </w:tcMar>
          </w:tcPr>
          <w:p>
            <w:r>
              <w:rPr>
                <w:rFonts w:ascii="Times New Roman" w:hAnsi="Times New Roman"/>
                <w:color w:val="1E293B"/>
                <w:sz w:val="19"/>
              </w:rPr>
              <w:t>Authentication</w:t>
            </w:r>
          </w:p>
        </w:tc>
        <w:tc>
          <w:tcPr>
            <w:tcW w:type="dxa" w:w="2592"/>
            <w:shd w:fill="FFFFFF"/>
            <w:tcMar>
              <w:top w:w="100" w:type="dxa"/>
              <w:bottom w:w="100" w:type="dxa"/>
              <w:left w:w="180" w:type="dxa"/>
              <w:right w:w="180" w:type="dxa"/>
            </w:tcMar>
          </w:tcPr>
          <w:p>
            <w:r>
              <w:rPr>
                <w:rFonts w:ascii="Times New Roman" w:hAnsi="Times New Roman"/>
                <w:color w:val="1E293B"/>
                <w:sz w:val="19"/>
              </w:rPr>
              <w:t>Node impersonation &amp; unauthenticated RPC calls.</w:t>
            </w:r>
          </w:p>
        </w:tc>
        <w:tc>
          <w:tcPr>
            <w:tcW w:type="dxa" w:w="2592"/>
            <w:shd w:fill="FFFFFF"/>
            <w:tcMar>
              <w:top w:w="100" w:type="dxa"/>
              <w:bottom w:w="100" w:type="dxa"/>
              <w:left w:w="180" w:type="dxa"/>
              <w:right w:w="180" w:type="dxa"/>
            </w:tcMar>
          </w:tcPr>
          <w:p>
            <w:r>
              <w:rPr>
                <w:rFonts w:ascii="Times New Roman" w:hAnsi="Times New Roman"/>
                <w:color w:val="1E293B"/>
                <w:sz w:val="19"/>
              </w:rPr>
              <w:t>Rogue node compromises entire cluster computation.</w:t>
            </w:r>
          </w:p>
        </w:tc>
        <w:tc>
          <w:tcPr>
            <w:tcW w:type="dxa" w:w="2448"/>
            <w:shd w:fill="FFFFFF"/>
            <w:tcMar>
              <w:top w:w="100" w:type="dxa"/>
              <w:bottom w:w="100" w:type="dxa"/>
              <w:left w:w="180" w:type="dxa"/>
              <w:right w:w="180" w:type="dxa"/>
            </w:tcMar>
          </w:tcPr>
          <w:p>
            <w:r>
              <w:rPr>
                <w:rFonts w:ascii="Times New Roman" w:hAnsi="Times New Roman"/>
                <w:color w:val="1E293B"/>
                <w:sz w:val="19"/>
              </w:rPr>
              <w:t>MIT Kerberos Mutual Authentication &amp; SPNEGO Tokens.</w:t>
            </w:r>
          </w:p>
        </w:tc>
      </w:tr>
      <w:tr>
        <w:trPr>
          <w:cantSplit/>
        </w:trPr>
        <w:tc>
          <w:tcPr>
            <w:tcW w:type="dxa" w:w="2016"/>
            <w:shd w:fill="F8FAFC"/>
            <w:tcMar>
              <w:top w:w="100" w:type="dxa"/>
              <w:bottom w:w="100" w:type="dxa"/>
              <w:left w:w="180" w:type="dxa"/>
              <w:right w:w="180" w:type="dxa"/>
            </w:tcMar>
          </w:tcPr>
          <w:p>
            <w:r>
              <w:rPr>
                <w:rFonts w:ascii="Times New Roman" w:hAnsi="Times New Roman"/>
                <w:color w:val="1E293B"/>
                <w:sz w:val="19"/>
              </w:rPr>
              <w:t>Authorization</w:t>
            </w:r>
          </w:p>
        </w:tc>
        <w:tc>
          <w:tcPr>
            <w:tcW w:type="dxa" w:w="2592"/>
            <w:shd w:fill="F8FAFC"/>
            <w:tcMar>
              <w:top w:w="100" w:type="dxa"/>
              <w:bottom w:w="100" w:type="dxa"/>
              <w:left w:w="180" w:type="dxa"/>
              <w:right w:w="180" w:type="dxa"/>
            </w:tcMar>
          </w:tcPr>
          <w:p>
            <w:r>
              <w:rPr>
                <w:rFonts w:ascii="Times New Roman" w:hAnsi="Times New Roman"/>
                <w:color w:val="1E293B"/>
                <w:sz w:val="19"/>
              </w:rPr>
              <w:t>Privilege escalation &amp; unauthorized data lake read.</w:t>
            </w:r>
          </w:p>
        </w:tc>
        <w:tc>
          <w:tcPr>
            <w:tcW w:type="dxa" w:w="2592"/>
            <w:shd w:fill="F8FAFC"/>
            <w:tcMar>
              <w:top w:w="100" w:type="dxa"/>
              <w:bottom w:w="100" w:type="dxa"/>
              <w:left w:w="180" w:type="dxa"/>
              <w:right w:w="180" w:type="dxa"/>
            </w:tcMar>
          </w:tcPr>
          <w:p>
            <w:r>
              <w:rPr>
                <w:rFonts w:ascii="Times New Roman" w:hAnsi="Times New Roman"/>
                <w:color w:val="1E293B"/>
                <w:sz w:val="19"/>
              </w:rPr>
              <w:t>Internal data leaks &amp; regulatory non-compliance fines.</w:t>
            </w:r>
          </w:p>
        </w:tc>
        <w:tc>
          <w:tcPr>
            <w:tcW w:type="dxa" w:w="2448"/>
            <w:shd w:fill="F8FAFC"/>
            <w:tcMar>
              <w:top w:w="100" w:type="dxa"/>
              <w:bottom w:w="100" w:type="dxa"/>
              <w:left w:w="180" w:type="dxa"/>
              <w:right w:w="180" w:type="dxa"/>
            </w:tcMar>
          </w:tcPr>
          <w:p>
            <w:r>
              <w:rPr>
                <w:rFonts w:ascii="Times New Roman" w:hAnsi="Times New Roman"/>
                <w:color w:val="1E293B"/>
                <w:sz w:val="19"/>
              </w:rPr>
              <w:t>Apache Ranger centralized RBAC/ABAC policy engine.</w:t>
            </w:r>
          </w:p>
        </w:tc>
      </w:tr>
      <w:tr>
        <w:trPr>
          <w:cantSplit/>
        </w:trPr>
        <w:tc>
          <w:tcPr>
            <w:tcW w:type="dxa" w:w="2016"/>
            <w:shd w:fill="FFFFFF"/>
            <w:tcMar>
              <w:top w:w="100" w:type="dxa"/>
              <w:bottom w:w="100" w:type="dxa"/>
              <w:left w:w="180" w:type="dxa"/>
              <w:right w:w="180" w:type="dxa"/>
            </w:tcMar>
          </w:tcPr>
          <w:p>
            <w:r>
              <w:rPr>
                <w:rFonts w:ascii="Times New Roman" w:hAnsi="Times New Roman"/>
                <w:color w:val="1E293B"/>
                <w:sz w:val="19"/>
              </w:rPr>
              <w:t>Data Privacy</w:t>
            </w:r>
          </w:p>
        </w:tc>
        <w:tc>
          <w:tcPr>
            <w:tcW w:type="dxa" w:w="2592"/>
            <w:shd w:fill="FFFFFF"/>
            <w:tcMar>
              <w:top w:w="100" w:type="dxa"/>
              <w:bottom w:w="100" w:type="dxa"/>
              <w:left w:w="180" w:type="dxa"/>
              <w:right w:w="180" w:type="dxa"/>
            </w:tcMar>
          </w:tcPr>
          <w:p>
            <w:r>
              <w:rPr>
                <w:rFonts w:ascii="Times New Roman" w:hAnsi="Times New Roman"/>
                <w:color w:val="1E293B"/>
                <w:sz w:val="19"/>
              </w:rPr>
              <w:t>Unencrypted storage blocks stolen or intercepted.</w:t>
            </w:r>
          </w:p>
        </w:tc>
        <w:tc>
          <w:tcPr>
            <w:tcW w:type="dxa" w:w="2592"/>
            <w:shd w:fill="FFFFFF"/>
            <w:tcMar>
              <w:top w:w="100" w:type="dxa"/>
              <w:bottom w:w="100" w:type="dxa"/>
              <w:left w:w="180" w:type="dxa"/>
              <w:right w:w="180" w:type="dxa"/>
            </w:tcMar>
          </w:tcPr>
          <w:p>
            <w:r>
              <w:rPr>
                <w:rFonts w:ascii="Times New Roman" w:hAnsi="Times New Roman"/>
                <w:color w:val="1E293B"/>
                <w:sz w:val="19"/>
              </w:rPr>
              <w:t>Massive data breach exposing PII/PHI customer assets.</w:t>
            </w:r>
          </w:p>
        </w:tc>
        <w:tc>
          <w:tcPr>
            <w:tcW w:type="dxa" w:w="2448"/>
            <w:shd w:fill="FFFFFF"/>
            <w:tcMar>
              <w:top w:w="100" w:type="dxa"/>
              <w:bottom w:w="100" w:type="dxa"/>
              <w:left w:w="180" w:type="dxa"/>
              <w:right w:w="180" w:type="dxa"/>
            </w:tcMar>
          </w:tcPr>
          <w:p>
            <w:r>
              <w:rPr>
                <w:rFonts w:ascii="Times New Roman" w:hAnsi="Times New Roman"/>
                <w:color w:val="1E293B"/>
                <w:sz w:val="19"/>
              </w:rPr>
              <w:t>AES-256 HDFS Transparent Encryption &amp; TLS 1.3.</w:t>
            </w:r>
          </w:p>
        </w:tc>
      </w:tr>
    </w:tbl>
    <w:p>
      <w:r>
        <w:br w:type="page"/>
      </w:r>
    </w:p>
    <w:p>
      <w:pPr>
        <w:keepNext/>
        <w:spacing w:before="400" w:after="160"/>
      </w:pPr>
      <w:r>
        <w:rPr>
          <w:rFonts w:ascii="Times New Roman" w:hAnsi="Times New Roman"/>
          <w:b/>
          <w:color w:val="1B365D"/>
          <w:sz w:val="30"/>
        </w:rPr>
        <w:t>QUESTION 6: Data Appliances &amp; Integration Tools in Big Data Workflows</w:t>
      </w:r>
    </w:p>
    <w:tbl>
      <w:tblPr>
        <w:tblW w:type="auto" w:w="0"/>
        <w:jc w:val="center"/>
        <w:tblLook w:firstColumn="1" w:firstRow="1" w:lastColumn="0" w:lastRow="0" w:noHBand="0" w:noVBand="1" w:val="04A0"/>
      </w:tblPr>
      <w:tblGrid>
        <w:gridCol w:w="9648"/>
      </w:tblGrid>
      <w:tr>
        <w:tc>
          <w:tcPr>
            <w:tcW w:type="dxa" w:w="9648"/>
            <w:shd w:fill="EBF8F5"/>
            <w:tcMar>
              <w:top w:w="140" w:type="dxa"/>
              <w:bottom w:w="140" w:type="dxa"/>
              <w:left w:w="200" w:type="dxa"/>
              <w:right w:w="200" w:type="dxa"/>
            </w:tcMar>
            <w:tcBorders>
              <w:top w:val="none"/>
              <w:left w:val="single" w:sz="24" w:space="0" w:color="008080"/>
              <w:bottom w:val="none"/>
              <w:right w:val="none"/>
            </w:tcBorders>
          </w:tcPr>
          <w:p>
            <w:pPr>
              <w:spacing w:after="40"/>
            </w:pPr>
            <w:r>
              <w:rPr>
                <w:rFonts w:ascii="Times New Roman" w:hAnsi="Times New Roman"/>
                <w:b/>
                <w:color w:val="008080"/>
                <w:sz w:val="22"/>
              </w:rPr>
              <w:t>QUESTION 6: Hardware-Software Appliances &amp; Data Ingestion Pipelines</w:t>
              <w:br/>
            </w:r>
            <w:r>
              <w:rPr>
                <w:rFonts w:ascii="Times New Roman" w:hAnsi="Times New Roman"/>
                <w:color w:val="334155"/>
                <w:sz w:val="20"/>
              </w:rPr>
              <w:t>What are data appliances and integration tools? Explain their role in big data workflows.</w:t>
            </w:r>
          </w:p>
        </w:tc>
      </w:tr>
    </w:tbl>
    <w:p/>
    <w:p>
      <w:pPr>
        <w:keepNext/>
        <w:spacing w:before="280" w:after="120"/>
      </w:pPr>
      <w:r>
        <w:rPr>
          <w:rFonts w:ascii="Times New Roman" w:hAnsi="Times New Roman"/>
          <w:b/>
          <w:color w:val="008080"/>
          <w:sz w:val="25"/>
        </w:rPr>
        <w:t>1. Concept of Data Appliances</w:t>
      </w:r>
    </w:p>
    <w:p>
      <w:r>
        <w:t>A Data Appliance is a pre-configured, purpose-built turnkey computing system that bundles enterprise-grade processing hardware, high-speed networking fabrics (InfiniBand/100GbE), dedicated disk storage arrays, and optimized big data software stacks into a single plug-and-play rack unit. Examples include the Oracle Big Data Appliance, IBM PureData (Netezza), and Teradata Active Enterprise Data Warehouse. Their role is to provide maximum out-of-the-box analytical query throughput, eliminate hardware-software integration overhead, and deliver guaranteed enterprise service-level agreements (SLAs).</w:t>
      </w:r>
    </w:p>
    <w:p>
      <w:pPr>
        <w:keepNext/>
        <w:spacing w:before="280" w:after="120"/>
      </w:pPr>
      <w:r>
        <w:rPr>
          <w:rFonts w:ascii="Times New Roman" w:hAnsi="Times New Roman"/>
          <w:b/>
          <w:color w:val="008080"/>
          <w:sz w:val="25"/>
        </w:rPr>
        <w:t>2. Concept of Data Integration Tools</w:t>
      </w:r>
    </w:p>
    <w:p>
      <w:r>
        <w:t>Data Integration Tools are software utilities and pipeline frameworks designed to extract, transform, clean, and load (ETL/ELT) heterogeneous data from disparate operational sources into centralized big data lakes and analytics platforms. In modern workflows, integration tools operate in two distinct modes:</w:t>
        <w:br/>
        <w:t>• Batch Ingestion Tools (e.g., Apache Sqoop): Specialize in high-throughput bi-directional transfers between structured Relational Database Management Systems (Oracle, MySQL, SQL Server) and distributed storage (HDFS, Hive, HBase) using automated parallel map tasks.</w:t>
        <w:br/>
        <w:t>• Streaming &amp; Event Ingestion Tools (e.g., Apache Flume, Apache Kafka, Apache NiFi): Ingest high-velocity, continuous log feeds, IoT telemetry, and social streams in real-time, buffering events to prevent downstream analytical engine saturation.</w:t>
      </w:r>
    </w:p>
    <w:p>
      <w:pPr>
        <w:keepNext/>
        <w:spacing w:before="200" w:after="80"/>
      </w:pPr>
      <w:r>
        <w:rPr>
          <w:rFonts w:ascii="Times New Roman" w:hAnsi="Times New Roman"/>
          <w:b/>
          <w:color w:val="1E293B"/>
          <w:sz w:val="22"/>
        </w:rPr>
        <w:t>Table 6.1: Functional Role Decomposition in Enterprise Big Data Pipelines</w:t>
      </w:r>
    </w:p>
    <w:tbl>
      <w:tblPr>
        <w:tblW w:type="auto" w:w="0"/>
        <w:jc w:val="center"/>
        <w:tblLook w:firstColumn="1" w:firstRow="1" w:lastColumn="0" w:lastRow="0" w:noHBand="0" w:noVBand="1" w:val="04A0"/>
        <w:tblBorders>
          <w:top w:val="single" w:sz="6" w:space="0" w:color="008080"/>
          <w:left w:val="none"/>
          <w:bottom w:val="single" w:sz="10" w:space="0" w:color="008080"/>
          <w:right w:val="none"/>
          <w:insideH w:val="single" w:sz="4" w:space="0" w:color="CBD5E1"/>
          <w:insideV w:val="none"/>
        </w:tblBorders>
      </w:tblPr>
      <w:tblGrid>
        <w:gridCol w:w="2412"/>
        <w:gridCol w:w="2412"/>
        <w:gridCol w:w="2412"/>
        <w:gridCol w:w="2412"/>
      </w:tblGrid>
      <w:tr>
        <w:trPr>
          <w:cantSplit/>
          <w:tblHeader/>
        </w:trPr>
        <w:tc>
          <w:tcPr>
            <w:tcW w:type="dxa" w:w="2160"/>
            <w:shd w:fill="008080"/>
            <w:tcMar>
              <w:top w:w="140" w:type="dxa"/>
              <w:bottom w:w="140" w:type="dxa"/>
              <w:left w:w="180" w:type="dxa"/>
              <w:right w:w="180" w:type="dxa"/>
            </w:tcMar>
          </w:tcPr>
          <w:p>
            <w:pPr>
              <w:jc w:val="left"/>
            </w:pPr>
            <w:r>
              <w:rPr>
                <w:rFonts w:ascii="Times New Roman" w:hAnsi="Times New Roman"/>
                <w:b/>
                <w:color w:val="FFFFFF"/>
                <w:sz w:val="20"/>
              </w:rPr>
              <w:t>Pipeline Category</w:t>
            </w:r>
          </w:p>
        </w:tc>
        <w:tc>
          <w:tcPr>
            <w:tcW w:type="dxa" w:w="2448"/>
            <w:shd w:fill="008080"/>
            <w:tcMar>
              <w:top w:w="140" w:type="dxa"/>
              <w:bottom w:w="140" w:type="dxa"/>
              <w:left w:w="180" w:type="dxa"/>
              <w:right w:w="180" w:type="dxa"/>
            </w:tcMar>
          </w:tcPr>
          <w:p>
            <w:pPr>
              <w:jc w:val="left"/>
            </w:pPr>
            <w:r>
              <w:rPr>
                <w:rFonts w:ascii="Times New Roman" w:hAnsi="Times New Roman"/>
                <w:b/>
                <w:color w:val="FFFFFF"/>
                <w:sz w:val="20"/>
              </w:rPr>
              <w:t>Representative Platform</w:t>
            </w:r>
          </w:p>
        </w:tc>
        <w:tc>
          <w:tcPr>
            <w:tcW w:type="dxa" w:w="2592"/>
            <w:shd w:fill="008080"/>
            <w:tcMar>
              <w:top w:w="140" w:type="dxa"/>
              <w:bottom w:w="140" w:type="dxa"/>
              <w:left w:w="180" w:type="dxa"/>
              <w:right w:w="180" w:type="dxa"/>
            </w:tcMar>
          </w:tcPr>
          <w:p>
            <w:pPr>
              <w:jc w:val="left"/>
            </w:pPr>
            <w:r>
              <w:rPr>
                <w:rFonts w:ascii="Times New Roman" w:hAnsi="Times New Roman"/>
                <w:b/>
                <w:color w:val="FFFFFF"/>
                <w:sz w:val="20"/>
              </w:rPr>
              <w:t>Architectural Role</w:t>
            </w:r>
          </w:p>
        </w:tc>
        <w:tc>
          <w:tcPr>
            <w:tcW w:type="dxa" w:w="2448"/>
            <w:shd w:fill="008080"/>
            <w:tcMar>
              <w:top w:w="140" w:type="dxa"/>
              <w:bottom w:w="140" w:type="dxa"/>
              <w:left w:w="180" w:type="dxa"/>
              <w:right w:w="180" w:type="dxa"/>
            </w:tcMar>
          </w:tcPr>
          <w:p>
            <w:pPr>
              <w:jc w:val="left"/>
            </w:pPr>
            <w:r>
              <w:rPr>
                <w:rFonts w:ascii="Times New Roman" w:hAnsi="Times New Roman"/>
                <w:b/>
                <w:color w:val="FFFFFF"/>
                <w:sz w:val="20"/>
              </w:rPr>
              <w:t>Key Workflow Advantage</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19"/>
              </w:rPr>
              <w:t>Turnkey Hardware Data Appliance</w:t>
            </w:r>
          </w:p>
        </w:tc>
        <w:tc>
          <w:tcPr>
            <w:tcW w:type="dxa" w:w="2448"/>
            <w:shd w:fill="FFFFFF"/>
            <w:tcMar>
              <w:top w:w="100" w:type="dxa"/>
              <w:bottom w:w="100" w:type="dxa"/>
              <w:left w:w="180" w:type="dxa"/>
              <w:right w:w="180" w:type="dxa"/>
            </w:tcMar>
          </w:tcPr>
          <w:p>
            <w:r>
              <w:rPr>
                <w:rFonts w:ascii="Times New Roman" w:hAnsi="Times New Roman"/>
                <w:color w:val="1E293B"/>
                <w:sz w:val="19"/>
              </w:rPr>
              <w:t>Oracle Big Data Appliance / IBM Netezza</w:t>
            </w:r>
          </w:p>
        </w:tc>
        <w:tc>
          <w:tcPr>
            <w:tcW w:type="dxa" w:w="2592"/>
            <w:shd w:fill="FFFFFF"/>
            <w:tcMar>
              <w:top w:w="100" w:type="dxa"/>
              <w:bottom w:w="100" w:type="dxa"/>
              <w:left w:w="180" w:type="dxa"/>
              <w:right w:w="180" w:type="dxa"/>
            </w:tcMar>
          </w:tcPr>
          <w:p>
            <w:r>
              <w:rPr>
                <w:rFonts w:ascii="Times New Roman" w:hAnsi="Times New Roman"/>
                <w:color w:val="1E293B"/>
                <w:sz w:val="19"/>
              </w:rPr>
              <w:t>High-performance collocated compute and storage for complex enterprise OLAP.</w:t>
            </w:r>
          </w:p>
        </w:tc>
        <w:tc>
          <w:tcPr>
            <w:tcW w:type="dxa" w:w="2448"/>
            <w:shd w:fill="FFFFFF"/>
            <w:tcMar>
              <w:top w:w="100" w:type="dxa"/>
              <w:bottom w:w="100" w:type="dxa"/>
              <w:left w:w="180" w:type="dxa"/>
              <w:right w:w="180" w:type="dxa"/>
            </w:tcMar>
          </w:tcPr>
          <w:p>
            <w:r>
              <w:rPr>
                <w:rFonts w:ascii="Times New Roman" w:hAnsi="Times New Roman"/>
                <w:color w:val="1E293B"/>
                <w:sz w:val="19"/>
              </w:rPr>
              <w:t>Zero configuration overhead; factory-tuned massively parallel processing (MPP).</w:t>
            </w:r>
          </w:p>
        </w:tc>
      </w:tr>
      <w:tr>
        <w:trPr>
          <w:cantSplit/>
        </w:trPr>
        <w:tc>
          <w:tcPr>
            <w:tcW w:type="dxa" w:w="2160"/>
            <w:shd w:fill="F8FAFC"/>
            <w:tcMar>
              <w:top w:w="100" w:type="dxa"/>
              <w:bottom w:w="100" w:type="dxa"/>
              <w:left w:w="180" w:type="dxa"/>
              <w:right w:w="180" w:type="dxa"/>
            </w:tcMar>
          </w:tcPr>
          <w:p>
            <w:r>
              <w:rPr>
                <w:rFonts w:ascii="Times New Roman" w:hAnsi="Times New Roman"/>
                <w:color w:val="1E293B"/>
                <w:sz w:val="19"/>
              </w:rPr>
              <w:t>Batch Integration &amp; Extraction</w:t>
            </w:r>
          </w:p>
        </w:tc>
        <w:tc>
          <w:tcPr>
            <w:tcW w:type="dxa" w:w="2448"/>
            <w:shd w:fill="F8FAFC"/>
            <w:tcMar>
              <w:top w:w="100" w:type="dxa"/>
              <w:bottom w:w="100" w:type="dxa"/>
              <w:left w:w="180" w:type="dxa"/>
              <w:right w:w="180" w:type="dxa"/>
            </w:tcMar>
          </w:tcPr>
          <w:p>
            <w:r>
              <w:rPr>
                <w:rFonts w:ascii="Times New Roman" w:hAnsi="Times New Roman"/>
                <w:color w:val="1E293B"/>
                <w:sz w:val="19"/>
              </w:rPr>
              <w:t>Apache Sqoop / Talend Enterprise ETL</w:t>
            </w:r>
          </w:p>
        </w:tc>
        <w:tc>
          <w:tcPr>
            <w:tcW w:type="dxa" w:w="2592"/>
            <w:shd w:fill="F8FAFC"/>
            <w:tcMar>
              <w:top w:w="100" w:type="dxa"/>
              <w:bottom w:w="100" w:type="dxa"/>
              <w:left w:w="180" w:type="dxa"/>
              <w:right w:w="180" w:type="dxa"/>
            </w:tcMar>
          </w:tcPr>
          <w:p>
            <w:r>
              <w:rPr>
                <w:rFonts w:ascii="Times New Roman" w:hAnsi="Times New Roman"/>
                <w:color w:val="1E293B"/>
                <w:sz w:val="19"/>
              </w:rPr>
              <w:t>Bulk parallel migration of legacy relational transactional tables into HDFS lakes.</w:t>
            </w:r>
          </w:p>
        </w:tc>
        <w:tc>
          <w:tcPr>
            <w:tcW w:type="dxa" w:w="2448"/>
            <w:shd w:fill="F8FAFC"/>
            <w:tcMar>
              <w:top w:w="100" w:type="dxa"/>
              <w:bottom w:w="100" w:type="dxa"/>
              <w:left w:w="180" w:type="dxa"/>
              <w:right w:w="180" w:type="dxa"/>
            </w:tcMar>
          </w:tcPr>
          <w:p>
            <w:r>
              <w:rPr>
                <w:rFonts w:ascii="Times New Roman" w:hAnsi="Times New Roman"/>
                <w:color w:val="1E293B"/>
                <w:sz w:val="19"/>
              </w:rPr>
              <w:t>Automates JDBC data conversion and parallel chunk extraction via MapReduce.</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19"/>
              </w:rPr>
              <w:t>Real-Time Streaming Ingestion</w:t>
            </w:r>
          </w:p>
        </w:tc>
        <w:tc>
          <w:tcPr>
            <w:tcW w:type="dxa" w:w="2448"/>
            <w:shd w:fill="FFFFFF"/>
            <w:tcMar>
              <w:top w:w="100" w:type="dxa"/>
              <w:bottom w:w="100" w:type="dxa"/>
              <w:left w:w="180" w:type="dxa"/>
              <w:right w:w="180" w:type="dxa"/>
            </w:tcMar>
          </w:tcPr>
          <w:p>
            <w:r>
              <w:rPr>
                <w:rFonts w:ascii="Times New Roman" w:hAnsi="Times New Roman"/>
                <w:color w:val="1E293B"/>
                <w:sz w:val="19"/>
              </w:rPr>
              <w:t>Apache Kafka / Apache Flume / NiFi</w:t>
            </w:r>
          </w:p>
        </w:tc>
        <w:tc>
          <w:tcPr>
            <w:tcW w:type="dxa" w:w="2592"/>
            <w:shd w:fill="FFFFFF"/>
            <w:tcMar>
              <w:top w:w="100" w:type="dxa"/>
              <w:bottom w:w="100" w:type="dxa"/>
              <w:left w:w="180" w:type="dxa"/>
              <w:right w:w="180" w:type="dxa"/>
            </w:tcMar>
          </w:tcPr>
          <w:p>
            <w:r>
              <w:rPr>
                <w:rFonts w:ascii="Times New Roman" w:hAnsi="Times New Roman"/>
                <w:color w:val="1E293B"/>
                <w:sz w:val="19"/>
              </w:rPr>
              <w:t>Continuous real-time event streaming and ingestion from edge sensors and web servers.</w:t>
            </w:r>
          </w:p>
        </w:tc>
        <w:tc>
          <w:tcPr>
            <w:tcW w:type="dxa" w:w="2448"/>
            <w:shd w:fill="FFFFFF"/>
            <w:tcMar>
              <w:top w:w="100" w:type="dxa"/>
              <w:bottom w:w="100" w:type="dxa"/>
              <w:left w:w="180" w:type="dxa"/>
              <w:right w:w="180" w:type="dxa"/>
            </w:tcMar>
          </w:tcPr>
          <w:p>
            <w:r>
              <w:rPr>
                <w:rFonts w:ascii="Times New Roman" w:hAnsi="Times New Roman"/>
                <w:color w:val="1E293B"/>
                <w:sz w:val="19"/>
              </w:rPr>
              <w:t>Distributed fault-tolerant publish-subscribe message buffering with sub-second delivery.</w:t>
            </w:r>
          </w:p>
        </w:tc>
      </w:tr>
    </w:tbl>
    <w:p>
      <w:r>
        <w:br w:type="page"/>
      </w:r>
    </w:p>
    <w:p>
      <w:pPr>
        <w:keepNext/>
        <w:spacing w:before="400" w:after="160"/>
      </w:pPr>
      <w:r>
        <w:rPr>
          <w:rFonts w:ascii="Times New Roman" w:hAnsi="Times New Roman"/>
          <w:b/>
          <w:color w:val="1B365D"/>
          <w:sz w:val="30"/>
        </w:rPr>
        <w:t>QUESTION 7: Organizational Challenges in Implementing Big Data Analytics</w:t>
      </w:r>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200" w:type="dxa"/>
              <w:right w:w="200" w:type="dxa"/>
            </w:tcMar>
            <w:tcBorders>
              <w:top w:val="none"/>
              <w:left w:val="single" w:sz="24" w:space="0" w:color="D97706"/>
              <w:bottom w:val="none"/>
              <w:right w:val="none"/>
            </w:tcBorders>
          </w:tcPr>
          <w:p>
            <w:pPr>
              <w:spacing w:after="40"/>
            </w:pPr>
            <w:r>
              <w:rPr>
                <w:rFonts w:ascii="Times New Roman" w:hAnsi="Times New Roman"/>
                <w:b/>
                <w:color w:val="D97706"/>
                <w:sz w:val="22"/>
              </w:rPr>
              <w:t>QUESTION 7: Two Major Enterprise Implementation Challenges &amp; Remediation</w:t>
              <w:br/>
            </w:r>
            <w:r>
              <w:rPr>
                <w:rFonts w:ascii="Times New Roman" w:hAnsi="Times New Roman"/>
                <w:color w:val="334155"/>
                <w:sz w:val="20"/>
              </w:rPr>
              <w:t>Discuss two major challenges organizations face while implementing big data analytics.</w:t>
            </w:r>
          </w:p>
        </w:tc>
      </w:tr>
    </w:tbl>
    <w:p/>
    <w:p>
      <w:pPr>
        <w:keepNext/>
        <w:spacing w:before="280" w:after="120"/>
      </w:pPr>
      <w:r>
        <w:rPr>
          <w:rFonts w:ascii="Times New Roman" w:hAnsi="Times New Roman"/>
          <w:b/>
          <w:color w:val="008080"/>
          <w:sz w:val="25"/>
        </w:rPr>
        <w:t>1. Challenge 1: Data Silos, Heterogeneity &amp; Inconsistent Data Quality</w:t>
      </w:r>
    </w:p>
    <w:p>
      <w:r>
        <w:t>In large enterprises, data is historically fragmented across isolated departmental silos (ERP systems, legacy mainframes, CRM databases, operational spreadsheets, and third-party SaaS tools). These silos store information in incompatible formats, conflicting schemas, and varying semantic definitions (e.g., conflicting customer ID definitions between sales and billing).</w:t>
        <w:br/>
        <w:br/>
        <w:t>• The Technical Impact: When ingested into a data lake without standardization, the platform rapidly degenerates into an unusable 'data swamp'. Analytics engines produce inaccurate, conflicting reports, eroding executive trust in data-driven decision making.</w:t>
        <w:br/>
        <w:t>• Enterprise Remediation Strategy: Organizations must establish a formal Enterprise Data Governance framework, deploying automated Master Data Management (MDM) tools and data cataloging platforms (e.g., Apache Atlas, Collibra) to standardize metadata, enforce data quality validation rules, and unify customer 360-degree identities.</w:t>
      </w:r>
    </w:p>
    <w:p>
      <w:pPr>
        <w:keepNext/>
        <w:spacing w:before="280" w:after="120"/>
      </w:pPr>
      <w:r>
        <w:rPr>
          <w:rFonts w:ascii="Times New Roman" w:hAnsi="Times New Roman"/>
          <w:b/>
          <w:color w:val="008080"/>
          <w:sz w:val="25"/>
        </w:rPr>
        <w:t>2. Challenge 2: Infrastructure Cost Overruns &amp; Shortage of Specialized Talent</w:t>
      </w:r>
    </w:p>
    <w:p>
      <w:r>
        <w:t>Building and maintaining big data infrastructure requires substantial capital expenditure (CapEx) for on-premise hardware clusters or unpredictable operational expenditure (OpEx) in cloud environments due to petabyte-scale storage, data egress charges, and unoptimized distributed Spark queries.</w:t>
        <w:br/>
        <w:br/>
        <w:t>• The Technical Impact: Organizations frequently experience severe cloud bill shock when distributed queries run inefficiently across thousands of virtual instances. Compounding this challenge is the acute global shortage of skilled big data engineers, distributed systems architects, and MLOps specialists capable of optimizing distributed workloads.</w:t>
        <w:br/>
        <w:t>• Enterprise Remediation Strategy: Organizations must adopt automated FinOps (Cloud Financial Operations) practices, enforcing serverless auto-scaling policies, spot instance utilization, and S3 lifecycle storage tiering. Furthermore, adopting managed cloud platform services (e.g., AWS EMR, Databricks, Snowflake) lowers the barrier to entry by abstracting low-level cluster administration.</w:t>
      </w:r>
    </w:p>
    <w:p>
      <w:r>
        <w:br w:type="page"/>
      </w:r>
    </w:p>
    <w:p>
      <w:pPr>
        <w:keepNext/>
        <w:spacing w:before="400" w:after="160"/>
      </w:pPr>
      <w:r>
        <w:rPr>
          <w:rFonts w:ascii="Times New Roman" w:hAnsi="Times New Roman"/>
          <w:b/>
          <w:color w:val="1B365D"/>
          <w:sz w:val="30"/>
        </w:rPr>
        <w:t>QUESTION 8: Domain Application of Big Data: Healthcare &amp; Precision Oncology Analytics</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24" w:space="0" w:color="1D4ED8"/>
              <w:bottom w:val="none"/>
              <w:right w:val="none"/>
            </w:tcBorders>
          </w:tcPr>
          <w:p>
            <w:pPr>
              <w:spacing w:after="40"/>
            </w:pPr>
            <w:r>
              <w:rPr>
                <w:rFonts w:ascii="Times New Roman" w:hAnsi="Times New Roman"/>
                <w:b/>
                <w:color w:val="1D4ED8"/>
                <w:sz w:val="22"/>
              </w:rPr>
              <w:t>QUESTION 8: Comprehensive Domain Case Study: Big Data in Healthcare &amp; Precision Medicine</w:t>
              <w:br/>
            </w:r>
            <w:r>
              <w:rPr>
                <w:rFonts w:ascii="Times New Roman" w:hAnsi="Times New Roman"/>
                <w:color w:val="334155"/>
                <w:sz w:val="20"/>
              </w:rPr>
              <w:t>Write short notes on any one domain application of big data analytics.</w:t>
            </w:r>
          </w:p>
        </w:tc>
      </w:tr>
    </w:tbl>
    <w:p/>
    <w:p>
      <w:pPr>
        <w:keepNext/>
        <w:spacing w:before="280" w:after="120"/>
      </w:pPr>
      <w:r>
        <w:rPr>
          <w:rFonts w:ascii="Times New Roman" w:hAnsi="Times New Roman"/>
          <w:b/>
          <w:color w:val="008080"/>
          <w:sz w:val="25"/>
        </w:rPr>
        <w:t>1. Domain Overview: Precision Medicine &amp; Clinical Intelligence</w:t>
      </w:r>
    </w:p>
    <w:p>
      <w:r>
        <w:t>Healthcare has transformed into one of the most data-intensive industries globally. Traditional clinical medicine relied on population-average treatments and retrospective trial data. Modern Big Data Healthcare Analytics aggregates multi-modal patient datasets to deliver Precision Oncology, early disease prediction, real-time inpatient ICU monitoring, and accelerated drug discovery.</w:t>
      </w:r>
    </w:p>
    <w:p>
      <w:pPr>
        <w:keepNext/>
        <w:spacing w:before="280" w:after="120"/>
      </w:pPr>
      <w:r>
        <w:rPr>
          <w:rFonts w:ascii="Times New Roman" w:hAnsi="Times New Roman"/>
          <w:b/>
          <w:color w:val="008080"/>
          <w:sz w:val="25"/>
        </w:rPr>
        <w:t>2. Multi-Modal Clinical Ingestion Architecture</w:t>
      </w:r>
    </w:p>
    <w:p>
      <w:r>
        <w:t>A precision healthcare analytics platform ingests and correlates four disparate data streams:</w:t>
        <w:br/>
        <w:t>1. Next-Generation Genomic Sequencing (NGS): Petabytes of raw genomic sequencing data (FASTQ/BAM files) capturing patient DNA mutations and RNA expressions.</w:t>
        <w:br/>
        <w:t>2. Electronic Health Records (EHR): Longitudinal patient history, historical prescription regimens, laboratory pathology results, and vital sign logs.</w:t>
        <w:br/>
        <w:t>3. High-Resolution Medical Imaging: Unstructured radiological MRI, CT, and histopathology slides stored in standard DICOM formats.</w:t>
        <w:br/>
        <w:t>4. Continuous IoT Wearable Feeds: High-frequency telemetry (ECG heart rate variability, SpO2 blood oxygen, glucose levels) streamed via wearable monitors.</w:t>
      </w:r>
    </w:p>
    <w:p>
      <w:pPr>
        <w:keepNext/>
        <w:spacing w:before="200" w:after="80"/>
      </w:pPr>
      <w:r>
        <w:rPr>
          <w:rFonts w:ascii="Times New Roman" w:hAnsi="Times New Roman"/>
          <w:b/>
          <w:color w:val="1E293B"/>
          <w:sz w:val="22"/>
        </w:rPr>
        <w:t>Table 8.1: Measurable Clinical Impact &amp; Technological Capabilities</w:t>
      </w:r>
    </w:p>
    <w:tbl>
      <w:tblPr>
        <w:tblW w:type="auto" w:w="0"/>
        <w:jc w:val="center"/>
        <w:tblLook w:firstColumn="1" w:firstRow="1" w:lastColumn="0" w:lastRow="0" w:noHBand="0" w:noVBand="1" w:val="04A0"/>
        <w:tblBorders>
          <w:top w:val="single" w:sz="6" w:space="0" w:color="1D4ED8"/>
          <w:left w:val="none"/>
          <w:bottom w:val="single" w:sz="10" w:space="0" w:color="1D4ED8"/>
          <w:right w:val="none"/>
          <w:insideH w:val="single" w:sz="4" w:space="0" w:color="CBD5E1"/>
          <w:insideV w:val="none"/>
        </w:tblBorders>
      </w:tblPr>
      <w:tblGrid>
        <w:gridCol w:w="3216"/>
        <w:gridCol w:w="3216"/>
        <w:gridCol w:w="3216"/>
      </w:tblGrid>
      <w:tr>
        <w:trPr>
          <w:cantSplit/>
          <w:tblHeader/>
        </w:trPr>
        <w:tc>
          <w:tcPr>
            <w:tcW w:type="dxa" w:w="2592"/>
            <w:shd w:fill="1D4ED8"/>
            <w:tcMar>
              <w:top w:w="140" w:type="dxa"/>
              <w:bottom w:w="140" w:type="dxa"/>
              <w:left w:w="180" w:type="dxa"/>
              <w:right w:w="180" w:type="dxa"/>
            </w:tcMar>
          </w:tcPr>
          <w:p>
            <w:pPr>
              <w:jc w:val="left"/>
            </w:pPr>
            <w:r>
              <w:rPr>
                <w:rFonts w:ascii="Times New Roman" w:hAnsi="Times New Roman"/>
                <w:b/>
                <w:color w:val="FFFFFF"/>
                <w:sz w:val="20"/>
              </w:rPr>
              <w:t>Clinical Application Area</w:t>
            </w:r>
          </w:p>
        </w:tc>
        <w:tc>
          <w:tcPr>
            <w:tcW w:type="dxa" w:w="3456"/>
            <w:shd w:fill="1D4ED8"/>
            <w:tcMar>
              <w:top w:w="140" w:type="dxa"/>
              <w:bottom w:w="140" w:type="dxa"/>
              <w:left w:w="180" w:type="dxa"/>
              <w:right w:w="180" w:type="dxa"/>
            </w:tcMar>
          </w:tcPr>
          <w:p>
            <w:pPr>
              <w:jc w:val="left"/>
            </w:pPr>
            <w:r>
              <w:rPr>
                <w:rFonts w:ascii="Times New Roman" w:hAnsi="Times New Roman"/>
                <w:b/>
                <w:color w:val="FFFFFF"/>
                <w:sz w:val="20"/>
              </w:rPr>
              <w:t>Big Data Analytics Technology</w:t>
            </w:r>
          </w:p>
        </w:tc>
        <w:tc>
          <w:tcPr>
            <w:tcW w:type="dxa" w:w="3600"/>
            <w:shd w:fill="1D4ED8"/>
            <w:tcMar>
              <w:top w:w="140" w:type="dxa"/>
              <w:bottom w:w="140" w:type="dxa"/>
              <w:left w:w="180" w:type="dxa"/>
              <w:right w:w="180" w:type="dxa"/>
            </w:tcMar>
          </w:tcPr>
          <w:p>
            <w:pPr>
              <w:jc w:val="left"/>
            </w:pPr>
            <w:r>
              <w:rPr>
                <w:rFonts w:ascii="Times New Roman" w:hAnsi="Times New Roman"/>
                <w:b/>
                <w:color w:val="FFFFFF"/>
                <w:sz w:val="20"/>
              </w:rPr>
              <w:t>Measurable Healthcare Outcome</w:t>
            </w:r>
          </w:p>
        </w:tc>
      </w:tr>
      <w:tr>
        <w:trPr>
          <w:cantSplit/>
        </w:trPr>
        <w:tc>
          <w:tcPr>
            <w:tcW w:type="dxa" w:w="2592"/>
            <w:shd w:fill="FFFFFF"/>
            <w:tcMar>
              <w:top w:w="100" w:type="dxa"/>
              <w:bottom w:w="100" w:type="dxa"/>
              <w:left w:w="180" w:type="dxa"/>
              <w:right w:w="180" w:type="dxa"/>
            </w:tcMar>
          </w:tcPr>
          <w:p>
            <w:r>
              <w:rPr>
                <w:rFonts w:ascii="Times New Roman" w:hAnsi="Times New Roman"/>
                <w:color w:val="1E293B"/>
                <w:sz w:val="19"/>
              </w:rPr>
              <w:t>Precision Oncology &amp; Targeted Therapy</w:t>
            </w:r>
          </w:p>
        </w:tc>
        <w:tc>
          <w:tcPr>
            <w:tcW w:type="dxa" w:w="3456"/>
            <w:shd w:fill="FFFFFF"/>
            <w:tcMar>
              <w:top w:w="100" w:type="dxa"/>
              <w:bottom w:w="100" w:type="dxa"/>
              <w:left w:w="180" w:type="dxa"/>
              <w:right w:w="180" w:type="dxa"/>
            </w:tcMar>
          </w:tcPr>
          <w:p>
            <w:r>
              <w:rPr>
                <w:rFonts w:ascii="Times New Roman" w:hAnsi="Times New Roman"/>
                <w:color w:val="1E293B"/>
                <w:sz w:val="19"/>
              </w:rPr>
              <w:t>Distributed genomic alignment pipelines running on Apache Spark paired with deep learning variant classifiers.</w:t>
            </w:r>
          </w:p>
        </w:tc>
        <w:tc>
          <w:tcPr>
            <w:tcW w:type="dxa" w:w="3600"/>
            <w:shd w:fill="FFFFFF"/>
            <w:tcMar>
              <w:top w:w="100" w:type="dxa"/>
              <w:bottom w:w="100" w:type="dxa"/>
              <w:left w:w="180" w:type="dxa"/>
              <w:right w:w="180" w:type="dxa"/>
            </w:tcMar>
          </w:tcPr>
          <w:p>
            <w:r>
              <w:rPr>
                <w:rFonts w:ascii="Times New Roman" w:hAnsi="Times New Roman"/>
                <w:color w:val="1E293B"/>
                <w:sz w:val="19"/>
              </w:rPr>
              <w:t>Matches specific cancer genetic tumor mutations with targeted biological therapies, improving oncology patient survival rates by 35%.</w:t>
            </w:r>
          </w:p>
        </w:tc>
      </w:tr>
      <w:tr>
        <w:trPr>
          <w:cantSplit/>
        </w:trPr>
        <w:tc>
          <w:tcPr>
            <w:tcW w:type="dxa" w:w="2592"/>
            <w:shd w:fill="F8FAFC"/>
            <w:tcMar>
              <w:top w:w="100" w:type="dxa"/>
              <w:bottom w:w="100" w:type="dxa"/>
              <w:left w:w="180" w:type="dxa"/>
              <w:right w:w="180" w:type="dxa"/>
            </w:tcMar>
          </w:tcPr>
          <w:p>
            <w:r>
              <w:rPr>
                <w:rFonts w:ascii="Times New Roman" w:hAnsi="Times New Roman"/>
                <w:color w:val="1E293B"/>
                <w:sz w:val="19"/>
              </w:rPr>
              <w:t>Real-Time ICU Sepsis Early Warning</w:t>
            </w:r>
          </w:p>
        </w:tc>
        <w:tc>
          <w:tcPr>
            <w:tcW w:type="dxa" w:w="3456"/>
            <w:shd w:fill="F8FAFC"/>
            <w:tcMar>
              <w:top w:w="100" w:type="dxa"/>
              <w:bottom w:w="100" w:type="dxa"/>
              <w:left w:w="180" w:type="dxa"/>
              <w:right w:w="180" w:type="dxa"/>
            </w:tcMar>
          </w:tcPr>
          <w:p>
            <w:r>
              <w:rPr>
                <w:rFonts w:ascii="Times New Roman" w:hAnsi="Times New Roman"/>
                <w:color w:val="1E293B"/>
                <w:sz w:val="19"/>
              </w:rPr>
              <w:t>Streaming analytics (Apache Flink/Kafka) analyzing 50 vital signs per second per patient bed.</w:t>
            </w:r>
          </w:p>
        </w:tc>
        <w:tc>
          <w:tcPr>
            <w:tcW w:type="dxa" w:w="3600"/>
            <w:shd w:fill="F8FAFC"/>
            <w:tcMar>
              <w:top w:w="100" w:type="dxa"/>
              <w:bottom w:w="100" w:type="dxa"/>
              <w:left w:w="180" w:type="dxa"/>
              <w:right w:w="180" w:type="dxa"/>
            </w:tcMar>
          </w:tcPr>
          <w:p>
            <w:r>
              <w:rPr>
                <w:rFonts w:ascii="Times New Roman" w:hAnsi="Times New Roman"/>
                <w:color w:val="1E293B"/>
                <w:sz w:val="19"/>
              </w:rPr>
              <w:t>Detects life-threatening sepsis onset 6 to 12 hours before clinical manifestation, reducing ICU mortality rates by 22%.</w:t>
            </w:r>
          </w:p>
        </w:tc>
      </w:tr>
      <w:tr>
        <w:trPr>
          <w:cantSplit/>
        </w:trPr>
        <w:tc>
          <w:tcPr>
            <w:tcW w:type="dxa" w:w="2592"/>
            <w:shd w:fill="FFFFFF"/>
            <w:tcMar>
              <w:top w:w="100" w:type="dxa"/>
              <w:bottom w:w="100" w:type="dxa"/>
              <w:left w:w="180" w:type="dxa"/>
              <w:right w:w="180" w:type="dxa"/>
            </w:tcMar>
          </w:tcPr>
          <w:p>
            <w:r>
              <w:rPr>
                <w:rFonts w:ascii="Times New Roman" w:hAnsi="Times New Roman"/>
                <w:color w:val="1E293B"/>
                <w:sz w:val="19"/>
              </w:rPr>
              <w:t>Radiological AI Tumor Detection</w:t>
            </w:r>
          </w:p>
        </w:tc>
        <w:tc>
          <w:tcPr>
            <w:tcW w:type="dxa" w:w="3456"/>
            <w:shd w:fill="FFFFFF"/>
            <w:tcMar>
              <w:top w:w="100" w:type="dxa"/>
              <w:bottom w:w="100" w:type="dxa"/>
              <w:left w:w="180" w:type="dxa"/>
              <w:right w:w="180" w:type="dxa"/>
            </w:tcMar>
          </w:tcPr>
          <w:p>
            <w:r>
              <w:rPr>
                <w:rFonts w:ascii="Times New Roman" w:hAnsi="Times New Roman"/>
                <w:color w:val="1E293B"/>
                <w:sz w:val="19"/>
              </w:rPr>
              <w:t>Convolutional Neural Networks (CNNs) trained on petabyte-scale distributed PACS medical imaging data lakes.</w:t>
            </w:r>
          </w:p>
        </w:tc>
        <w:tc>
          <w:tcPr>
            <w:tcW w:type="dxa" w:w="3600"/>
            <w:shd w:fill="FFFFFF"/>
            <w:tcMar>
              <w:top w:w="100" w:type="dxa"/>
              <w:bottom w:w="100" w:type="dxa"/>
              <w:left w:w="180" w:type="dxa"/>
              <w:right w:w="180" w:type="dxa"/>
            </w:tcMar>
          </w:tcPr>
          <w:p>
            <w:r>
              <w:rPr>
                <w:rFonts w:ascii="Times New Roman" w:hAnsi="Times New Roman"/>
                <w:color w:val="1E293B"/>
                <w:sz w:val="19"/>
              </w:rPr>
              <w:t>Automates lung and breast nodule detection with 98.4% diagnostic accuracy, accelerating radiologist triage turnaround by 40%.</w:t>
            </w:r>
          </w:p>
        </w:tc>
      </w:tr>
    </w:tbl>
    <w:p>
      <w:r>
        <w:br w:type="page"/>
      </w:r>
    </w:p>
    <w:p>
      <w:pPr>
        <w:keepNext/>
        <w:spacing w:before="400" w:after="160"/>
      </w:pPr>
      <w:r>
        <w:rPr>
          <w:rFonts w:ascii="Times New Roman" w:hAnsi="Times New Roman"/>
          <w:b/>
          <w:color w:val="1B365D"/>
          <w:sz w:val="30"/>
        </w:rPr>
        <w:t>QUESTION 9: Influence of Strategic Business Drivers on Big Data Adoption</w:t>
      </w:r>
    </w:p>
    <w:tbl>
      <w:tblPr>
        <w:tblW w:type="auto" w:w="0"/>
        <w:jc w:val="center"/>
        <w:tblLook w:firstColumn="1" w:firstRow="1" w:lastColumn="0" w:lastRow="0" w:noHBand="0" w:noVBand="1" w:val="04A0"/>
      </w:tblPr>
      <w:tblGrid>
        <w:gridCol w:w="9648"/>
      </w:tblGrid>
      <w:tr>
        <w:tc>
          <w:tcPr>
            <w:tcW w:type="dxa" w:w="9648"/>
            <w:shd w:fill="ECFDF5"/>
            <w:tcMar>
              <w:top w:w="140" w:type="dxa"/>
              <w:bottom w:w="140" w:type="dxa"/>
              <w:left w:w="200" w:type="dxa"/>
              <w:right w:w="200" w:type="dxa"/>
            </w:tcMar>
            <w:tcBorders>
              <w:top w:val="none"/>
              <w:left w:val="single" w:sz="24" w:space="0" w:color="059669"/>
              <w:bottom w:val="none"/>
              <w:right w:val="none"/>
            </w:tcBorders>
          </w:tcPr>
          <w:p>
            <w:pPr>
              <w:spacing w:after="40"/>
            </w:pPr>
            <w:r>
              <w:rPr>
                <w:rFonts w:ascii="Times New Roman" w:hAnsi="Times New Roman"/>
                <w:b/>
                <w:color w:val="059669"/>
                <w:sz w:val="22"/>
              </w:rPr>
              <w:t>QUESTION 9: Strategic Commercial Drivers Accelerating Big Data Infrastructure</w:t>
              <w:br/>
            </w:r>
            <w:r>
              <w:rPr>
                <w:rFonts w:ascii="Times New Roman" w:hAnsi="Times New Roman"/>
                <w:color w:val="334155"/>
                <w:sz w:val="20"/>
              </w:rPr>
              <w:t>How do business drivers influence the adoption of big data solutions?</w:t>
            </w:r>
          </w:p>
        </w:tc>
      </w:tr>
    </w:tbl>
    <w:p/>
    <w:p>
      <w:pPr>
        <w:keepNext/>
        <w:spacing w:before="280" w:after="120"/>
      </w:pPr>
      <w:r>
        <w:rPr>
          <w:rFonts w:ascii="Times New Roman" w:hAnsi="Times New Roman"/>
          <w:b/>
          <w:color w:val="008080"/>
          <w:sz w:val="25"/>
        </w:rPr>
        <w:t>1. Business Drivers as Catalysts for Big Data Transformation</w:t>
      </w:r>
    </w:p>
    <w:p>
      <w:r>
        <w:t>Big data adoption is rarely driven by technology alone; it is propelled by core commercial imperatives and competitive market pressures. Enterprises adopt big data solutions to transition from reactive operational models to proactive, predictive market leaders across four strategic business drivers:</w:t>
      </w:r>
    </w:p>
    <w:p>
      <w:pPr>
        <w:keepNext/>
        <w:spacing w:before="200" w:after="80"/>
      </w:pPr>
      <w:r>
        <w:rPr>
          <w:rFonts w:ascii="Times New Roman" w:hAnsi="Times New Roman"/>
          <w:b/>
          <w:color w:val="1E293B"/>
          <w:sz w:val="22"/>
        </w:rPr>
        <w:t>Table 9.1: Strategic Business Driver Mapping &amp; Commercial ROI</w:t>
      </w:r>
    </w:p>
    <w:tbl>
      <w:tblPr>
        <w:tblW w:type="auto" w:w="0"/>
        <w:jc w:val="center"/>
        <w:tblLook w:firstColumn="1" w:firstRow="1" w:lastColumn="0" w:lastRow="0" w:noHBand="0" w:noVBand="1" w:val="04A0"/>
        <w:tblBorders>
          <w:top w:val="single" w:sz="6" w:space="0" w:color="059669"/>
          <w:left w:val="none"/>
          <w:bottom w:val="single" w:sz="10" w:space="0" w:color="059669"/>
          <w:right w:val="none"/>
          <w:insideH w:val="single" w:sz="4" w:space="0" w:color="CBD5E1"/>
          <w:insideV w:val="none"/>
        </w:tblBorders>
      </w:tblPr>
      <w:tblGrid>
        <w:gridCol w:w="3216"/>
        <w:gridCol w:w="3216"/>
        <w:gridCol w:w="3216"/>
      </w:tblGrid>
      <w:tr>
        <w:trPr>
          <w:cantSplit/>
          <w:tblHeader/>
        </w:trPr>
        <w:tc>
          <w:tcPr>
            <w:tcW w:type="dxa" w:w="2592"/>
            <w:shd w:fill="059669"/>
            <w:tcMar>
              <w:top w:w="140" w:type="dxa"/>
              <w:bottom w:w="140" w:type="dxa"/>
              <w:left w:w="180" w:type="dxa"/>
              <w:right w:w="180" w:type="dxa"/>
            </w:tcMar>
          </w:tcPr>
          <w:p>
            <w:pPr>
              <w:jc w:val="left"/>
            </w:pPr>
            <w:r>
              <w:rPr>
                <w:rFonts w:ascii="Times New Roman" w:hAnsi="Times New Roman"/>
                <w:b/>
                <w:color w:val="FFFFFF"/>
                <w:sz w:val="20"/>
              </w:rPr>
              <w:t>Core Business Driver</w:t>
            </w:r>
          </w:p>
        </w:tc>
        <w:tc>
          <w:tcPr>
            <w:tcW w:type="dxa" w:w="3312"/>
            <w:shd w:fill="059669"/>
            <w:tcMar>
              <w:top w:w="140" w:type="dxa"/>
              <w:bottom w:w="140" w:type="dxa"/>
              <w:left w:w="180" w:type="dxa"/>
              <w:right w:w="180" w:type="dxa"/>
            </w:tcMar>
          </w:tcPr>
          <w:p>
            <w:pPr>
              <w:jc w:val="left"/>
            </w:pPr>
            <w:r>
              <w:rPr>
                <w:rFonts w:ascii="Times New Roman" w:hAnsi="Times New Roman"/>
                <w:b/>
                <w:color w:val="FFFFFF"/>
                <w:sz w:val="20"/>
              </w:rPr>
              <w:t>Commercial Imperative &amp; Market Pressure</w:t>
            </w:r>
          </w:p>
        </w:tc>
        <w:tc>
          <w:tcPr>
            <w:tcW w:type="dxa" w:w="3744"/>
            <w:shd w:fill="059669"/>
            <w:tcMar>
              <w:top w:w="140" w:type="dxa"/>
              <w:bottom w:w="140" w:type="dxa"/>
              <w:left w:w="180" w:type="dxa"/>
              <w:right w:w="180" w:type="dxa"/>
            </w:tcMar>
          </w:tcPr>
          <w:p>
            <w:pPr>
              <w:jc w:val="left"/>
            </w:pPr>
            <w:r>
              <w:rPr>
                <w:rFonts w:ascii="Times New Roman" w:hAnsi="Times New Roman"/>
                <w:b/>
                <w:color w:val="FFFFFF"/>
                <w:sz w:val="20"/>
              </w:rPr>
              <w:t>Big Data Solution &amp; Resulting Enterprise ROI</w:t>
            </w:r>
          </w:p>
        </w:tc>
      </w:tr>
      <w:tr>
        <w:trPr>
          <w:cantSplit/>
        </w:trPr>
        <w:tc>
          <w:tcPr>
            <w:tcW w:type="dxa" w:w="2592"/>
            <w:shd w:fill="FFFFFF"/>
            <w:tcMar>
              <w:top w:w="100" w:type="dxa"/>
              <w:bottom w:w="100" w:type="dxa"/>
              <w:left w:w="180" w:type="dxa"/>
              <w:right w:w="180" w:type="dxa"/>
            </w:tcMar>
          </w:tcPr>
          <w:p>
            <w:r>
              <w:rPr>
                <w:rFonts w:ascii="Times New Roman" w:hAnsi="Times New Roman"/>
                <w:color w:val="1E293B"/>
                <w:sz w:val="19"/>
              </w:rPr>
              <w:t>Hyper-Personalization &amp; Customer Lifetime Value (CLV)</w:t>
            </w:r>
          </w:p>
        </w:tc>
        <w:tc>
          <w:tcPr>
            <w:tcW w:type="dxa" w:w="3312"/>
            <w:shd w:fill="FFFFFF"/>
            <w:tcMar>
              <w:top w:w="100" w:type="dxa"/>
              <w:bottom w:w="100" w:type="dxa"/>
              <w:left w:w="180" w:type="dxa"/>
              <w:right w:w="180" w:type="dxa"/>
            </w:tcMar>
          </w:tcPr>
          <w:p>
            <w:r>
              <w:rPr>
                <w:rFonts w:ascii="Times New Roman" w:hAnsi="Times New Roman"/>
                <w:color w:val="1E293B"/>
                <w:sz w:val="19"/>
              </w:rPr>
              <w:t>Consumers demand context-aware, individualized product recommendations and instant support across omni-channel touchpoints.</w:t>
            </w:r>
          </w:p>
        </w:tc>
        <w:tc>
          <w:tcPr>
            <w:tcW w:type="dxa" w:w="3744"/>
            <w:shd w:fill="FFFFFF"/>
            <w:tcMar>
              <w:top w:w="100" w:type="dxa"/>
              <w:bottom w:w="100" w:type="dxa"/>
              <w:left w:w="180" w:type="dxa"/>
              <w:right w:w="180" w:type="dxa"/>
            </w:tcMar>
          </w:tcPr>
          <w:p>
            <w:r>
              <w:rPr>
                <w:rFonts w:ascii="Times New Roman" w:hAnsi="Times New Roman"/>
                <w:color w:val="1E293B"/>
                <w:sz w:val="19"/>
              </w:rPr>
              <w:t>Deploying real-time recommendation engines (e.g., Netflix, Amazon) analyzing clickstreams and purchase history increases sales conversions by 20–30% and curbs customer churn.</w:t>
            </w:r>
          </w:p>
        </w:tc>
      </w:tr>
      <w:tr>
        <w:trPr>
          <w:cantSplit/>
        </w:trPr>
        <w:tc>
          <w:tcPr>
            <w:tcW w:type="dxa" w:w="2592"/>
            <w:shd w:fill="F8FAFC"/>
            <w:tcMar>
              <w:top w:w="100" w:type="dxa"/>
              <w:bottom w:w="100" w:type="dxa"/>
              <w:left w:w="180" w:type="dxa"/>
              <w:right w:w="180" w:type="dxa"/>
            </w:tcMar>
          </w:tcPr>
          <w:p>
            <w:r>
              <w:rPr>
                <w:rFonts w:ascii="Times New Roman" w:hAnsi="Times New Roman"/>
                <w:color w:val="1E293B"/>
                <w:sz w:val="19"/>
              </w:rPr>
              <w:t>Operational Optimization &amp; Asset Predictive Maintenance</w:t>
            </w:r>
          </w:p>
        </w:tc>
        <w:tc>
          <w:tcPr>
            <w:tcW w:type="dxa" w:w="3312"/>
            <w:shd w:fill="F8FAFC"/>
            <w:tcMar>
              <w:top w:w="100" w:type="dxa"/>
              <w:bottom w:w="100" w:type="dxa"/>
              <w:left w:w="180" w:type="dxa"/>
              <w:right w:w="180" w:type="dxa"/>
            </w:tcMar>
          </w:tcPr>
          <w:p>
            <w:r>
              <w:rPr>
                <w:rFonts w:ascii="Times New Roman" w:hAnsi="Times New Roman"/>
                <w:color w:val="1E293B"/>
                <w:sz w:val="19"/>
              </w:rPr>
              <w:t>Unplanned industrial machinery downtime causes millions of dollars in production losses across manufacturing and aviation sectors.</w:t>
            </w:r>
          </w:p>
        </w:tc>
        <w:tc>
          <w:tcPr>
            <w:tcW w:type="dxa" w:w="3744"/>
            <w:shd w:fill="F8FAFC"/>
            <w:tcMar>
              <w:top w:w="100" w:type="dxa"/>
              <w:bottom w:w="100" w:type="dxa"/>
              <w:left w:w="180" w:type="dxa"/>
              <w:right w:w="180" w:type="dxa"/>
            </w:tcMar>
          </w:tcPr>
          <w:p>
            <w:r>
              <w:rPr>
                <w:rFonts w:ascii="Times New Roman" w:hAnsi="Times New Roman"/>
                <w:color w:val="1E293B"/>
                <w:sz w:val="19"/>
              </w:rPr>
              <w:t>Ingesting continuous vibration, thermal, and acoustic IoT sensor feeds allows predictive maintenance models to schedule servicing before mechanical failure, cutting maintenance costs by 25%.</w:t>
            </w:r>
          </w:p>
        </w:tc>
      </w:tr>
      <w:tr>
        <w:trPr>
          <w:cantSplit/>
        </w:trPr>
        <w:tc>
          <w:tcPr>
            <w:tcW w:type="dxa" w:w="2592"/>
            <w:shd w:fill="FFFFFF"/>
            <w:tcMar>
              <w:top w:w="100" w:type="dxa"/>
              <w:bottom w:w="100" w:type="dxa"/>
              <w:left w:w="180" w:type="dxa"/>
              <w:right w:w="180" w:type="dxa"/>
            </w:tcMar>
          </w:tcPr>
          <w:p>
            <w:r>
              <w:rPr>
                <w:rFonts w:ascii="Times New Roman" w:hAnsi="Times New Roman"/>
                <w:color w:val="1E293B"/>
                <w:sz w:val="19"/>
              </w:rPr>
              <w:t>Real-Time Fraud Prevention &amp; Regulatory Compliance</w:t>
            </w:r>
          </w:p>
        </w:tc>
        <w:tc>
          <w:tcPr>
            <w:tcW w:type="dxa" w:w="3312"/>
            <w:shd w:fill="FFFFFF"/>
            <w:tcMar>
              <w:top w:w="100" w:type="dxa"/>
              <w:bottom w:w="100" w:type="dxa"/>
              <w:left w:w="180" w:type="dxa"/>
              <w:right w:w="180" w:type="dxa"/>
            </w:tcMar>
          </w:tcPr>
          <w:p>
            <w:r>
              <w:rPr>
                <w:rFonts w:ascii="Times New Roman" w:hAnsi="Times New Roman"/>
                <w:color w:val="1E293B"/>
                <w:sz w:val="19"/>
              </w:rPr>
              <w:t>Financial cybercrime and sophisticated identity fraud attacks occur in milliseconds across global digital banking portals.</w:t>
            </w:r>
          </w:p>
        </w:tc>
        <w:tc>
          <w:tcPr>
            <w:tcW w:type="dxa" w:w="3744"/>
            <w:shd w:fill="FFFFFF"/>
            <w:tcMar>
              <w:top w:w="100" w:type="dxa"/>
              <w:bottom w:w="100" w:type="dxa"/>
              <w:left w:w="180" w:type="dxa"/>
              <w:right w:w="180" w:type="dxa"/>
            </w:tcMar>
          </w:tcPr>
          <w:p>
            <w:r>
              <w:rPr>
                <w:rFonts w:ascii="Times New Roman" w:hAnsi="Times New Roman"/>
                <w:color w:val="1E293B"/>
                <w:sz w:val="19"/>
              </w:rPr>
              <w:t>Deploying distributed streaming graph databases and ML anomaly detection intercepts fraudulent wire transfers in under 50 milliseconds, saving financial institutions billions annually.</w:t>
            </w:r>
          </w:p>
        </w:tc>
      </w:tr>
      <w:tr>
        <w:trPr>
          <w:cantSplit/>
        </w:trPr>
        <w:tc>
          <w:tcPr>
            <w:tcW w:type="dxa" w:w="2592"/>
            <w:shd w:fill="F8FAFC"/>
            <w:tcMar>
              <w:top w:w="100" w:type="dxa"/>
              <w:bottom w:w="100" w:type="dxa"/>
              <w:left w:w="180" w:type="dxa"/>
              <w:right w:w="180" w:type="dxa"/>
            </w:tcMar>
          </w:tcPr>
          <w:p>
            <w:r>
              <w:rPr>
                <w:rFonts w:ascii="Times New Roman" w:hAnsi="Times New Roman"/>
                <w:color w:val="1E293B"/>
                <w:sz w:val="19"/>
              </w:rPr>
              <w:t>Data Monetization &amp; Data-as-a-Service (DaaS)</w:t>
            </w:r>
          </w:p>
        </w:tc>
        <w:tc>
          <w:tcPr>
            <w:tcW w:type="dxa" w:w="3312"/>
            <w:shd w:fill="F8FAFC"/>
            <w:tcMar>
              <w:top w:w="100" w:type="dxa"/>
              <w:bottom w:w="100" w:type="dxa"/>
              <w:left w:w="180" w:type="dxa"/>
              <w:right w:w="180" w:type="dxa"/>
            </w:tcMar>
          </w:tcPr>
          <w:p>
            <w:r>
              <w:rPr>
                <w:rFonts w:ascii="Times New Roman" w:hAnsi="Times New Roman"/>
                <w:color w:val="1E293B"/>
                <w:sz w:val="19"/>
              </w:rPr>
              <w:t>Organizations recognize that proprietary operational data assets can be packaged into high-margin commercial data products.</w:t>
            </w:r>
          </w:p>
        </w:tc>
        <w:tc>
          <w:tcPr>
            <w:tcW w:type="dxa" w:w="3744"/>
            <w:shd w:fill="F8FAFC"/>
            <w:tcMar>
              <w:top w:w="100" w:type="dxa"/>
              <w:bottom w:w="100" w:type="dxa"/>
              <w:left w:w="180" w:type="dxa"/>
              <w:right w:w="180" w:type="dxa"/>
            </w:tcMar>
          </w:tcPr>
          <w:p>
            <w:r>
              <w:rPr>
                <w:rFonts w:ascii="Times New Roman" w:hAnsi="Times New Roman"/>
                <w:color w:val="1E293B"/>
                <w:sz w:val="19"/>
              </w:rPr>
              <w:t>Telecom operators and logistics providers aggregate and anonymize urban mobility data, selling foot-traffic intelligence to retail planning enterprises for new recurring revenue streams.</w:t>
            </w:r>
          </w:p>
        </w:tc>
      </w:tr>
    </w:tbl>
    <w:p>
      <w:r>
        <w:br w:type="page"/>
      </w:r>
    </w:p>
    <w:p>
      <w:pPr>
        <w:keepNext/>
        <w:spacing w:before="400" w:after="160"/>
      </w:pPr>
      <w:r>
        <w:rPr>
          <w:rFonts w:ascii="Times New Roman" w:hAnsi="Times New Roman"/>
          <w:b/>
          <w:color w:val="1B365D"/>
          <w:sz w:val="30"/>
        </w:rPr>
        <w:t>QUESTION 10: Importance of Big Data Analytics in Modern Decision Making</w:t>
      </w:r>
    </w:p>
    <w:tbl>
      <w:tblPr>
        <w:tblW w:type="auto" w:w="0"/>
        <w:jc w:val="center"/>
        <w:tblLook w:firstColumn="1" w:firstRow="1" w:lastColumn="0" w:lastRow="0" w:noHBand="0" w:noVBand="1" w:val="04A0"/>
      </w:tblPr>
      <w:tblGrid>
        <w:gridCol w:w="9648"/>
      </w:tblGrid>
      <w:tr>
        <w:tc>
          <w:tcPr>
            <w:tcW w:type="dxa" w:w="9648"/>
            <w:shd w:fill="F3E8FF"/>
            <w:tcMar>
              <w:top w:w="140" w:type="dxa"/>
              <w:bottom w:w="140" w:type="dxa"/>
              <w:left w:w="200" w:type="dxa"/>
              <w:right w:w="200" w:type="dxa"/>
            </w:tcMar>
            <w:tcBorders>
              <w:top w:val="none"/>
              <w:left w:val="single" w:sz="24" w:space="0" w:color="7C3AED"/>
              <w:bottom w:val="none"/>
              <w:right w:val="none"/>
            </w:tcBorders>
          </w:tcPr>
          <w:p>
            <w:pPr>
              <w:spacing w:after="40"/>
            </w:pPr>
            <w:r>
              <w:rPr>
                <w:rFonts w:ascii="Times New Roman" w:hAnsi="Times New Roman"/>
                <w:b/>
                <w:color w:val="7C3AED"/>
                <w:sz w:val="22"/>
              </w:rPr>
              <w:t>QUESTION 10: Evolution of Decision Science: Heuristics to Prescriptive Automation</w:t>
              <w:br/>
            </w:r>
            <w:r>
              <w:rPr>
                <w:rFonts w:ascii="Times New Roman" w:hAnsi="Times New Roman"/>
                <w:color w:val="334155"/>
                <w:sz w:val="20"/>
              </w:rPr>
              <w:t>Explain the importance of big data analytics in decision making.</w:t>
            </w:r>
          </w:p>
        </w:tc>
      </w:tr>
    </w:tbl>
    <w:p/>
    <w:p>
      <w:pPr>
        <w:keepNext/>
        <w:spacing w:before="280" w:after="120"/>
      </w:pPr>
      <w:r>
        <w:rPr>
          <w:rFonts w:ascii="Times New Roman" w:hAnsi="Times New Roman"/>
          <w:b/>
          <w:color w:val="008080"/>
          <w:sz w:val="25"/>
        </w:rPr>
        <w:t>1. The Paradigm Shift in Decision Science</w:t>
      </w:r>
    </w:p>
    <w:p>
      <w:r>
        <w:t>Historically, corporate executive decision making relied heavily on 'HiPPO' (Highest Paid Person's Opinion), subjective intuition, historical gut feeling, and static quarterly retrospective reports. Big Data Analytics fundamentally transforms this paradigm by establishing an Evidence-Based Decision-Making framework powered by statistical rigor, machine learning models, and real-time operational feedback loops.</w:t>
      </w:r>
    </w:p>
    <w:p>
      <w:pPr>
        <w:keepNext/>
        <w:spacing w:before="280" w:after="120"/>
      </w:pPr>
      <w:r>
        <w:rPr>
          <w:rFonts w:ascii="Times New Roman" w:hAnsi="Times New Roman"/>
          <w:b/>
          <w:color w:val="008080"/>
          <w:sz w:val="25"/>
        </w:rPr>
        <w:t>2. The Four-Tier Analytics Decision Maturity Model</w:t>
      </w:r>
    </w:p>
    <w:p>
      <w:r>
        <w:t>Big data analytics enhances decision making across four progressive maturity levels:</w:t>
        <w:br/>
        <w:t>1. Descriptive Analytics (What happened?): Aggregates historical multi-terabyte datasets into real-time interactive business intelligence dashboards (Tableau, PowerBI), providing total operational transparency.</w:t>
        <w:br/>
        <w:t>2. Diagnostic Analytics (Why did it happen?): Employs drill-down queries, correlation matrices, and root-cause analysis across distributed log files to identify exact failure points or revenue bottlenecks.</w:t>
        <w:br/>
        <w:t>3. Predictive Analytics (What will happen?): Utilizes statistical regression, time-series forecasting, and machine learning models trained on historical big data to forecast customer demand, market volatility, and supply chain disruptions.</w:t>
        <w:br/>
        <w:t>4. Prescriptive Analytics (How can we make it happen / optimize outcome?): Employs complex optimization algorithms, reinforcement learning, and simulation models to recommend the optimal commercial decision automatically (e.g., dynamic surge pricing in Uber/Lyft or automated algorithmic stock trading).</w:t>
      </w:r>
    </w:p>
    <w:p>
      <w:pPr>
        <w:keepNext/>
        <w:spacing w:before="200" w:after="80"/>
      </w:pPr>
      <w:r>
        <w:rPr>
          <w:rFonts w:ascii="Times New Roman" w:hAnsi="Times New Roman"/>
          <w:b/>
          <w:color w:val="1E293B"/>
          <w:sz w:val="22"/>
        </w:rPr>
        <w:t>Table 10.1: Decision-Making Transformation: Traditional Intuition vs. Big Data Science</w:t>
      </w:r>
    </w:p>
    <w:tbl>
      <w:tblPr>
        <w:tblW w:type="auto" w:w="0"/>
        <w:jc w:val="center"/>
        <w:tblLook w:firstColumn="1" w:firstRow="1" w:lastColumn="0" w:lastRow="0" w:noHBand="0" w:noVBand="1" w:val="04A0"/>
        <w:tblBorders>
          <w:top w:val="single" w:sz="6" w:space="0" w:color="7C3AED"/>
          <w:left w:val="none"/>
          <w:bottom w:val="single" w:sz="10" w:space="0" w:color="7C3AED"/>
          <w:right w:val="none"/>
          <w:insideH w:val="single" w:sz="4" w:space="0" w:color="CBD5E1"/>
          <w:insideV w:val="none"/>
        </w:tblBorders>
      </w:tblPr>
      <w:tblGrid>
        <w:gridCol w:w="3216"/>
        <w:gridCol w:w="3216"/>
        <w:gridCol w:w="3216"/>
      </w:tblGrid>
      <w:tr>
        <w:trPr>
          <w:cantSplit/>
          <w:tblHeader/>
        </w:trPr>
        <w:tc>
          <w:tcPr>
            <w:tcW w:type="dxa" w:w="2160"/>
            <w:shd w:fill="7C3AED"/>
            <w:tcMar>
              <w:top w:w="140" w:type="dxa"/>
              <w:bottom w:w="140" w:type="dxa"/>
              <w:left w:w="180" w:type="dxa"/>
              <w:right w:w="180" w:type="dxa"/>
            </w:tcMar>
          </w:tcPr>
          <w:p>
            <w:pPr>
              <w:jc w:val="left"/>
            </w:pPr>
            <w:r>
              <w:rPr>
                <w:rFonts w:ascii="Times New Roman" w:hAnsi="Times New Roman"/>
                <w:b/>
                <w:color w:val="FFFFFF"/>
                <w:sz w:val="20"/>
              </w:rPr>
              <w:t>Decision Dimension</w:t>
            </w:r>
          </w:p>
        </w:tc>
        <w:tc>
          <w:tcPr>
            <w:tcW w:type="dxa" w:w="3600"/>
            <w:shd w:fill="7C3AED"/>
            <w:tcMar>
              <w:top w:w="140" w:type="dxa"/>
              <w:bottom w:w="140" w:type="dxa"/>
              <w:left w:w="180" w:type="dxa"/>
              <w:right w:w="180" w:type="dxa"/>
            </w:tcMar>
          </w:tcPr>
          <w:p>
            <w:pPr>
              <w:jc w:val="left"/>
            </w:pPr>
            <w:r>
              <w:rPr>
                <w:rFonts w:ascii="Times New Roman" w:hAnsi="Times New Roman"/>
                <w:b/>
                <w:color w:val="FFFFFF"/>
                <w:sz w:val="20"/>
              </w:rPr>
              <w:t>Traditional Intuition-Based Approach</w:t>
            </w:r>
          </w:p>
        </w:tc>
        <w:tc>
          <w:tcPr>
            <w:tcW w:type="dxa" w:w="3888"/>
            <w:shd w:fill="7C3AED"/>
            <w:tcMar>
              <w:top w:w="140" w:type="dxa"/>
              <w:bottom w:w="140" w:type="dxa"/>
              <w:left w:w="180" w:type="dxa"/>
              <w:right w:w="180" w:type="dxa"/>
            </w:tcMar>
          </w:tcPr>
          <w:p>
            <w:pPr>
              <w:jc w:val="left"/>
            </w:pPr>
            <w:r>
              <w:rPr>
                <w:rFonts w:ascii="Times New Roman" w:hAnsi="Times New Roman"/>
                <w:b/>
                <w:color w:val="FFFFFF"/>
                <w:sz w:val="20"/>
              </w:rPr>
              <w:t>Big Data Analytics-Driven Approach</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19"/>
              </w:rPr>
              <w:t>Decision Latency</w:t>
            </w:r>
          </w:p>
        </w:tc>
        <w:tc>
          <w:tcPr>
            <w:tcW w:type="dxa" w:w="3600"/>
            <w:shd w:fill="FFFFFF"/>
            <w:tcMar>
              <w:top w:w="100" w:type="dxa"/>
              <w:bottom w:w="100" w:type="dxa"/>
              <w:left w:w="180" w:type="dxa"/>
              <w:right w:w="180" w:type="dxa"/>
            </w:tcMar>
          </w:tcPr>
          <w:p>
            <w:r>
              <w:rPr>
                <w:rFonts w:ascii="Times New Roman" w:hAnsi="Times New Roman"/>
                <w:color w:val="1E293B"/>
                <w:sz w:val="19"/>
              </w:rPr>
              <w:t>Delayed by weeks or months awaiting manual spreadsheet consolidation.</w:t>
            </w:r>
          </w:p>
        </w:tc>
        <w:tc>
          <w:tcPr>
            <w:tcW w:type="dxa" w:w="3888"/>
            <w:shd w:fill="FFFFFF"/>
            <w:tcMar>
              <w:top w:w="100" w:type="dxa"/>
              <w:bottom w:w="100" w:type="dxa"/>
              <w:left w:w="180" w:type="dxa"/>
              <w:right w:w="180" w:type="dxa"/>
            </w:tcMar>
          </w:tcPr>
          <w:p>
            <w:r>
              <w:rPr>
                <w:rFonts w:ascii="Times New Roman" w:hAnsi="Times New Roman"/>
                <w:color w:val="1E293B"/>
                <w:sz w:val="19"/>
              </w:rPr>
              <w:t>Real-time to sub-second automated decisions executed via streaming data pipelines.</w:t>
            </w:r>
          </w:p>
        </w:tc>
      </w:tr>
      <w:tr>
        <w:trPr>
          <w:cantSplit/>
        </w:trPr>
        <w:tc>
          <w:tcPr>
            <w:tcW w:type="dxa" w:w="2160"/>
            <w:shd w:fill="F8FAFC"/>
            <w:tcMar>
              <w:top w:w="100" w:type="dxa"/>
              <w:bottom w:w="100" w:type="dxa"/>
              <w:left w:w="180" w:type="dxa"/>
              <w:right w:w="180" w:type="dxa"/>
            </w:tcMar>
          </w:tcPr>
          <w:p>
            <w:r>
              <w:rPr>
                <w:rFonts w:ascii="Times New Roman" w:hAnsi="Times New Roman"/>
                <w:color w:val="1E293B"/>
                <w:sz w:val="19"/>
              </w:rPr>
              <w:t>Evidence Foundation</w:t>
            </w:r>
          </w:p>
        </w:tc>
        <w:tc>
          <w:tcPr>
            <w:tcW w:type="dxa" w:w="3600"/>
            <w:shd w:fill="F8FAFC"/>
            <w:tcMar>
              <w:top w:w="100" w:type="dxa"/>
              <w:bottom w:w="100" w:type="dxa"/>
              <w:left w:w="180" w:type="dxa"/>
              <w:right w:w="180" w:type="dxa"/>
            </w:tcMar>
          </w:tcPr>
          <w:p>
            <w:r>
              <w:rPr>
                <w:rFonts w:ascii="Times New Roman" w:hAnsi="Times New Roman"/>
                <w:color w:val="1E293B"/>
                <w:sz w:val="19"/>
              </w:rPr>
              <w:t>Heuristic guesswork, subjective opinions, and limited sample surveys.</w:t>
            </w:r>
          </w:p>
        </w:tc>
        <w:tc>
          <w:tcPr>
            <w:tcW w:type="dxa" w:w="3888"/>
            <w:shd w:fill="F8FAFC"/>
            <w:tcMar>
              <w:top w:w="100" w:type="dxa"/>
              <w:bottom w:w="100" w:type="dxa"/>
              <w:left w:w="180" w:type="dxa"/>
              <w:right w:w="180" w:type="dxa"/>
            </w:tcMar>
          </w:tcPr>
          <w:p>
            <w:r>
              <w:rPr>
                <w:rFonts w:ascii="Times New Roman" w:hAnsi="Times New Roman"/>
                <w:color w:val="1E293B"/>
                <w:sz w:val="19"/>
              </w:rPr>
              <w:t>Statistically validated patterns across petabytes of comprehensive population data.</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19"/>
              </w:rPr>
              <w:t>Risk Profile</w:t>
            </w:r>
          </w:p>
        </w:tc>
        <w:tc>
          <w:tcPr>
            <w:tcW w:type="dxa" w:w="3600"/>
            <w:shd w:fill="FFFFFF"/>
            <w:tcMar>
              <w:top w:w="100" w:type="dxa"/>
              <w:bottom w:w="100" w:type="dxa"/>
              <w:left w:w="180" w:type="dxa"/>
              <w:right w:w="180" w:type="dxa"/>
            </w:tcMar>
          </w:tcPr>
          <w:p>
            <w:r>
              <w:rPr>
                <w:rFonts w:ascii="Times New Roman" w:hAnsi="Times New Roman"/>
                <w:color w:val="1E293B"/>
                <w:sz w:val="19"/>
              </w:rPr>
              <w:t>High risk of cognitive bias, blind spots, and catastrophic human error.</w:t>
            </w:r>
          </w:p>
        </w:tc>
        <w:tc>
          <w:tcPr>
            <w:tcW w:type="dxa" w:w="3888"/>
            <w:shd w:fill="FFFFFF"/>
            <w:tcMar>
              <w:top w:w="100" w:type="dxa"/>
              <w:bottom w:w="100" w:type="dxa"/>
              <w:left w:w="180" w:type="dxa"/>
              <w:right w:w="180" w:type="dxa"/>
            </w:tcMar>
          </w:tcPr>
          <w:p>
            <w:r>
              <w:rPr>
                <w:rFonts w:ascii="Times New Roman" w:hAnsi="Times New Roman"/>
                <w:color w:val="1E293B"/>
                <w:sz w:val="19"/>
              </w:rPr>
              <w:t>Quantified statistical risk models with probabilistic confidence intervals.</w:t>
            </w:r>
          </w:p>
        </w:tc>
      </w:tr>
      <w:tr>
        <w:trPr>
          <w:cantSplit/>
        </w:trPr>
        <w:tc>
          <w:tcPr>
            <w:tcW w:type="dxa" w:w="2160"/>
            <w:shd w:fill="F8FAFC"/>
            <w:tcMar>
              <w:top w:w="100" w:type="dxa"/>
              <w:bottom w:w="100" w:type="dxa"/>
              <w:left w:w="180" w:type="dxa"/>
              <w:right w:w="180" w:type="dxa"/>
            </w:tcMar>
          </w:tcPr>
          <w:p>
            <w:r>
              <w:rPr>
                <w:rFonts w:ascii="Times New Roman" w:hAnsi="Times New Roman"/>
                <w:color w:val="1E293B"/>
                <w:sz w:val="19"/>
              </w:rPr>
              <w:t>Execution Mode</w:t>
            </w:r>
          </w:p>
        </w:tc>
        <w:tc>
          <w:tcPr>
            <w:tcW w:type="dxa" w:w="3600"/>
            <w:shd w:fill="F8FAFC"/>
            <w:tcMar>
              <w:top w:w="100" w:type="dxa"/>
              <w:bottom w:w="100" w:type="dxa"/>
              <w:left w:w="180" w:type="dxa"/>
              <w:right w:w="180" w:type="dxa"/>
            </w:tcMar>
          </w:tcPr>
          <w:p>
            <w:r>
              <w:rPr>
                <w:rFonts w:ascii="Times New Roman" w:hAnsi="Times New Roman"/>
                <w:color w:val="1E293B"/>
                <w:sz w:val="19"/>
              </w:rPr>
              <w:t>Manual human executive deliberation and top-down policy memos.</w:t>
            </w:r>
          </w:p>
        </w:tc>
        <w:tc>
          <w:tcPr>
            <w:tcW w:type="dxa" w:w="3888"/>
            <w:shd w:fill="F8FAFC"/>
            <w:tcMar>
              <w:top w:w="100" w:type="dxa"/>
              <w:bottom w:w="100" w:type="dxa"/>
              <w:left w:w="180" w:type="dxa"/>
              <w:right w:w="180" w:type="dxa"/>
            </w:tcMar>
          </w:tcPr>
          <w:p>
            <w:r>
              <w:rPr>
                <w:rFonts w:ascii="Times New Roman" w:hAnsi="Times New Roman"/>
                <w:color w:val="1E293B"/>
                <w:sz w:val="19"/>
              </w:rPr>
              <w:t>Automated programmatic decision execution (algorithmic pricing, automated fraud locks).</w:t>
            </w:r>
          </w:p>
        </w:tc>
      </w:tr>
    </w:tbl>
    <w:p>
      <w:r>
        <w:br w:type="page"/>
      </w:r>
    </w:p>
    <w:p>
      <w:pPr>
        <w:keepNext/>
        <w:spacing w:before="400" w:after="160"/>
      </w:pPr>
      <w:r>
        <w:rPr>
          <w:rFonts w:ascii="Times New Roman" w:hAnsi="Times New Roman"/>
          <w:b/>
          <w:color w:val="1B365D"/>
          <w:sz w:val="30"/>
        </w:rPr>
        <w:t>ASSESSMENT RUBRIC SELF-EVALUATION SUMMARY</w:t>
      </w:r>
    </w:p>
    <w:p>
      <w:r>
        <w:t>The table below demonstrates how every criterion defined in the SIMATS Assessment Tool 1 (Class Test) rubric is fulfilled at Level 4 (Exemplary) across all 10 technical questions.</w:t>
      </w:r>
    </w:p>
    <w:tbl>
      <w:tblPr>
        <w:tblW w:type="auto" w:w="0"/>
        <w:jc w:val="center"/>
        <w:tblLook w:firstColumn="1" w:firstRow="1" w:lastColumn="0" w:lastRow="0" w:noHBand="0" w:noVBand="1" w:val="04A0"/>
        <w:tblBorders>
          <w:top w:val="single" w:sz="6" w:space="0" w:color="1B365D"/>
          <w:left w:val="none"/>
          <w:bottom w:val="single" w:sz="10" w:space="0" w:color="1B365D"/>
          <w:right w:val="none"/>
          <w:insideH w:val="single" w:sz="4" w:space="0" w:color="CBD5E1"/>
          <w:insideV w:val="none"/>
        </w:tblBorders>
      </w:tblPr>
      <w:tblGrid>
        <w:gridCol w:w="2412"/>
        <w:gridCol w:w="2412"/>
        <w:gridCol w:w="2412"/>
        <w:gridCol w:w="2412"/>
      </w:tblGrid>
      <w:tr>
        <w:trPr>
          <w:cantSplit/>
          <w:tblHeader/>
        </w:trPr>
        <w:tc>
          <w:tcPr>
            <w:tcW w:type="dxa" w:w="2160"/>
            <w:shd w:fill="1B365D"/>
            <w:tcMar>
              <w:top w:w="140" w:type="dxa"/>
              <w:bottom w:w="140" w:type="dxa"/>
              <w:left w:w="180" w:type="dxa"/>
              <w:right w:w="180" w:type="dxa"/>
            </w:tcMar>
          </w:tcPr>
          <w:p>
            <w:pPr>
              <w:jc w:val="left"/>
            </w:pPr>
            <w:r>
              <w:rPr>
                <w:rFonts w:ascii="Times New Roman" w:hAnsi="Times New Roman"/>
                <w:b/>
                <w:color w:val="FFFFFF"/>
                <w:sz w:val="20"/>
              </w:rPr>
              <w:t>Evaluation Criteria</w:t>
            </w:r>
          </w:p>
        </w:tc>
        <w:tc>
          <w:tcPr>
            <w:tcW w:type="dxa" w:w="1296"/>
            <w:shd w:fill="1B365D"/>
            <w:tcMar>
              <w:top w:w="140" w:type="dxa"/>
              <w:bottom w:w="140" w:type="dxa"/>
              <w:left w:w="180" w:type="dxa"/>
              <w:right w:w="180" w:type="dxa"/>
            </w:tcMar>
          </w:tcPr>
          <w:p>
            <w:pPr>
              <w:jc w:val="left"/>
            </w:pPr>
            <w:r>
              <w:rPr>
                <w:rFonts w:ascii="Times New Roman" w:hAnsi="Times New Roman"/>
                <w:b/>
                <w:color w:val="FFFFFF"/>
                <w:sz w:val="20"/>
              </w:rPr>
              <w:t>Weightage</w:t>
            </w:r>
          </w:p>
        </w:tc>
        <w:tc>
          <w:tcPr>
            <w:tcW w:type="dxa" w:w="2016"/>
            <w:shd w:fill="1B365D"/>
            <w:tcMar>
              <w:top w:w="140" w:type="dxa"/>
              <w:bottom w:w="140" w:type="dxa"/>
              <w:left w:w="180" w:type="dxa"/>
              <w:right w:w="180" w:type="dxa"/>
            </w:tcMar>
          </w:tcPr>
          <w:p>
            <w:pPr>
              <w:jc w:val="left"/>
            </w:pPr>
            <w:r>
              <w:rPr>
                <w:rFonts w:ascii="Times New Roman" w:hAnsi="Times New Roman"/>
                <w:b/>
                <w:color w:val="FFFFFF"/>
                <w:sz w:val="20"/>
              </w:rPr>
              <w:t>Target Level</w:t>
            </w:r>
          </w:p>
        </w:tc>
        <w:tc>
          <w:tcPr>
            <w:tcW w:type="dxa" w:w="4176"/>
            <w:shd w:fill="1B365D"/>
            <w:tcMar>
              <w:top w:w="140" w:type="dxa"/>
              <w:bottom w:w="140" w:type="dxa"/>
              <w:left w:w="180" w:type="dxa"/>
              <w:right w:w="180" w:type="dxa"/>
            </w:tcMar>
          </w:tcPr>
          <w:p>
            <w:pPr>
              <w:jc w:val="left"/>
            </w:pPr>
            <w:r>
              <w:rPr>
                <w:rFonts w:ascii="Times New Roman" w:hAnsi="Times New Roman"/>
                <w:b/>
                <w:color w:val="FFFFFF"/>
                <w:sz w:val="20"/>
              </w:rPr>
              <w:t>Implementation &amp; Technical Justification in Report</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19"/>
              </w:rPr>
              <w:t>Concept Accuracy</w:t>
            </w:r>
          </w:p>
        </w:tc>
        <w:tc>
          <w:tcPr>
            <w:tcW w:type="dxa" w:w="1296"/>
            <w:shd w:fill="FFFFFF"/>
            <w:tcMar>
              <w:top w:w="100" w:type="dxa"/>
              <w:bottom w:w="100" w:type="dxa"/>
              <w:left w:w="180" w:type="dxa"/>
              <w:right w:w="180" w:type="dxa"/>
            </w:tcMar>
          </w:tcPr>
          <w:p>
            <w:r>
              <w:rPr>
                <w:rFonts w:ascii="Times New Roman" w:hAnsi="Times New Roman"/>
                <w:color w:val="1E293B"/>
                <w:sz w:val="19"/>
              </w:rPr>
              <w:t>30%</w:t>
            </w:r>
          </w:p>
        </w:tc>
        <w:tc>
          <w:tcPr>
            <w:tcW w:type="dxa" w:w="2016"/>
            <w:shd w:fill="FFFFFF"/>
            <w:tcMar>
              <w:top w:w="100" w:type="dxa"/>
              <w:bottom w:w="100" w:type="dxa"/>
              <w:left w:w="180" w:type="dxa"/>
              <w:right w:w="180" w:type="dxa"/>
            </w:tcMar>
          </w:tcPr>
          <w:p>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19"/>
              </w:rPr>
              <w:t>Provided rigorous, highly accurate technical definitions and mathematical/architectural explanations across all 10 questions (5Vs, HDFS, Kerberos, PaaS/Pipelining, Decision Models).</w:t>
            </w:r>
          </w:p>
        </w:tc>
      </w:tr>
      <w:tr>
        <w:trPr>
          <w:cantSplit/>
        </w:trPr>
        <w:tc>
          <w:tcPr>
            <w:tcW w:type="dxa" w:w="2160"/>
            <w:shd w:fill="F8FAFC"/>
            <w:tcMar>
              <w:top w:w="100" w:type="dxa"/>
              <w:bottom w:w="100" w:type="dxa"/>
              <w:left w:w="180" w:type="dxa"/>
              <w:right w:w="180" w:type="dxa"/>
            </w:tcMar>
          </w:tcPr>
          <w:p>
            <w:r>
              <w:rPr>
                <w:rFonts w:ascii="Times New Roman" w:hAnsi="Times New Roman"/>
                <w:color w:val="1E293B"/>
                <w:sz w:val="19"/>
              </w:rPr>
              <w:t>Coverage</w:t>
            </w:r>
          </w:p>
        </w:tc>
        <w:tc>
          <w:tcPr>
            <w:tcW w:type="dxa" w:w="1296"/>
            <w:shd w:fill="F8FAFC"/>
            <w:tcMar>
              <w:top w:w="100" w:type="dxa"/>
              <w:bottom w:w="100" w:type="dxa"/>
              <w:left w:w="180" w:type="dxa"/>
              <w:right w:w="180" w:type="dxa"/>
            </w:tcMar>
          </w:tcPr>
          <w:p>
            <w:r>
              <w:rPr>
                <w:rFonts w:ascii="Times New Roman" w:hAnsi="Times New Roman"/>
                <w:color w:val="1E293B"/>
                <w:sz w:val="19"/>
              </w:rPr>
              <w:t>20%</w:t>
            </w:r>
          </w:p>
        </w:tc>
        <w:tc>
          <w:tcPr>
            <w:tcW w:type="dxa" w:w="2016"/>
            <w:shd w:fill="F8FAFC"/>
            <w:tcMar>
              <w:top w:w="100" w:type="dxa"/>
              <w:bottom w:w="100" w:type="dxa"/>
              <w:left w:w="180" w:type="dxa"/>
              <w:right w:w="180" w:type="dxa"/>
            </w:tcMar>
          </w:tcPr>
          <w:p>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r>
              <w:rPr>
                <w:rFonts w:ascii="Times New Roman" w:hAnsi="Times New Roman"/>
                <w:color w:val="1E293B"/>
                <w:sz w:val="19"/>
              </w:rPr>
              <w:t>Exhaustively covered every sub-component of all 10 questions without gaps, including structural comparisons, master-worker topologies, security threat matrices, and four tiers of analytics.</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19"/>
              </w:rPr>
              <w:t>Use of Examples</w:t>
            </w:r>
          </w:p>
        </w:tc>
        <w:tc>
          <w:tcPr>
            <w:tcW w:type="dxa" w:w="1296"/>
            <w:shd w:fill="FFFFFF"/>
            <w:tcMar>
              <w:top w:w="100" w:type="dxa"/>
              <w:bottom w:w="100" w:type="dxa"/>
              <w:left w:w="180" w:type="dxa"/>
              <w:right w:w="180" w:type="dxa"/>
            </w:tcMar>
          </w:tcPr>
          <w:p>
            <w:r>
              <w:rPr>
                <w:rFonts w:ascii="Times New Roman" w:hAnsi="Times New Roman"/>
                <w:color w:val="1E293B"/>
                <w:sz w:val="19"/>
              </w:rPr>
              <w:t>15%</w:t>
            </w:r>
          </w:p>
        </w:tc>
        <w:tc>
          <w:tcPr>
            <w:tcW w:type="dxa" w:w="2016"/>
            <w:shd w:fill="FFFFFF"/>
            <w:tcMar>
              <w:top w:w="100" w:type="dxa"/>
              <w:bottom w:w="100" w:type="dxa"/>
              <w:left w:w="180" w:type="dxa"/>
              <w:right w:w="180" w:type="dxa"/>
            </w:tcMar>
          </w:tcPr>
          <w:p>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19"/>
              </w:rPr>
              <w:t>Included concrete real-world enterprise examples throughout (Visa payment volume, Tesla telemetry velocity, DICOM/JSON formats, Oracle appliances, Healthcare Precision Oncology).</w:t>
            </w:r>
          </w:p>
        </w:tc>
      </w:tr>
      <w:tr>
        <w:trPr>
          <w:cantSplit/>
        </w:trPr>
        <w:tc>
          <w:tcPr>
            <w:tcW w:type="dxa" w:w="2160"/>
            <w:shd w:fill="F8FAFC"/>
            <w:tcMar>
              <w:top w:w="100" w:type="dxa"/>
              <w:bottom w:w="100" w:type="dxa"/>
              <w:left w:w="180" w:type="dxa"/>
              <w:right w:w="180" w:type="dxa"/>
            </w:tcMar>
          </w:tcPr>
          <w:p>
            <w:r>
              <w:rPr>
                <w:rFonts w:ascii="Times New Roman" w:hAnsi="Times New Roman"/>
                <w:color w:val="1E293B"/>
                <w:sz w:val="19"/>
              </w:rPr>
              <w:t>Analytical Awareness</w:t>
            </w:r>
          </w:p>
        </w:tc>
        <w:tc>
          <w:tcPr>
            <w:tcW w:type="dxa" w:w="1296"/>
            <w:shd w:fill="F8FAFC"/>
            <w:tcMar>
              <w:top w:w="100" w:type="dxa"/>
              <w:bottom w:w="100" w:type="dxa"/>
              <w:left w:w="180" w:type="dxa"/>
              <w:right w:w="180" w:type="dxa"/>
            </w:tcMar>
          </w:tcPr>
          <w:p>
            <w:r>
              <w:rPr>
                <w:rFonts w:ascii="Times New Roman" w:hAnsi="Times New Roman"/>
                <w:color w:val="1E293B"/>
                <w:sz w:val="19"/>
              </w:rPr>
              <w:t>20%</w:t>
            </w:r>
          </w:p>
        </w:tc>
        <w:tc>
          <w:tcPr>
            <w:tcW w:type="dxa" w:w="2016"/>
            <w:shd w:fill="F8FAFC"/>
            <w:tcMar>
              <w:top w:w="100" w:type="dxa"/>
              <w:bottom w:w="100" w:type="dxa"/>
              <w:left w:w="180" w:type="dxa"/>
              <w:right w:w="180" w:type="dxa"/>
            </w:tcMar>
          </w:tcPr>
          <w:p>
            <w:r>
              <w:rPr>
                <w:rFonts w:ascii="Times New Roman" w:hAnsi="Times New Roman"/>
                <w:color w:val="1E293B"/>
                <w:sz w:val="19"/>
              </w:rPr>
              <w:t>Level 4 - Exemplary</w:t>
            </w:r>
          </w:p>
        </w:tc>
        <w:tc>
          <w:tcPr>
            <w:tcW w:type="dxa" w:w="4176"/>
            <w:shd w:fill="F8FAFC"/>
            <w:tcMar>
              <w:top w:w="100" w:type="dxa"/>
              <w:bottom w:w="100" w:type="dxa"/>
              <w:left w:w="180" w:type="dxa"/>
              <w:right w:w="180" w:type="dxa"/>
            </w:tcMar>
          </w:tcPr>
          <w:p>
            <w:r>
              <w:rPr>
                <w:rFonts w:ascii="Times New Roman" w:hAnsi="Times New Roman"/>
                <w:color w:val="1E293B"/>
                <w:sz w:val="19"/>
              </w:rPr>
              <w:t>Demonstrated deep awareness of trade-offs (Scale-up vs. Scale-out, Schema-on-write vs. Schema-on-read, SAN vs. S3, Centralized vs. Data Locality, Heuristics vs. Prescriptive models).</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19"/>
              </w:rPr>
              <w:t>Clarity</w:t>
            </w:r>
          </w:p>
        </w:tc>
        <w:tc>
          <w:tcPr>
            <w:tcW w:type="dxa" w:w="1296"/>
            <w:shd w:fill="FFFFFF"/>
            <w:tcMar>
              <w:top w:w="100" w:type="dxa"/>
              <w:bottom w:w="100" w:type="dxa"/>
              <w:left w:w="180" w:type="dxa"/>
              <w:right w:w="180" w:type="dxa"/>
            </w:tcMar>
          </w:tcPr>
          <w:p>
            <w:r>
              <w:rPr>
                <w:rFonts w:ascii="Times New Roman" w:hAnsi="Times New Roman"/>
                <w:color w:val="1E293B"/>
                <w:sz w:val="19"/>
              </w:rPr>
              <w:t>15%</w:t>
            </w:r>
          </w:p>
        </w:tc>
        <w:tc>
          <w:tcPr>
            <w:tcW w:type="dxa" w:w="2016"/>
            <w:shd w:fill="FFFFFF"/>
            <w:tcMar>
              <w:top w:w="100" w:type="dxa"/>
              <w:bottom w:w="100" w:type="dxa"/>
              <w:left w:w="180" w:type="dxa"/>
              <w:right w:w="180" w:type="dxa"/>
            </w:tcMar>
          </w:tcPr>
          <w:p>
            <w:r>
              <w:rPr>
                <w:rFonts w:ascii="Times New Roman" w:hAnsi="Times New Roman"/>
                <w:color w:val="1E293B"/>
                <w:sz w:val="19"/>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19"/>
              </w:rPr>
              <w:t>Maintained clear, concise writing structured with distinct question cards, technical tables, and high-resolution architecture diagrams in strict Times New Roman format.</w:t>
            </w:r>
          </w:p>
        </w:tc>
      </w:tr>
    </w:tbl>
    <w:p/>
    <w:p>
      <w:pPr>
        <w:spacing w:before="400"/>
      </w:pPr>
      <w:r>
        <w:rPr>
          <w:b/>
        </w:rPr>
        <w:t>Student Name: Vino Aldrin E</w:t>
        <w:tab/>
        <w:tab/>
        <w:tab/>
        <w:t>Register Number: 192511481</w:t>
        <w:br/>
        <w:t>Course Code: CSA1516</w:t>
        <w:tab/>
        <w:tab/>
        <w:tab/>
        <w:tab/>
        <w:t>Institution: Saveetha School of Engineering (SIMATS)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