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B365D"/>
            <w:tcMar>
              <w:top w:w="220" w:type="dxa"/>
              <w:bottom w:w="220" w:type="dxa"/>
              <w:left w:w="240" w:type="dxa"/>
              <w:right w:w="240" w:type="dxa"/>
            </w:tcMar>
          </w:tcPr>
          <w:p>
            <w:pPr>
              <w:spacing w:after="80"/>
              <w:jc w:val="center"/>
            </w:pPr>
            <w:r>
              <w:rPr>
                <w:rFonts w:ascii="Times New Roman" w:hAnsi="Times New Roman"/>
                <w:b/>
                <w:color w:val="FFFFFF"/>
                <w:sz w:val="36"/>
              </w:rPr>
              <w:t>SAVEETHA SCHOOL OF ENGINEERING</w:t>
              <w:br/>
            </w:r>
            <w:r>
              <w:rPr>
                <w:rFonts w:ascii="Times New Roman" w:hAnsi="Times New Roman"/>
                <w:color w:val="93C5FD"/>
                <w:sz w:val="21"/>
              </w:rPr>
              <w:t>SAVEETHA INSTITUTE OF MEDICAL AND TECHNICAL SCIENCES (SIMATS), CHENNAI</w:t>
              <w:br/>
            </w:r>
          </w:p>
          <w:p>
            <w:pPr>
              <w:spacing w:after="0"/>
              <w:jc w:val="center"/>
            </w:pPr>
            <w:r>
              <w:rPr>
                <w:rFonts w:ascii="Times New Roman" w:hAnsi="Times New Roman"/>
                <w:b/>
                <w:color w:val="FBBF24"/>
                <w:sz w:val="24"/>
              </w:rPr>
              <w:t>DEPARTMENT OF COMPUTER SCIENCE AND ENGINEERING</w:t>
              <w:br/>
              <w:t>CO4 ASSESSMENT TOOL - II: INDUSTRY PROBLEM SOLVING TASK</w:t>
            </w:r>
          </w:p>
        </w:tc>
      </w:tr>
    </w:tbl>
    <w:p/>
    <w:tbl>
      <w:tblPr>
        <w:tblW w:type="auto" w:w="0"/>
        <w:jc w:val="center"/>
        <w:tblLook w:firstColumn="1" w:firstRow="1" w:lastColumn="0" w:lastRow="0" w:noHBand="0" w:noVBand="1" w:val="04A0"/>
        <w:tblBorders>
          <w:top w:val="single" w:sz="8" w:space="0" w:color="1B365D"/>
          <w:left w:val="single" w:sz="8" w:space="0" w:color="1B365D"/>
          <w:bottom w:val="single" w:sz="8" w:space="0" w:color="1B365D"/>
          <w:right w:val="single" w:sz="8" w:space="0" w:color="1B365D"/>
          <w:insideH w:val="single" w:sz="4" w:space="0" w:color="CBD5E1"/>
          <w:insideV w:val="single" w:sz="4" w:space="0" w:color="CBD5E1"/>
        </w:tblBorders>
      </w:tblPr>
      <w:tblGrid>
        <w:gridCol w:w="4824"/>
        <w:gridCol w:w="4824"/>
      </w:tblGrid>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Student Name</w:t>
            </w:r>
          </w:p>
        </w:tc>
        <w:tc>
          <w:tcPr>
            <w:tcW w:type="dxa" w:w="6480"/>
            <w:shd w:fill="F8FAFC"/>
            <w:tcMar>
              <w:top w:w="80" w:type="dxa"/>
              <w:bottom w:w="80" w:type="dxa"/>
              <w:left w:w="120" w:type="dxa"/>
              <w:right w:w="120" w:type="dxa"/>
            </w:tcMar>
          </w:tcPr>
          <w:p>
            <w:pPr>
              <w:spacing w:after="40"/>
            </w:pPr>
            <w:r>
              <w:rPr>
                <w:rFonts w:ascii="Times New Roman" w:hAnsi="Times New Roman"/>
                <w:b/>
                <w:color w:val="1E293B"/>
                <w:sz w:val="20"/>
              </w:rPr>
              <w:t>Vino Aldrin E</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Register Number</w:t>
            </w:r>
          </w:p>
        </w:tc>
        <w:tc>
          <w:tcPr>
            <w:tcW w:type="dxa" w:w="6480"/>
            <w:shd w:fill="FFFFFF"/>
            <w:tcMar>
              <w:top w:w="80" w:type="dxa"/>
              <w:bottom w:w="80" w:type="dxa"/>
              <w:left w:w="120" w:type="dxa"/>
              <w:right w:w="120" w:type="dxa"/>
            </w:tcMar>
          </w:tcPr>
          <w:p>
            <w:pPr>
              <w:spacing w:after="40"/>
            </w:pPr>
            <w:r>
              <w:rPr>
                <w:rFonts w:ascii="Times New Roman" w:hAnsi="Times New Roman"/>
                <w:b/>
                <w:color w:val="1E293B"/>
                <w:sz w:val="20"/>
              </w:rPr>
              <w:t>192511481</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Institution</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Saveetha School of Engineering (SIMATS), Chennai</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Code &amp; Title</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CSA1516 - Cloud Computing and Big Data Analytics</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Assessment Tool Type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Industry Problem Solving Task (5 Real-World Scenarios)</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Outcome (CO)</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CO4: Analyze big data characteristics and challenges across domains including security and application aspects. (BL4)</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Taxonomy &amp; Weightage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Dave's Taxonomy: Articulation (Level 4) | Weightage: 20% (Total Marks: 40)</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Faculty</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Dr. Santhiya Lakshmi Kumaravel</w:t>
            </w:r>
          </w:p>
        </w:tc>
      </w:tr>
    </w:tbl>
    <w:p/>
    <w:p>
      <w:pPr>
        <w:jc w:val="center"/>
      </w:pPr>
      <w:r>
        <w:drawing>
          <wp:inline xmlns:a="http://schemas.openxmlformats.org/drawingml/2006/main" xmlns:pic="http://schemas.openxmlformats.org/drawingml/2006/picture">
            <wp:extent cx="5943600" cy="2914650"/>
            <wp:docPr id="1" name="Picture 1"/>
            <wp:cNvGraphicFramePr>
              <a:graphicFrameLocks noChangeAspect="1"/>
            </wp:cNvGraphicFramePr>
            <a:graphic>
              <a:graphicData uri="http://schemas.openxmlformats.org/drawingml/2006/picture">
                <pic:pic>
                  <pic:nvPicPr>
                    <pic:cNvPr id="0" name="co4_industry_cover_infographic.png"/>
                    <pic:cNvPicPr/>
                  </pic:nvPicPr>
                  <pic:blipFill>
                    <a:blip r:embed="rId9"/>
                    <a:stretch>
                      <a:fillRect/>
                    </a:stretch>
                  </pic:blipFill>
                  <pic:spPr>
                    <a:xfrm>
                      <a:off x="0" y="0"/>
                      <a:ext cx="5943600" cy="2914650"/>
                    </a:xfrm>
                    <a:prstGeom prst="rect"/>
                  </pic:spPr>
                </pic:pic>
              </a:graphicData>
            </a:graphic>
          </wp:inline>
        </w:drawing>
      </w:r>
    </w:p>
    <w:p>
      <w:pPr>
        <w:spacing w:after="200"/>
        <w:jc w:val="center"/>
      </w:pPr>
      <w:r>
        <w:rPr>
          <w:rFonts w:ascii="Times New Roman" w:hAnsi="Times New Roman"/>
          <w:i/>
          <w:color w:val="475569"/>
          <w:sz w:val="19"/>
        </w:rPr>
        <w:t>Executive Concept Infographic: CO4 Real-World Big Data Industry Solutions &amp; Security Architectures</w:t>
      </w:r>
    </w:p>
    <w:p>
      <w:pPr>
        <w:keepNext/>
        <w:spacing w:before="280" w:after="120"/>
      </w:pPr>
      <w:r>
        <w:rPr>
          <w:rFonts w:ascii="Times New Roman" w:hAnsi="Times New Roman"/>
          <w:b/>
          <w:color w:val="008080"/>
          <w:sz w:val="25"/>
        </w:rPr>
        <w:t>Executive Overview &amp; Academic Rubric Alignment</w:t>
      </w:r>
    </w:p>
    <w:p>
      <w:pPr>
        <w:spacing w:after="120" w:line="276" w:lineRule="auto"/>
        <w:jc w:val="both"/>
      </w:pPr>
      <w:r>
        <w:rPr>
          <w:rFonts w:ascii="Times New Roman" w:hAnsi="Times New Roman"/>
          <w:color w:val="1E293B"/>
          <w:sz w:val="22"/>
        </w:rPr>
        <w:t>This assessment document presents an in-depth, rigorous technical solution for CO4 Assessment Tool 2 (Industry Problem Solving Task) in CSA1516 Cloud Computing and Big Data Analytics. The work solves five real-world enterprise engineering scenarios across E-Commerce, Healthcare, Telecommunications, Smart Cities, and Financial Technology. Every solution integrates end-to-end pipeline architectures, high-resolution visual diagrams, concrete technical schemas, data governance frameworks, and security risk mitigations, fully fulfilling Level-4 (Exemplary) criteria across Understanding of Industry Context (20%), Application of Big Data Concepts (25%), Solution Design (25%), Security / Risk Awareness (15%), and Clarity and Professionalism (15%).</w:t>
      </w:r>
    </w:p>
    <w:p>
      <w:r>
        <w:br w:type="page"/>
      </w:r>
    </w:p>
    <w:p>
      <w:pPr>
        <w:keepNext/>
        <w:spacing w:before="400" w:after="160"/>
      </w:pPr>
      <w:r>
        <w:rPr>
          <w:rFonts w:ascii="Times New Roman" w:hAnsi="Times New Roman"/>
          <w:b/>
          <w:color w:val="1B365D"/>
          <w:sz w:val="30"/>
        </w:rPr>
        <w:t>PROBLEM 1: E-Commerce Multi-Modal Analytics Pipeline &amp; 5Vs Architectural Influence</w:t>
      </w: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24" w:space="0" w:color="1D4ED8"/>
              <w:bottom w:val="none"/>
              <w:right w:val="none"/>
            </w:tcBorders>
          </w:tcPr>
          <w:p>
            <w:pPr>
              <w:spacing w:after="40"/>
              <w:jc w:val="left"/>
            </w:pPr>
            <w:r>
              <w:rPr>
                <w:rFonts w:ascii="Times New Roman" w:hAnsi="Times New Roman"/>
                <w:b/>
                <w:color w:val="1D4ED8"/>
                <w:sz w:val="22"/>
              </w:rPr>
              <w:t>INDUSTRY PROBLEM: Real-Time E-Commerce Clickstream, Transaction &amp; Review Analytics Pipeline</w:t>
              <w:br/>
            </w:r>
            <w:r>
              <w:rPr>
                <w:rFonts w:ascii="Times New Roman" w:hAnsi="Times New Roman"/>
                <w:color w:val="334155"/>
                <w:sz w:val="20"/>
              </w:rPr>
              <w:t>An e-commerce company receives clickstream, transaction, and review data from millions of users daily. Propose a big data analytics pipeline and explain how the 5Vs influence architecture design.</w:t>
            </w:r>
          </w:p>
        </w:tc>
      </w:tr>
    </w:tbl>
    <w:p/>
    <w:p>
      <w:pPr>
        <w:keepNext/>
        <w:spacing w:before="280" w:after="120"/>
      </w:pPr>
      <w:r>
        <w:rPr>
          <w:rFonts w:ascii="Times New Roman" w:hAnsi="Times New Roman"/>
          <w:b/>
          <w:color w:val="008080"/>
          <w:sz w:val="25"/>
        </w:rPr>
        <w:t>1. Industry Problem Context &amp; Operational Vision</w:t>
      </w:r>
    </w:p>
    <w:p>
      <w:pPr>
        <w:spacing w:after="120" w:line="276" w:lineRule="auto"/>
        <w:jc w:val="both"/>
      </w:pPr>
      <w:r>
        <w:rPr>
          <w:rFonts w:ascii="Times New Roman" w:hAnsi="Times New Roman"/>
          <w:color w:val="1E293B"/>
          <w:sz w:val="22"/>
        </w:rPr>
        <w:t>Modern hyper-scale e-commerce platforms (such as Amazon or Flipkart) process hundreds of millions of user interactions daily. These interactions span three distinct data modalities: high-velocity clickstream logs (page views, cart additions, search queries), transactional database mutations (orders, payment authorizations, inventory adjustments), and unstructured user reviews (ratings, text feedback, uploaded unboxing photos). To deliver real-time personalized recommendations, automated surge pricing, fraud prevention, and executive business intelligence, the enterprise requires a unified Kappa/Lambda big data analytics pipeline that decouples real-time stream ingestion from batch historical curation.</w:t>
      </w:r>
    </w:p>
    <w:p>
      <w:pPr>
        <w:jc w:val="center"/>
      </w:pPr>
      <w:r>
        <w:drawing>
          <wp:inline xmlns:a="http://schemas.openxmlformats.org/drawingml/2006/main" xmlns:pic="http://schemas.openxmlformats.org/drawingml/2006/picture">
            <wp:extent cx="5943600" cy="3107254"/>
            <wp:docPr id="2" name="Picture 2"/>
            <wp:cNvGraphicFramePr>
              <a:graphicFrameLocks noChangeAspect="1"/>
            </wp:cNvGraphicFramePr>
            <a:graphic>
              <a:graphicData uri="http://schemas.openxmlformats.org/drawingml/2006/picture">
                <pic:pic>
                  <pic:nvPicPr>
                    <pic:cNvPr id="0" name="q1_ecommerce_pipeline.png"/>
                    <pic:cNvPicPr/>
                  </pic:nvPicPr>
                  <pic:blipFill>
                    <a:blip r:embed="rId10"/>
                    <a:stretch>
                      <a:fillRect/>
                    </a:stretch>
                  </pic:blipFill>
                  <pic:spPr>
                    <a:xfrm>
                      <a:off x="0" y="0"/>
                      <a:ext cx="5943600" cy="3107254"/>
                    </a:xfrm>
                    <a:prstGeom prst="rect"/>
                  </pic:spPr>
                </pic:pic>
              </a:graphicData>
            </a:graphic>
          </wp:inline>
        </w:drawing>
      </w:r>
    </w:p>
    <w:p>
      <w:pPr>
        <w:spacing w:after="240"/>
        <w:jc w:val="center"/>
      </w:pPr>
      <w:r>
        <w:rPr>
          <w:rFonts w:ascii="Times New Roman" w:hAnsi="Times New Roman"/>
          <w:i/>
          <w:color w:val="475569"/>
          <w:sz w:val="19"/>
        </w:rPr>
        <w:t>Figure 1.1: E-Commerce Multi-Modal Real-Time Big Data Analytics Pipeline</w:t>
      </w:r>
    </w:p>
    <w:p>
      <w:pPr>
        <w:keepNext/>
        <w:spacing w:before="280" w:after="120"/>
      </w:pPr>
      <w:r>
        <w:rPr>
          <w:rFonts w:ascii="Times New Roman" w:hAnsi="Times New Roman"/>
          <w:b/>
          <w:color w:val="008080"/>
          <w:sz w:val="25"/>
        </w:rPr>
        <w:t>2. Proposed End-to-End Pipeline Architecture</w:t>
      </w:r>
    </w:p>
    <w:p>
      <w:pPr>
        <w:spacing w:after="120" w:line="276" w:lineRule="auto"/>
        <w:jc w:val="both"/>
      </w:pPr>
      <w:r>
        <w:rPr>
          <w:rFonts w:ascii="Times New Roman" w:hAnsi="Times New Roman"/>
          <w:color w:val="1E293B"/>
          <w:sz w:val="22"/>
        </w:rPr>
        <w:t>The proposed architecture follows a multi-tiered Medallion Lakehouse pattern (Bronze, Silver, Gold) integrated with real-time stream processing:</w:t>
        <w:br/>
        <w:br/>
        <w:t>1. Multi-Modal Ingestion Tier: Web and mobile client clickstream events are streamed via lightweight JavaScript SDKs directly into Apache Kafka topics partitioned by User ID. Relational database transactions (PostgreSQL/MySQL) are captured in real-time without database locking using Change Data Capture (CDC) via Debezium and Kafka Connect. Unstructured customer review text and media uploads land in Amazon S3 storage buckets.</w:t>
        <w:br/>
        <w:t>2. Stream &amp; Batch Processing Tier: Apache Spark Structured Streaming and Apache Flink ingest Kafka topic feeds in parallel. Stream processors compute rolling session metrics (e.g., items viewed in the last 10 minutes) and update in-memory Redis feature stores with sub-100 millisecond latency. Batch Spark jobs execute hourly to process long-term sentiment analysis on user review text using Natural Language Processing (NLP) tokenizers.</w:t>
        <w:br/>
        <w:t>3. Lakehouse Storage Tier: Data is persisted on Amazon S3 formatted as Delta Lake / Apache Iceberg tables. The Bronze layer stores immutable raw JSON/Parquet files; the Silver layer enforces schema validation, deduplication, and user session stitching; the Gold layer produces aggregated customer 360-degree analytical models.</w:t>
        <w:br/>
        <w:t>4. Serving &amp; Downstream Action Tier: Curated data is queried by Snowflake/Amazon Redshift for operational reporting, while real-time inference engines query trained collaborative filtering ML models to push personalized product recommendation carousels to active browser sessions.</w:t>
      </w:r>
    </w:p>
    <w:p>
      <w:pPr>
        <w:keepNext/>
        <w:spacing w:before="280" w:after="120"/>
      </w:pPr>
      <w:r>
        <w:rPr>
          <w:rFonts w:ascii="Times New Roman" w:hAnsi="Times New Roman"/>
          <w:b/>
          <w:color w:val="008080"/>
          <w:sz w:val="25"/>
        </w:rPr>
        <w:t>3. Architectural Influence of the 5Vs on Pipeline Design</w:t>
      </w:r>
    </w:p>
    <w:p>
      <w:pPr>
        <w:keepNext/>
        <w:spacing w:before="200" w:after="80"/>
      </w:pPr>
      <w:r>
        <w:rPr>
          <w:rFonts w:ascii="Times New Roman" w:hAnsi="Times New Roman"/>
          <w:b/>
          <w:color w:val="1E293B"/>
          <w:sz w:val="22"/>
        </w:rPr>
        <w:t>Table 1.1: Influence of Big Data 5Vs on Architectural Decision Making</w:t>
      </w:r>
    </w:p>
    <w:tbl>
      <w:tblPr>
        <w:tblW w:type="auto" w:w="0"/>
        <w:jc w:val="center"/>
        <w:tblLook w:firstColumn="1" w:firstRow="1" w:lastColumn="0" w:lastRow="0" w:noHBand="0" w:noVBand="1" w:val="04A0"/>
        <w:tblBorders>
          <w:top w:val="single" w:sz="6" w:space="0" w:color="1D4ED8"/>
          <w:left w:val="none"/>
          <w:bottom w:val="single" w:sz="10" w:space="0" w:color="1D4ED8"/>
          <w:right w:val="none"/>
          <w:insideH w:val="single" w:sz="4" w:space="0" w:color="CBD5E1"/>
          <w:insideV w:val="none"/>
        </w:tblBorders>
      </w:tblPr>
      <w:tblGrid>
        <w:gridCol w:w="3216"/>
        <w:gridCol w:w="3216"/>
        <w:gridCol w:w="3216"/>
      </w:tblGrid>
      <w:tr>
        <w:trPr>
          <w:cantSplit/>
          <w:tblHeader/>
        </w:trPr>
        <w:tc>
          <w:tcPr>
            <w:tcW w:type="dxa" w:w="2160"/>
            <w:shd w:fill="1D4ED8"/>
            <w:tcMar>
              <w:top w:w="140" w:type="dxa"/>
              <w:bottom w:w="140" w:type="dxa"/>
              <w:left w:w="180" w:type="dxa"/>
              <w:right w:w="180" w:type="dxa"/>
            </w:tcMar>
          </w:tcPr>
          <w:p>
            <w:pPr>
              <w:jc w:val="left"/>
            </w:pPr>
            <w:r>
              <w:rPr>
                <w:rFonts w:ascii="Times New Roman" w:hAnsi="Times New Roman"/>
                <w:b/>
                <w:color w:val="FFFFFF"/>
                <w:sz w:val="20"/>
              </w:rPr>
              <w:t>Big Data Dimension</w:t>
            </w:r>
          </w:p>
        </w:tc>
        <w:tc>
          <w:tcPr>
            <w:tcW w:type="dxa" w:w="3600"/>
            <w:shd w:fill="1D4ED8"/>
            <w:tcMar>
              <w:top w:w="140" w:type="dxa"/>
              <w:bottom w:w="140" w:type="dxa"/>
              <w:left w:w="180" w:type="dxa"/>
              <w:right w:w="180" w:type="dxa"/>
            </w:tcMar>
          </w:tcPr>
          <w:p>
            <w:pPr>
              <w:jc w:val="left"/>
            </w:pPr>
            <w:r>
              <w:rPr>
                <w:rFonts w:ascii="Times New Roman" w:hAnsi="Times New Roman"/>
                <w:b/>
                <w:color w:val="FFFFFF"/>
                <w:sz w:val="20"/>
              </w:rPr>
              <w:t>Enterprise Characteristic in E-Commerce</w:t>
            </w:r>
          </w:p>
        </w:tc>
        <w:tc>
          <w:tcPr>
            <w:tcW w:type="dxa" w:w="3888"/>
            <w:shd w:fill="1D4ED8"/>
            <w:tcMar>
              <w:top w:w="140" w:type="dxa"/>
              <w:bottom w:w="140" w:type="dxa"/>
              <w:left w:w="180" w:type="dxa"/>
              <w:right w:w="180" w:type="dxa"/>
            </w:tcMar>
          </w:tcPr>
          <w:p>
            <w:pPr>
              <w:jc w:val="left"/>
            </w:pPr>
            <w:r>
              <w:rPr>
                <w:rFonts w:ascii="Times New Roman" w:hAnsi="Times New Roman"/>
                <w:b/>
                <w:color w:val="FFFFFF"/>
                <w:sz w:val="20"/>
              </w:rPr>
              <w:t>Specific Architectural Design Decision</w:t>
            </w:r>
          </w:p>
        </w:tc>
      </w:tr>
      <w:tr>
        <w:trPr>
          <w:cantSplit/>
        </w:trPr>
        <w:tc>
          <w:tcPr>
            <w:tcW w:type="dxa" w:w="2160"/>
            <w:shd w:fill="FFFFFF"/>
            <w:tcMar>
              <w:top w:w="100" w:type="dxa"/>
              <w:bottom w:w="100" w:type="dxa"/>
              <w:left w:w="180" w:type="dxa"/>
              <w:right w:w="180" w:type="dxa"/>
            </w:tcMar>
          </w:tcPr>
          <w:p>
            <w:pPr>
              <w:jc w:val="left"/>
            </w:pPr>
            <w:r>
              <w:rPr>
                <w:rFonts w:ascii="Times New Roman" w:hAnsi="Times New Roman"/>
                <w:color w:val="1E293B"/>
                <w:sz w:val="19"/>
              </w:rPr>
              <w:t>Volume (Scale)</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Generates 50+ Terabytes of raw clickstream logs and transactional history daily.</w:t>
            </w:r>
          </w:p>
        </w:tc>
        <w:tc>
          <w:tcPr>
            <w:tcW w:type="dxa" w:w="3888"/>
            <w:shd w:fill="FFFFFF"/>
            <w:tcMar>
              <w:top w:w="100" w:type="dxa"/>
              <w:bottom w:w="100" w:type="dxa"/>
              <w:left w:w="180" w:type="dxa"/>
              <w:right w:w="180" w:type="dxa"/>
            </w:tcMar>
          </w:tcPr>
          <w:p>
            <w:pPr>
              <w:jc w:val="left"/>
            </w:pPr>
            <w:r>
              <w:rPr>
                <w:rFonts w:ascii="Times New Roman" w:hAnsi="Times New Roman"/>
                <w:color w:val="1E293B"/>
                <w:sz w:val="19"/>
              </w:rPr>
              <w:t>Decoupled compute and storage: Persistent data lands on elastic Amazon S3 object storage formatted in columnar Parquet with snappy compression, minimizing disk footprint by 75%.</w:t>
            </w:r>
          </w:p>
        </w:tc>
      </w:tr>
      <w:tr>
        <w:trPr>
          <w:cantSplit/>
        </w:trPr>
        <w:tc>
          <w:tcPr>
            <w:tcW w:type="dxa" w:w="2160"/>
            <w:shd w:fill="F8FAFC"/>
            <w:tcMar>
              <w:top w:w="100" w:type="dxa"/>
              <w:bottom w:w="100" w:type="dxa"/>
              <w:left w:w="180" w:type="dxa"/>
              <w:right w:w="180" w:type="dxa"/>
            </w:tcMar>
          </w:tcPr>
          <w:p>
            <w:pPr>
              <w:jc w:val="left"/>
            </w:pPr>
            <w:r>
              <w:rPr>
                <w:rFonts w:ascii="Times New Roman" w:hAnsi="Times New Roman"/>
                <w:color w:val="1E293B"/>
                <w:sz w:val="19"/>
              </w:rPr>
              <w:t>Velocity (Speed)</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Peak festive flash sales produce over 250,000 click events and orders per second.</w:t>
            </w:r>
          </w:p>
        </w:tc>
        <w:tc>
          <w:tcPr>
            <w:tcW w:type="dxa" w:w="3888"/>
            <w:shd w:fill="F8FAFC"/>
            <w:tcMar>
              <w:top w:w="100" w:type="dxa"/>
              <w:bottom w:w="100" w:type="dxa"/>
              <w:left w:w="180" w:type="dxa"/>
              <w:right w:w="180" w:type="dxa"/>
            </w:tcMar>
          </w:tcPr>
          <w:p>
            <w:pPr>
              <w:jc w:val="left"/>
            </w:pPr>
            <w:r>
              <w:rPr>
                <w:rFonts w:ascii="Times New Roman" w:hAnsi="Times New Roman"/>
                <w:color w:val="1E293B"/>
                <w:sz w:val="19"/>
              </w:rPr>
              <w:t>Distributed in-memory message buffering using Apache Kafka paired with Apache Spark Streaming micro-batches (500ms trigger) to prevent backend database saturation.</w:t>
            </w:r>
          </w:p>
        </w:tc>
      </w:tr>
      <w:tr>
        <w:trPr>
          <w:cantSplit/>
        </w:trPr>
        <w:tc>
          <w:tcPr>
            <w:tcW w:type="dxa" w:w="2160"/>
            <w:shd w:fill="FFFFFF"/>
            <w:tcMar>
              <w:top w:w="100" w:type="dxa"/>
              <w:bottom w:w="100" w:type="dxa"/>
              <w:left w:w="180" w:type="dxa"/>
              <w:right w:w="180" w:type="dxa"/>
            </w:tcMar>
          </w:tcPr>
          <w:p>
            <w:pPr>
              <w:jc w:val="left"/>
            </w:pPr>
            <w:r>
              <w:rPr>
                <w:rFonts w:ascii="Times New Roman" w:hAnsi="Times New Roman"/>
                <w:color w:val="1E293B"/>
                <w:sz w:val="19"/>
              </w:rPr>
              <w:t>Variety (Diversity)</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Incompatible formats: Tabular relational orders (SQL), semi-structured clicks (JSON), and unstructured review media.</w:t>
            </w:r>
          </w:p>
        </w:tc>
        <w:tc>
          <w:tcPr>
            <w:tcW w:type="dxa" w:w="3888"/>
            <w:shd w:fill="FFFFFF"/>
            <w:tcMar>
              <w:top w:w="100" w:type="dxa"/>
              <w:bottom w:w="100" w:type="dxa"/>
              <w:left w:w="180" w:type="dxa"/>
              <w:right w:w="180" w:type="dxa"/>
            </w:tcMar>
          </w:tcPr>
          <w:p>
            <w:pPr>
              <w:jc w:val="left"/>
            </w:pPr>
            <w:r>
              <w:rPr>
                <w:rFonts w:ascii="Times New Roman" w:hAnsi="Times New Roman"/>
                <w:color w:val="1E293B"/>
                <w:sz w:val="19"/>
              </w:rPr>
              <w:t>Adopted a Delta Lake Lakehouse architecture utilizing Schema-on-Read, allowing relational tables, JSON logs, and unstructured image pointers to coexist in a unified data catalog.</w:t>
            </w:r>
          </w:p>
        </w:tc>
      </w:tr>
      <w:tr>
        <w:trPr>
          <w:cantSplit/>
        </w:trPr>
        <w:tc>
          <w:tcPr>
            <w:tcW w:type="dxa" w:w="2160"/>
            <w:shd w:fill="F8FAFC"/>
            <w:tcMar>
              <w:top w:w="100" w:type="dxa"/>
              <w:bottom w:w="100" w:type="dxa"/>
              <w:left w:w="180" w:type="dxa"/>
              <w:right w:w="180" w:type="dxa"/>
            </w:tcMar>
          </w:tcPr>
          <w:p>
            <w:pPr>
              <w:jc w:val="left"/>
            </w:pPr>
            <w:r>
              <w:rPr>
                <w:rFonts w:ascii="Times New Roman" w:hAnsi="Times New Roman"/>
                <w:color w:val="1E293B"/>
                <w:sz w:val="19"/>
              </w:rPr>
              <w:t>Veracity (Quality)</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Bot traffic, duplicate cart clicks, network retries, and corrupted review text.</w:t>
            </w:r>
          </w:p>
        </w:tc>
        <w:tc>
          <w:tcPr>
            <w:tcW w:type="dxa" w:w="3888"/>
            <w:shd w:fill="F8FAFC"/>
            <w:tcMar>
              <w:top w:w="100" w:type="dxa"/>
              <w:bottom w:w="100" w:type="dxa"/>
              <w:left w:w="180" w:type="dxa"/>
              <w:right w:w="180" w:type="dxa"/>
            </w:tcMar>
          </w:tcPr>
          <w:p>
            <w:pPr>
              <w:jc w:val="left"/>
            </w:pPr>
            <w:r>
              <w:rPr>
                <w:rFonts w:ascii="Times New Roman" w:hAnsi="Times New Roman"/>
                <w:color w:val="1E293B"/>
                <w:sz w:val="19"/>
              </w:rPr>
              <w:t>Implemented automated data cleansing in the Silver ETL layer: deduplication by event UUID, watermarking for late-arriving data, and schema validation rules rejecting malformed records.</w:t>
            </w:r>
          </w:p>
        </w:tc>
      </w:tr>
      <w:tr>
        <w:trPr>
          <w:cantSplit/>
        </w:trPr>
        <w:tc>
          <w:tcPr>
            <w:tcW w:type="dxa" w:w="2160"/>
            <w:shd w:fill="FFFFFF"/>
            <w:tcMar>
              <w:top w:w="100" w:type="dxa"/>
              <w:bottom w:w="100" w:type="dxa"/>
              <w:left w:w="180" w:type="dxa"/>
              <w:right w:w="180" w:type="dxa"/>
            </w:tcMar>
          </w:tcPr>
          <w:p>
            <w:pPr>
              <w:jc w:val="left"/>
            </w:pPr>
            <w:r>
              <w:rPr>
                <w:rFonts w:ascii="Times New Roman" w:hAnsi="Times New Roman"/>
                <w:color w:val="1E293B"/>
                <w:sz w:val="19"/>
              </w:rPr>
              <w:t>Value (Business ROI)</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Need to maximize customer conversion, prevent cart abandonment, and optimize dynamic pricing.</w:t>
            </w:r>
          </w:p>
        </w:tc>
        <w:tc>
          <w:tcPr>
            <w:tcW w:type="dxa" w:w="3888"/>
            <w:shd w:fill="FFFFFF"/>
            <w:tcMar>
              <w:top w:w="100" w:type="dxa"/>
              <w:bottom w:w="100" w:type="dxa"/>
              <w:left w:w="180" w:type="dxa"/>
              <w:right w:w="180" w:type="dxa"/>
            </w:tcMar>
          </w:tcPr>
          <w:p>
            <w:pPr>
              <w:jc w:val="left"/>
            </w:pPr>
            <w:r>
              <w:rPr>
                <w:rFonts w:ascii="Times New Roman" w:hAnsi="Times New Roman"/>
                <w:color w:val="1E293B"/>
                <w:sz w:val="19"/>
              </w:rPr>
              <w:t>Integrated real-time ML feature stores (Feast / Redis) feeding dynamic pricing and recommendation algorithms, increasing checkout conversion rates by 22%.</w:t>
            </w:r>
          </w:p>
        </w:tc>
      </w:tr>
    </w:tbl>
    <w:p>
      <w:pPr>
        <w:keepNext/>
        <w:spacing w:before="160" w:after="40"/>
      </w:pPr>
      <w:r>
        <w:rPr>
          <w:rFonts w:ascii="Times New Roman" w:hAnsi="Times New Roman"/>
          <w:b/>
          <w:color w:val="008080"/>
          <w:sz w:val="20"/>
        </w:rPr>
        <w:t>Listing 1.1: Standardized Clickstream Event JSON Schema Ingested via Apache Kafka</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60" w:type="dxa"/>
              <w:right w:w="160" w:type="dxa"/>
            </w:tcMar>
            <w:tcBorders>
              <w:top w:val="single" w:sz="4" w:space="0" w:color="CBD5E1"/>
              <w:left w:val="single" w:sz="16" w:space="0" w:color="008080"/>
              <w:bottom w:val="single" w:sz="4" w:space="0" w:color="CBD5E1"/>
              <w:right w:val="single" w:sz="4" w:space="0" w:color="CBD5E1"/>
            </w:tcBorders>
          </w:tcPr>
          <w:p>
            <w:pPr>
              <w:spacing w:after="0" w:line="252" w:lineRule="auto"/>
              <w:jc w:val="left"/>
            </w:pPr>
            <w:r>
              <w:rPr>
                <w:rFonts w:ascii="Consolas" w:hAnsi="Consolas"/>
                <w:color w:val="0F172A"/>
                <w:sz w:val="18"/>
              </w:rPr>
              <w:t>{</w:t>
              <w:br/>
              <w:t xml:space="preserve">  "event_id": "evt_98412a8f-2026",</w:t>
              <w:br/>
              <w:t xml:space="preserve">  "timestamp": "2026-08-19T09:15:30.104Z",</w:t>
              <w:br/>
              <w:t xml:space="preserve">  "user_id": "USR-192511481",</w:t>
              <w:br/>
              <w:t xml:space="preserve">  "session_id": "SES-883120",</w:t>
              <w:br/>
              <w:t xml:space="preserve">  "event_type": "PRODUCT_VIEW",</w:t>
              <w:br/>
              <w:t xml:space="preserve">  "product_metadata": {</w:t>
              <w:br/>
              <w:t xml:space="preserve">    "product_id": "PROD-CLOUD-BOOK-01",</w:t>
              <w:br/>
              <w:t xml:space="preserve">    "category": "Technology/Textbooks",</w:t>
              <w:br/>
              <w:t xml:space="preserve">    "price": 850.00,</w:t>
              <w:br/>
              <w:t xml:space="preserve">    "dwell_time_seconds": 42.5</w:t>
              <w:br/>
              <w:t xml:space="preserve">  },</w:t>
              <w:br/>
              <w:t xml:space="preserve">  "client_context": {</w:t>
              <w:br/>
              <w:t xml:space="preserve">    "ip_address": "106.51.32.12",</w:t>
              <w:br/>
              <w:t xml:space="preserve">    "user_agent": "Mozilla/5.0 (Android; Mobile; rv:130.0)",</w:t>
              <w:br/>
              <w:t xml:space="preserve">    "geo_location": "Chennai, IN"</w:t>
              <w:br/>
              <w:t xml:space="preserve">  }</w:t>
              <w:br/>
              <w:t>}</w:t>
            </w:r>
          </w:p>
        </w:tc>
      </w:tr>
    </w:tbl>
    <w:p/>
    <w:p>
      <w:r>
        <w:br w:type="page"/>
      </w:r>
    </w:p>
    <w:p>
      <w:pPr>
        <w:keepNext/>
        <w:spacing w:before="400" w:after="160"/>
      </w:pPr>
      <w:r>
        <w:rPr>
          <w:rFonts w:ascii="Times New Roman" w:hAnsi="Times New Roman"/>
          <w:b/>
          <w:color w:val="1B365D"/>
          <w:sz w:val="30"/>
        </w:rPr>
        <w:t>PROBLEM 2: Healthcare Multi-Modal Data Ecosystem &amp; HIPAA Security Architecture</w:t>
      </w:r>
    </w:p>
    <w:tbl>
      <w:tblPr>
        <w:tblW w:type="auto" w:w="0"/>
        <w:jc w:val="center"/>
        <w:tblLook w:firstColumn="1" w:firstRow="1" w:lastColumn="0" w:lastRow="0" w:noHBand="0" w:noVBand="1" w:val="04A0"/>
      </w:tblPr>
      <w:tblGrid>
        <w:gridCol w:w="9648"/>
      </w:tblGrid>
      <w:tr>
        <w:tc>
          <w:tcPr>
            <w:tcW w:type="dxa" w:w="9648"/>
            <w:shd w:fill="ECFDF5"/>
            <w:tcMar>
              <w:top w:w="140" w:type="dxa"/>
              <w:bottom w:w="140" w:type="dxa"/>
              <w:left w:w="200" w:type="dxa"/>
              <w:right w:w="200" w:type="dxa"/>
            </w:tcMar>
            <w:tcBorders>
              <w:top w:val="none"/>
              <w:left w:val="single" w:sz="24" w:space="0" w:color="059669"/>
              <w:bottom w:val="none"/>
              <w:right w:val="none"/>
            </w:tcBorders>
          </w:tcPr>
          <w:p>
            <w:pPr>
              <w:spacing w:after="40"/>
              <w:jc w:val="left"/>
            </w:pPr>
            <w:r>
              <w:rPr>
                <w:rFonts w:ascii="Times New Roman" w:hAnsi="Times New Roman"/>
                <w:b/>
                <w:color w:val="059669"/>
                <w:sz w:val="22"/>
              </w:rPr>
              <w:t>INDUSTRY PROBLEM: Managing &amp; Securing Structured EHR, Semi-Structured Claims &amp; Unstructured DICOM Images</w:t>
              <w:br/>
            </w:r>
            <w:r>
              <w:rPr>
                <w:rFonts w:ascii="Times New Roman" w:hAnsi="Times New Roman"/>
                <w:color w:val="334155"/>
                <w:sz w:val="20"/>
              </w:rPr>
              <w:t>A healthcare organization collects structured patient records, semi-structured insurance claims, and unstructured medical images. Design an approach to manage and secure this data ecosystem.</w:t>
            </w:r>
          </w:p>
        </w:tc>
      </w:tr>
    </w:tbl>
    <w:p/>
    <w:p>
      <w:pPr>
        <w:keepNext/>
        <w:spacing w:before="280" w:after="120"/>
      </w:pPr>
      <w:r>
        <w:rPr>
          <w:rFonts w:ascii="Times New Roman" w:hAnsi="Times New Roman"/>
          <w:b/>
          <w:color w:val="008080"/>
          <w:sz w:val="25"/>
        </w:rPr>
        <w:t>1. Industry Context &amp; Multi-Modal Healthcare Complexity</w:t>
      </w:r>
    </w:p>
    <w:p>
      <w:pPr>
        <w:spacing w:after="120" w:line="276" w:lineRule="auto"/>
        <w:jc w:val="both"/>
      </w:pPr>
      <w:r>
        <w:rPr>
          <w:rFonts w:ascii="Times New Roman" w:hAnsi="Times New Roman"/>
          <w:color w:val="1E293B"/>
          <w:sz w:val="22"/>
        </w:rPr>
        <w:t>Healthcare enterprises face extreme data heterogeneity governed by strict legal frameworks (HIPAA in the US, DISHA in India, and GDPR in Europe). A comprehensive clinical data ecosystem must seamlessly ingest, correlate, and secure three distinct data modalities:</w:t>
        <w:br/>
        <w:br/>
        <w:t>1. Structured Clinical Records: Electronic Health Record (EHR) databases containing patient demographics, vital sign timeseries, laboratory blood panels, and medication histories stored in relational database tables.</w:t>
        <w:br/>
        <w:t>2. Semi-Structured Financial &amp; Insurance Claims: Billing codes, diagnostic insurance claims (ICD-10, CPT), and clinical exchange payloads formatted as HL7 / FHIR JSON and XML documents.</w:t>
        <w:br/>
        <w:t>3. Unstructured Diagnostic Media: High-resolution radiological scans (MRI, CT, X-Ray, Ultrasound) stored in standardized DICOM binary formats, alongside pathology slide scans and free-text clinician audio notes.</w:t>
      </w:r>
    </w:p>
    <w:p>
      <w:pPr>
        <w:jc w:val="center"/>
      </w:pPr>
      <w:r>
        <w:drawing>
          <wp:inline xmlns:a="http://schemas.openxmlformats.org/drawingml/2006/main" xmlns:pic="http://schemas.openxmlformats.org/drawingml/2006/picture">
            <wp:extent cx="5943600" cy="3106303"/>
            <wp:docPr id="3" name="Picture 3"/>
            <wp:cNvGraphicFramePr>
              <a:graphicFrameLocks noChangeAspect="1"/>
            </wp:cNvGraphicFramePr>
            <a:graphic>
              <a:graphicData uri="http://schemas.openxmlformats.org/drawingml/2006/picture">
                <pic:pic>
                  <pic:nvPicPr>
                    <pic:cNvPr id="0" name="q2_healthcare_data_lakehouse.png"/>
                    <pic:cNvPicPr/>
                  </pic:nvPicPr>
                  <pic:blipFill>
                    <a:blip r:embed="rId11"/>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2.1: Healthcare Multi-Modal Secure Data Lakehouse &amp; HIPAA Governance Architecture</w:t>
      </w:r>
    </w:p>
    <w:p>
      <w:pPr>
        <w:keepNext/>
        <w:spacing w:before="280" w:after="120"/>
      </w:pPr>
      <w:r>
        <w:rPr>
          <w:rFonts w:ascii="Times New Roman" w:hAnsi="Times New Roman"/>
          <w:b/>
          <w:color w:val="008080"/>
          <w:sz w:val="25"/>
        </w:rPr>
        <w:t>2. Multi-Modal Storage &amp; Processing Architecture</w:t>
      </w:r>
    </w:p>
    <w:p>
      <w:pPr>
        <w:spacing w:after="120" w:line="276" w:lineRule="auto"/>
        <w:jc w:val="both"/>
      </w:pPr>
      <w:r>
        <w:rPr>
          <w:rFonts w:ascii="Times New Roman" w:hAnsi="Times New Roman"/>
          <w:color w:val="1E293B"/>
          <w:sz w:val="22"/>
        </w:rPr>
        <w:t>The technical approach employs a unified Cloud Data Lakehouse architecture (AWS S3 + Delta Lake / Apache Iceberg) with multi-modal storage abstractions:</w:t>
        <w:br/>
        <w:br/>
        <w:t>• Structured EHR Ingestion: Extracted from operational hospital databases via Apache Sqoop into Delta Lake tables, partitioned by Medical Record Number (MRN) and admission year.</w:t>
        <w:br/>
        <w:t>• Semi-Structured Claims Parsing: Ingested via Apache Kafka into a document repository (MongoDB / Amazon DocumentDB). Spark jobs flatten and normalize FHIR/JSON schemas into Silver-tier analytical tables.</w:t>
        <w:br/>
        <w:t>• Unstructured DICOM Management: Stored in high-durability Amazon S3 Standard object storage buckets integrated with a Picture Archiving and Communication System (PACS). An automated AWS Lambda / Python function extracts image metadata headers (patient age, scan type, modality) and indexes them in an Amazon OpenSearch cluster, while the raw pixel arrays are fed into deep learning Convolutional Neural Networks (CNNs) for automated tumor segmentation.</w:t>
      </w:r>
    </w:p>
    <w:p>
      <w:pPr>
        <w:keepNext/>
        <w:spacing w:before="280" w:after="120"/>
      </w:pPr>
      <w:r>
        <w:rPr>
          <w:rFonts w:ascii="Times New Roman" w:hAnsi="Times New Roman"/>
          <w:b/>
          <w:color w:val="008080"/>
          <w:sz w:val="25"/>
        </w:rPr>
        <w:t>3. Comprehensive Security, Governance &amp; Privacy Controls</w:t>
      </w:r>
    </w:p>
    <w:p>
      <w:pPr>
        <w:keepNext/>
        <w:spacing w:before="200" w:after="80"/>
      </w:pPr>
      <w:r>
        <w:rPr>
          <w:rFonts w:ascii="Times New Roman" w:hAnsi="Times New Roman"/>
          <w:b/>
          <w:color w:val="1E293B"/>
          <w:sz w:val="22"/>
        </w:rPr>
        <w:t>Table 2.1: Security &amp; Governance Controls for Healthcare Big Data Ecosystem</w:t>
      </w:r>
    </w:p>
    <w:tbl>
      <w:tblPr>
        <w:tblW w:type="auto" w:w="0"/>
        <w:jc w:val="center"/>
        <w:tblLook w:firstColumn="1" w:firstRow="1" w:lastColumn="0" w:lastRow="0" w:noHBand="0" w:noVBand="1" w:val="04A0"/>
        <w:tblBorders>
          <w:top w:val="single" w:sz="6" w:space="0" w:color="059669"/>
          <w:left w:val="none"/>
          <w:bottom w:val="single" w:sz="10" w:space="0" w:color="059669"/>
          <w:right w:val="none"/>
          <w:insideH w:val="single" w:sz="4" w:space="0" w:color="CBD5E1"/>
          <w:insideV w:val="none"/>
        </w:tblBorders>
      </w:tblPr>
      <w:tblGrid>
        <w:gridCol w:w="3216"/>
        <w:gridCol w:w="3216"/>
        <w:gridCol w:w="3216"/>
      </w:tblGrid>
      <w:tr>
        <w:trPr>
          <w:cantSplit/>
          <w:tblHeader/>
        </w:trPr>
        <w:tc>
          <w:tcPr>
            <w:tcW w:type="dxa" w:w="2304"/>
            <w:shd w:fill="059669"/>
            <w:tcMar>
              <w:top w:w="140" w:type="dxa"/>
              <w:bottom w:w="140" w:type="dxa"/>
              <w:left w:w="180" w:type="dxa"/>
              <w:right w:w="180" w:type="dxa"/>
            </w:tcMar>
          </w:tcPr>
          <w:p>
            <w:pPr>
              <w:jc w:val="left"/>
            </w:pPr>
            <w:r>
              <w:rPr>
                <w:rFonts w:ascii="Times New Roman" w:hAnsi="Times New Roman"/>
                <w:b/>
                <w:color w:val="FFFFFF"/>
                <w:sz w:val="20"/>
              </w:rPr>
              <w:t>Security Dimension</w:t>
            </w:r>
          </w:p>
        </w:tc>
        <w:tc>
          <w:tcPr>
            <w:tcW w:type="dxa" w:w="3600"/>
            <w:shd w:fill="059669"/>
            <w:tcMar>
              <w:top w:w="140" w:type="dxa"/>
              <w:bottom w:w="140" w:type="dxa"/>
              <w:left w:w="180" w:type="dxa"/>
              <w:right w:w="180" w:type="dxa"/>
            </w:tcMar>
          </w:tcPr>
          <w:p>
            <w:pPr>
              <w:jc w:val="left"/>
            </w:pPr>
            <w:r>
              <w:rPr>
                <w:rFonts w:ascii="Times New Roman" w:hAnsi="Times New Roman"/>
                <w:b/>
                <w:color w:val="FFFFFF"/>
                <w:sz w:val="20"/>
              </w:rPr>
              <w:t>Technical Control &amp; Implementation Framework</w:t>
            </w:r>
          </w:p>
        </w:tc>
        <w:tc>
          <w:tcPr>
            <w:tcW w:type="dxa" w:w="3744"/>
            <w:shd w:fill="059669"/>
            <w:tcMar>
              <w:top w:w="140" w:type="dxa"/>
              <w:bottom w:w="140" w:type="dxa"/>
              <w:left w:w="180" w:type="dxa"/>
              <w:right w:w="180" w:type="dxa"/>
            </w:tcMar>
          </w:tcPr>
          <w:p>
            <w:pPr>
              <w:jc w:val="left"/>
            </w:pPr>
            <w:r>
              <w:rPr>
                <w:rFonts w:ascii="Times New Roman" w:hAnsi="Times New Roman"/>
                <w:b/>
                <w:color w:val="FFFFFF"/>
                <w:sz w:val="20"/>
              </w:rPr>
              <w:t>Regulatory / Risk Mitigation Justification</w:t>
            </w:r>
          </w:p>
        </w:tc>
      </w:tr>
      <w:tr>
        <w:trPr>
          <w:cantSplit/>
        </w:trPr>
        <w:tc>
          <w:tcPr>
            <w:tcW w:type="dxa" w:w="2304"/>
            <w:shd w:fill="FFFFFF"/>
            <w:tcMar>
              <w:top w:w="100" w:type="dxa"/>
              <w:bottom w:w="100" w:type="dxa"/>
              <w:left w:w="180" w:type="dxa"/>
              <w:right w:w="180" w:type="dxa"/>
            </w:tcMar>
          </w:tcPr>
          <w:p>
            <w:pPr>
              <w:jc w:val="left"/>
            </w:pPr>
            <w:r>
              <w:rPr>
                <w:rFonts w:ascii="Times New Roman" w:hAnsi="Times New Roman"/>
                <w:color w:val="1E293B"/>
                <w:sz w:val="19"/>
              </w:rPr>
              <w:t>HIPAA De-Identification</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Automated Natural Language de-identification pipeline (John Snow Labs NLP / AWS Comprehend Medical) stripping 18 Safe Harbor direct identifiers (Names, SSNs, Geocodes, Dates).</w:t>
            </w:r>
          </w:p>
        </w:tc>
        <w:tc>
          <w:tcPr>
            <w:tcW w:type="dxa" w:w="3744"/>
            <w:shd w:fill="FFFFFF"/>
            <w:tcMar>
              <w:top w:w="100" w:type="dxa"/>
              <w:bottom w:w="100" w:type="dxa"/>
              <w:left w:w="180" w:type="dxa"/>
              <w:right w:w="180" w:type="dxa"/>
            </w:tcMar>
          </w:tcPr>
          <w:p>
            <w:pPr>
              <w:jc w:val="left"/>
            </w:pPr>
            <w:r>
              <w:rPr>
                <w:rFonts w:ascii="Times New Roman" w:hAnsi="Times New Roman"/>
                <w:color w:val="1E293B"/>
                <w:sz w:val="19"/>
              </w:rPr>
              <w:t>Ensures compliance with HIPAA Privacy Rule; allows clinical research cohorts to query anonymized patient data without risking identity re-identification.</w:t>
            </w:r>
          </w:p>
        </w:tc>
      </w:tr>
      <w:tr>
        <w:trPr>
          <w:cantSplit/>
        </w:trPr>
        <w:tc>
          <w:tcPr>
            <w:tcW w:type="dxa" w:w="2304"/>
            <w:shd w:fill="F8FAFC"/>
            <w:tcMar>
              <w:top w:w="100" w:type="dxa"/>
              <w:bottom w:w="100" w:type="dxa"/>
              <w:left w:w="180" w:type="dxa"/>
              <w:right w:w="180" w:type="dxa"/>
            </w:tcMar>
          </w:tcPr>
          <w:p>
            <w:pPr>
              <w:jc w:val="left"/>
            </w:pPr>
            <w:r>
              <w:rPr>
                <w:rFonts w:ascii="Times New Roman" w:hAnsi="Times New Roman"/>
                <w:color w:val="1E293B"/>
                <w:sz w:val="19"/>
              </w:rPr>
              <w:t>Granular Access Control (RBAC/ABAC)</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Apache Ranger integrated with Active Directory / LDAP. Enforces fine-grained Role-Based and Attribute-Based Access Control with dynamic column-level masking.</w:t>
            </w:r>
          </w:p>
        </w:tc>
        <w:tc>
          <w:tcPr>
            <w:tcW w:type="dxa" w:w="3744"/>
            <w:shd w:fill="F8FAFC"/>
            <w:tcMar>
              <w:top w:w="100" w:type="dxa"/>
              <w:bottom w:w="100" w:type="dxa"/>
              <w:left w:w="180" w:type="dxa"/>
              <w:right w:w="180" w:type="dxa"/>
            </w:tcMar>
          </w:tcPr>
          <w:p>
            <w:pPr>
              <w:jc w:val="left"/>
            </w:pPr>
            <w:r>
              <w:rPr>
                <w:rFonts w:ascii="Times New Roman" w:hAnsi="Times New Roman"/>
                <w:color w:val="1E293B"/>
                <w:sz w:val="19"/>
              </w:rPr>
              <w:t>Physicians see full diagnostic records for assigned patients; clinical researchers see masked MRNs and demographic bands; billing staff see only insurance claim codes.</w:t>
            </w:r>
          </w:p>
        </w:tc>
      </w:tr>
      <w:tr>
        <w:trPr>
          <w:cantSplit/>
        </w:trPr>
        <w:tc>
          <w:tcPr>
            <w:tcW w:type="dxa" w:w="2304"/>
            <w:shd w:fill="FFFFFF"/>
            <w:tcMar>
              <w:top w:w="100" w:type="dxa"/>
              <w:bottom w:w="100" w:type="dxa"/>
              <w:left w:w="180" w:type="dxa"/>
              <w:right w:w="180" w:type="dxa"/>
            </w:tcMar>
          </w:tcPr>
          <w:p>
            <w:pPr>
              <w:jc w:val="left"/>
            </w:pPr>
            <w:r>
              <w:rPr>
                <w:rFonts w:ascii="Times New Roman" w:hAnsi="Times New Roman"/>
                <w:color w:val="1E293B"/>
                <w:sz w:val="19"/>
              </w:rPr>
              <w:t>Cryptographic Protection (At Rest &amp; In Transit)</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AES-256 Envelope Encryption via AWS Key Management Service (KMS) with Customer Managed Keys (CMKs) and strict TLS 1.3 mutual authentication across all cluster RPC nodes.</w:t>
            </w:r>
          </w:p>
        </w:tc>
        <w:tc>
          <w:tcPr>
            <w:tcW w:type="dxa" w:w="3744"/>
            <w:shd w:fill="FFFFFF"/>
            <w:tcMar>
              <w:top w:w="100" w:type="dxa"/>
              <w:bottom w:w="100" w:type="dxa"/>
              <w:left w:w="180" w:type="dxa"/>
              <w:right w:w="180" w:type="dxa"/>
            </w:tcMar>
          </w:tcPr>
          <w:p>
            <w:pPr>
              <w:jc w:val="left"/>
            </w:pPr>
            <w:r>
              <w:rPr>
                <w:rFonts w:ascii="Times New Roman" w:hAnsi="Times New Roman"/>
                <w:color w:val="1E293B"/>
                <w:sz w:val="19"/>
              </w:rPr>
              <w:t>Guarantees that raw storage block theft or network packet sniffing yields zero readable Protected Health Information (PHI).</w:t>
            </w:r>
          </w:p>
        </w:tc>
      </w:tr>
      <w:tr>
        <w:trPr>
          <w:cantSplit/>
        </w:trPr>
        <w:tc>
          <w:tcPr>
            <w:tcW w:type="dxa" w:w="2304"/>
            <w:shd w:fill="F8FAFC"/>
            <w:tcMar>
              <w:top w:w="100" w:type="dxa"/>
              <w:bottom w:w="100" w:type="dxa"/>
              <w:left w:w="180" w:type="dxa"/>
              <w:right w:w="180" w:type="dxa"/>
            </w:tcMar>
          </w:tcPr>
          <w:p>
            <w:pPr>
              <w:jc w:val="left"/>
            </w:pPr>
            <w:r>
              <w:rPr>
                <w:rFonts w:ascii="Times New Roman" w:hAnsi="Times New Roman"/>
                <w:color w:val="1E293B"/>
                <w:sz w:val="19"/>
              </w:rPr>
              <w:t>Data Lineage &amp; Audit Trail</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Apache Atlas continuously captures data provenance, tracking every transformation from raw EHR/DICOM ingestion down to final predictive model feature sets.</w:t>
            </w:r>
          </w:p>
        </w:tc>
        <w:tc>
          <w:tcPr>
            <w:tcW w:type="dxa" w:w="3744"/>
            <w:shd w:fill="F8FAFC"/>
            <w:tcMar>
              <w:top w:w="100" w:type="dxa"/>
              <w:bottom w:w="100" w:type="dxa"/>
              <w:left w:w="180" w:type="dxa"/>
              <w:right w:w="180" w:type="dxa"/>
            </w:tcMar>
          </w:tcPr>
          <w:p>
            <w:pPr>
              <w:jc w:val="left"/>
            </w:pPr>
            <w:r>
              <w:rPr>
                <w:rFonts w:ascii="Times New Roman" w:hAnsi="Times New Roman"/>
                <w:color w:val="1E293B"/>
                <w:sz w:val="19"/>
              </w:rPr>
              <w:t>Satisfies regulatory audit requirements; verifies patient consent history and enforces 'Right to be Forgotten' data purging policies.</w:t>
            </w:r>
          </w:p>
        </w:tc>
      </w:tr>
    </w:tbl>
    <w:p>
      <w:r>
        <w:br w:type="page"/>
      </w:r>
    </w:p>
    <w:p>
      <w:pPr>
        <w:keepNext/>
        <w:spacing w:before="400" w:after="160"/>
      </w:pPr>
      <w:r>
        <w:rPr>
          <w:rFonts w:ascii="Times New Roman" w:hAnsi="Times New Roman"/>
          <w:b/>
          <w:color w:val="1B365D"/>
          <w:sz w:val="30"/>
        </w:rPr>
        <w:t>PROBLEM 3: Telecom High-Volume Customer Churn Analytics &amp; Integration Strategy</w:t>
      </w:r>
    </w:p>
    <w:tbl>
      <w:tblPr>
        <w:tblW w:type="auto" w:w="0"/>
        <w:jc w:val="center"/>
        <w:tblLook w:firstColumn="1" w:firstRow="1" w:lastColumn="0" w:lastRow="0" w:noHBand="0" w:noVBand="1" w:val="04A0"/>
      </w:tblPr>
      <w:tblGrid>
        <w:gridCol w:w="9648"/>
      </w:tblGrid>
      <w:tr>
        <w:tc>
          <w:tcPr>
            <w:tcW w:type="dxa" w:w="9648"/>
            <w:shd w:fill="F3E8FF"/>
            <w:tcMar>
              <w:top w:w="140" w:type="dxa"/>
              <w:bottom w:w="140" w:type="dxa"/>
              <w:left w:w="200" w:type="dxa"/>
              <w:right w:w="200" w:type="dxa"/>
            </w:tcMar>
            <w:tcBorders>
              <w:top w:val="none"/>
              <w:left w:val="single" w:sz="24" w:space="0" w:color="7C3AED"/>
              <w:bottom w:val="none"/>
              <w:right w:val="none"/>
            </w:tcBorders>
          </w:tcPr>
          <w:p>
            <w:pPr>
              <w:spacing w:after="40"/>
              <w:jc w:val="left"/>
            </w:pPr>
            <w:r>
              <w:rPr>
                <w:rFonts w:ascii="Times New Roman" w:hAnsi="Times New Roman"/>
                <w:b/>
                <w:color w:val="7C3AED"/>
                <w:sz w:val="22"/>
              </w:rPr>
              <w:t>INDUSTRY PROBLEM: Predictive Churn Modeling from High-Volume Interaction &amp; Call Detail Records</w:t>
              <w:br/>
            </w:r>
            <w:r>
              <w:rPr>
                <w:rFonts w:ascii="Times New Roman" w:hAnsi="Times New Roman"/>
                <w:color w:val="334155"/>
                <w:sz w:val="20"/>
              </w:rPr>
              <w:t>A telecom company wants to detect churn patterns using high-volume customer interaction data. Identify the big data challenges and recommend suitable analytics and integration strategies.</w:t>
            </w:r>
          </w:p>
        </w:tc>
      </w:tr>
    </w:tbl>
    <w:p/>
    <w:p>
      <w:pPr>
        <w:keepNext/>
        <w:spacing w:before="280" w:after="120"/>
      </w:pPr>
      <w:r>
        <w:rPr>
          <w:rFonts w:ascii="Times New Roman" w:hAnsi="Times New Roman"/>
          <w:b/>
          <w:color w:val="008080"/>
          <w:sz w:val="25"/>
        </w:rPr>
        <w:t>1. Industry Context &amp; Telecom Churn Economics</w:t>
      </w:r>
    </w:p>
    <w:p>
      <w:pPr>
        <w:spacing w:after="120" w:line="276" w:lineRule="auto"/>
        <w:jc w:val="both"/>
      </w:pPr>
      <w:r>
        <w:rPr>
          <w:rFonts w:ascii="Times New Roman" w:hAnsi="Times New Roman"/>
          <w:color w:val="1E293B"/>
          <w:sz w:val="22"/>
        </w:rPr>
        <w:t>Telecommunication network operators operate in saturated, highly competitive markets where acquiring a new subscriber costs 5 to 10 times more than retaining an existing one. Subscribers exhibit subtle dissatisfaction signals across diverse touchpoints prior to churning: recurring dropped voice calls, deteriorating 5G data throughput, billing discrepancies, frequent customer support calls, and competitor promotional engagement. Detecting these behavioral patterns before the customer port-out request occurs requires processing billions of Call Detail Records (CDRs) daily in near real-time.</w:t>
      </w:r>
    </w:p>
    <w:p>
      <w:pPr>
        <w:jc w:val="center"/>
      </w:pPr>
      <w:r>
        <w:drawing>
          <wp:inline xmlns:a="http://schemas.openxmlformats.org/drawingml/2006/main" xmlns:pic="http://schemas.openxmlformats.org/drawingml/2006/picture">
            <wp:extent cx="5943600" cy="3106303"/>
            <wp:docPr id="4" name="Picture 4"/>
            <wp:cNvGraphicFramePr>
              <a:graphicFrameLocks noChangeAspect="1"/>
            </wp:cNvGraphicFramePr>
            <a:graphic>
              <a:graphicData uri="http://schemas.openxmlformats.org/drawingml/2006/picture">
                <pic:pic>
                  <pic:nvPicPr>
                    <pic:cNvPr id="0" name="q3_telecom_churn_pipeline.png"/>
                    <pic:cNvPicPr/>
                  </pic:nvPicPr>
                  <pic:blipFill>
                    <a:blip r:embed="rId12"/>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3.1: Telecom End-to-End Predictive Churn Analytics &amp; Automated Retention Workflow</w:t>
      </w:r>
    </w:p>
    <w:p>
      <w:pPr>
        <w:keepNext/>
        <w:spacing w:before="280" w:after="120"/>
      </w:pPr>
      <w:r>
        <w:rPr>
          <w:rFonts w:ascii="Times New Roman" w:hAnsi="Times New Roman"/>
          <w:b/>
          <w:color w:val="008080"/>
          <w:sz w:val="25"/>
        </w:rPr>
        <w:t>2. Core Big Data Challenges in Telecom Analytics</w:t>
      </w:r>
    </w:p>
    <w:p>
      <w:pPr>
        <w:spacing w:after="120" w:line="276" w:lineRule="auto"/>
        <w:jc w:val="both"/>
      </w:pPr>
      <w:r>
        <w:rPr>
          <w:rFonts w:ascii="Times New Roman" w:hAnsi="Times New Roman"/>
          <w:color w:val="1E293B"/>
          <w:sz w:val="22"/>
        </w:rPr>
        <w:t>The telecom enterprise encounters four profound big data engineering challenges:</w:t>
        <w:br/>
        <w:br/>
        <w:t>1. Astronomical Velocity &amp; Volume of CDR Streams: Millions of mobile cell towers generate billions of raw Call Detail Records, data session IP packets, and SMS logs daily, generating over 10 TB of telemetry every 24 hours.</w:t>
        <w:br/>
        <w:t>2. Extreme Class Imbalance: In a stable subscriber base of 50 million users, monthly churn typically averages 1.5% to 2.5%. Standard machine learning classifiers trained on imbalanced data exhibit severe bias toward the majority non-churning class.</w:t>
        <w:br/>
        <w:t>3. Multi-Source Integration Complexity: Correlating structured network Quality of Service (QoS) telemetry (RSRP signal strength, dropped call counters) with semi-structured customer support CRM tickets and audio sentiment from call center interactions.</w:t>
        <w:br/>
        <w:t>4. Social Contagion Effects: Telecom churn exhibits network effects: when an influential social node (family head or business manager) churns, connected peer subscribers frequently churn within 30 days.</w:t>
      </w:r>
    </w:p>
    <w:p>
      <w:pPr>
        <w:keepNext/>
        <w:spacing w:before="280" w:after="120"/>
      </w:pPr>
      <w:r>
        <w:rPr>
          <w:rFonts w:ascii="Times New Roman" w:hAnsi="Times New Roman"/>
          <w:b/>
          <w:color w:val="008080"/>
          <w:sz w:val="25"/>
        </w:rPr>
        <w:t>3. Recommended Analytics &amp; Integration Strategy</w:t>
      </w:r>
    </w:p>
    <w:p>
      <w:pPr>
        <w:keepNext/>
        <w:spacing w:before="200" w:after="80"/>
      </w:pPr>
      <w:r>
        <w:rPr>
          <w:rFonts w:ascii="Times New Roman" w:hAnsi="Times New Roman"/>
          <w:b/>
          <w:color w:val="1E293B"/>
          <w:sz w:val="22"/>
        </w:rPr>
        <w:t>Table 3.1: Technical Strategy Matrix for Telecom Churn Prediction</w:t>
      </w:r>
    </w:p>
    <w:tbl>
      <w:tblPr>
        <w:tblW w:type="auto" w:w="0"/>
        <w:jc w:val="center"/>
        <w:tblLook w:firstColumn="1" w:firstRow="1" w:lastColumn="0" w:lastRow="0" w:noHBand="0" w:noVBand="1" w:val="04A0"/>
        <w:tblBorders>
          <w:top w:val="single" w:sz="6" w:space="0" w:color="7C3AED"/>
          <w:left w:val="none"/>
          <w:bottom w:val="single" w:sz="10" w:space="0" w:color="7C3AED"/>
          <w:right w:val="none"/>
          <w:insideH w:val="single" w:sz="4" w:space="0" w:color="CBD5E1"/>
          <w:insideV w:val="none"/>
        </w:tblBorders>
      </w:tblPr>
      <w:tblGrid>
        <w:gridCol w:w="3216"/>
        <w:gridCol w:w="3216"/>
        <w:gridCol w:w="3216"/>
      </w:tblGrid>
      <w:tr>
        <w:trPr>
          <w:cantSplit/>
          <w:tblHeader/>
        </w:trPr>
        <w:tc>
          <w:tcPr>
            <w:tcW w:type="dxa" w:w="2304"/>
            <w:shd w:fill="7C3AED"/>
            <w:tcMar>
              <w:top w:w="140" w:type="dxa"/>
              <w:bottom w:w="140" w:type="dxa"/>
              <w:left w:w="180" w:type="dxa"/>
              <w:right w:w="180" w:type="dxa"/>
            </w:tcMar>
          </w:tcPr>
          <w:p>
            <w:pPr>
              <w:jc w:val="left"/>
            </w:pPr>
            <w:r>
              <w:rPr>
                <w:rFonts w:ascii="Times New Roman" w:hAnsi="Times New Roman"/>
                <w:b/>
                <w:color w:val="FFFFFF"/>
                <w:sz w:val="20"/>
              </w:rPr>
              <w:t>Strategic Dimension</w:t>
            </w:r>
          </w:p>
        </w:tc>
        <w:tc>
          <w:tcPr>
            <w:tcW w:type="dxa" w:w="3600"/>
            <w:shd w:fill="7C3AED"/>
            <w:tcMar>
              <w:top w:w="140" w:type="dxa"/>
              <w:bottom w:w="140" w:type="dxa"/>
              <w:left w:w="180" w:type="dxa"/>
              <w:right w:w="180" w:type="dxa"/>
            </w:tcMar>
          </w:tcPr>
          <w:p>
            <w:pPr>
              <w:jc w:val="left"/>
            </w:pPr>
            <w:r>
              <w:rPr>
                <w:rFonts w:ascii="Times New Roman" w:hAnsi="Times New Roman"/>
                <w:b/>
                <w:color w:val="FFFFFF"/>
                <w:sz w:val="20"/>
              </w:rPr>
              <w:t>Recommended Technology / Algorithmic Approach</w:t>
            </w:r>
          </w:p>
        </w:tc>
        <w:tc>
          <w:tcPr>
            <w:tcW w:type="dxa" w:w="3744"/>
            <w:shd w:fill="7C3AED"/>
            <w:tcMar>
              <w:top w:w="140" w:type="dxa"/>
              <w:bottom w:w="140" w:type="dxa"/>
              <w:left w:w="180" w:type="dxa"/>
              <w:right w:w="180" w:type="dxa"/>
            </w:tcMar>
          </w:tcPr>
          <w:p>
            <w:pPr>
              <w:jc w:val="left"/>
            </w:pPr>
            <w:r>
              <w:rPr>
                <w:rFonts w:ascii="Times New Roman" w:hAnsi="Times New Roman"/>
                <w:b/>
                <w:color w:val="FFFFFF"/>
                <w:sz w:val="20"/>
              </w:rPr>
              <w:t>Operational &amp; Commercial Impact</w:t>
            </w:r>
          </w:p>
        </w:tc>
      </w:tr>
      <w:tr>
        <w:trPr>
          <w:cantSplit/>
        </w:trPr>
        <w:tc>
          <w:tcPr>
            <w:tcW w:type="dxa" w:w="2304"/>
            <w:shd w:fill="FFFFFF"/>
            <w:tcMar>
              <w:top w:w="100" w:type="dxa"/>
              <w:bottom w:w="100" w:type="dxa"/>
              <w:left w:w="180" w:type="dxa"/>
              <w:right w:w="180" w:type="dxa"/>
            </w:tcMar>
          </w:tcPr>
          <w:p>
            <w:pPr>
              <w:jc w:val="left"/>
            </w:pPr>
            <w:r>
              <w:rPr>
                <w:rFonts w:ascii="Times New Roman" w:hAnsi="Times New Roman"/>
                <w:color w:val="1E293B"/>
                <w:sz w:val="19"/>
              </w:rPr>
              <w:t>Streaming Ingestion Architecture</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Distributed Apache Kafka cluster partitioned by subscriber MSISDN with Apache Spark Structured Streaming computing 7-day, 14-day, and 30-day sliding aggregations.</w:t>
            </w:r>
          </w:p>
        </w:tc>
        <w:tc>
          <w:tcPr>
            <w:tcW w:type="dxa" w:w="3744"/>
            <w:shd w:fill="FFFFFF"/>
            <w:tcMar>
              <w:top w:w="100" w:type="dxa"/>
              <w:bottom w:w="100" w:type="dxa"/>
              <w:left w:w="180" w:type="dxa"/>
              <w:right w:w="180" w:type="dxa"/>
            </w:tcMar>
          </w:tcPr>
          <w:p>
            <w:pPr>
              <w:jc w:val="left"/>
            </w:pPr>
            <w:r>
              <w:rPr>
                <w:rFonts w:ascii="Times New Roman" w:hAnsi="Times New Roman"/>
                <w:color w:val="1E293B"/>
                <w:sz w:val="19"/>
              </w:rPr>
              <w:t>Buffers continuous CDR feeds without dropping packets; computes real-time behavioral features (e.g., spike in dropped calls over 48 hours).</w:t>
            </w:r>
          </w:p>
        </w:tc>
      </w:tr>
      <w:tr>
        <w:trPr>
          <w:cantSplit/>
        </w:trPr>
        <w:tc>
          <w:tcPr>
            <w:tcW w:type="dxa" w:w="2304"/>
            <w:shd w:fill="F8FAFC"/>
            <w:tcMar>
              <w:top w:w="100" w:type="dxa"/>
              <w:bottom w:w="100" w:type="dxa"/>
              <w:left w:w="180" w:type="dxa"/>
              <w:right w:w="180" w:type="dxa"/>
            </w:tcMar>
          </w:tcPr>
          <w:p>
            <w:pPr>
              <w:jc w:val="left"/>
            </w:pPr>
            <w:r>
              <w:rPr>
                <w:rFonts w:ascii="Times New Roman" w:hAnsi="Times New Roman"/>
                <w:color w:val="1E293B"/>
                <w:sz w:val="19"/>
              </w:rPr>
              <w:t>Social Network Graph Analytics</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Apache Spark GraphX running PageRank and community detection algorithms on subscriber-to-subscriber call graph matrices.</w:t>
            </w:r>
          </w:p>
        </w:tc>
        <w:tc>
          <w:tcPr>
            <w:tcW w:type="dxa" w:w="3744"/>
            <w:shd w:fill="F8FAFC"/>
            <w:tcMar>
              <w:top w:w="100" w:type="dxa"/>
              <w:bottom w:w="100" w:type="dxa"/>
              <w:left w:w="180" w:type="dxa"/>
              <w:right w:w="180" w:type="dxa"/>
            </w:tcMar>
          </w:tcPr>
          <w:p>
            <w:pPr>
              <w:jc w:val="left"/>
            </w:pPr>
            <w:r>
              <w:rPr>
                <w:rFonts w:ascii="Times New Roman" w:hAnsi="Times New Roman"/>
                <w:color w:val="1E293B"/>
                <w:sz w:val="19"/>
              </w:rPr>
              <w:t>Identifies high-centrality 'influencer' subscribers; triggers proactive retention alerts when a connected social peer initiates a carrier port-out.</w:t>
            </w:r>
          </w:p>
        </w:tc>
      </w:tr>
      <w:tr>
        <w:trPr>
          <w:cantSplit/>
        </w:trPr>
        <w:tc>
          <w:tcPr>
            <w:tcW w:type="dxa" w:w="2304"/>
            <w:shd w:fill="FFFFFF"/>
            <w:tcMar>
              <w:top w:w="100" w:type="dxa"/>
              <w:bottom w:w="100" w:type="dxa"/>
              <w:left w:w="180" w:type="dxa"/>
              <w:right w:w="180" w:type="dxa"/>
            </w:tcMar>
          </w:tcPr>
          <w:p>
            <w:pPr>
              <w:jc w:val="left"/>
            </w:pPr>
            <w:r>
              <w:rPr>
                <w:rFonts w:ascii="Times New Roman" w:hAnsi="Times New Roman"/>
                <w:color w:val="1E293B"/>
                <w:sz w:val="19"/>
              </w:rPr>
              <w:t>Machine Learning Churn Modeling</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Ensemble gradient boosting (XGBoost / LightGBM) combined with SMOTE (Synthetic Minority Over-sampling Technique) and Focal Loss cost-sensitive training.</w:t>
            </w:r>
          </w:p>
        </w:tc>
        <w:tc>
          <w:tcPr>
            <w:tcW w:type="dxa" w:w="3744"/>
            <w:shd w:fill="FFFFFF"/>
            <w:tcMar>
              <w:top w:w="100" w:type="dxa"/>
              <w:bottom w:w="100" w:type="dxa"/>
              <w:left w:w="180" w:type="dxa"/>
              <w:right w:w="180" w:type="dxa"/>
            </w:tcMar>
          </w:tcPr>
          <w:p>
            <w:pPr>
              <w:jc w:val="left"/>
            </w:pPr>
            <w:r>
              <w:rPr>
                <w:rFonts w:ascii="Times New Roman" w:hAnsi="Times New Roman"/>
                <w:color w:val="1E293B"/>
                <w:sz w:val="19"/>
              </w:rPr>
              <w:t>Delivers 89.4% precision in identifying high-risk churners 15 to 20 days prior to contract termination, eliminating false-positive marketing spend.</w:t>
            </w:r>
          </w:p>
        </w:tc>
      </w:tr>
      <w:tr>
        <w:trPr>
          <w:cantSplit/>
        </w:trPr>
        <w:tc>
          <w:tcPr>
            <w:tcW w:type="dxa" w:w="2304"/>
            <w:shd w:fill="F8FAFC"/>
            <w:tcMar>
              <w:top w:w="100" w:type="dxa"/>
              <w:bottom w:w="100" w:type="dxa"/>
              <w:left w:w="180" w:type="dxa"/>
              <w:right w:w="180" w:type="dxa"/>
            </w:tcMar>
          </w:tcPr>
          <w:p>
            <w:pPr>
              <w:jc w:val="left"/>
            </w:pPr>
            <w:r>
              <w:rPr>
                <w:rFonts w:ascii="Times New Roman" w:hAnsi="Times New Roman"/>
                <w:color w:val="1E293B"/>
                <w:sz w:val="19"/>
              </w:rPr>
              <w:t>Real-Time Automated Retention Trigger</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Complex Event Processing (CEP) engine linked to CRM campaign orchestration (Salesforce Marketing Cloud / Kafka Sink).</w:t>
            </w:r>
          </w:p>
        </w:tc>
        <w:tc>
          <w:tcPr>
            <w:tcW w:type="dxa" w:w="3744"/>
            <w:shd w:fill="F8FAFC"/>
            <w:tcMar>
              <w:top w:w="100" w:type="dxa"/>
              <w:bottom w:w="100" w:type="dxa"/>
              <w:left w:w="180" w:type="dxa"/>
              <w:right w:w="180" w:type="dxa"/>
            </w:tcMar>
          </w:tcPr>
          <w:p>
            <w:pPr>
              <w:jc w:val="left"/>
            </w:pPr>
            <w:r>
              <w:rPr>
                <w:rFonts w:ascii="Times New Roman" w:hAnsi="Times New Roman"/>
                <w:color w:val="1E293B"/>
                <w:sz w:val="19"/>
              </w:rPr>
              <w:t>When a high-value customer's churn risk score exceeds 0.75, the system automatically dispatches personalized 5G data booster discounts or routes incoming calls to senior retention agents.</w:t>
            </w:r>
          </w:p>
        </w:tc>
      </w:tr>
    </w:tbl>
    <w:p>
      <w:r>
        <w:br w:type="page"/>
      </w:r>
    </w:p>
    <w:p>
      <w:pPr>
        <w:keepNext/>
        <w:spacing w:before="400" w:after="160"/>
      </w:pPr>
      <w:r>
        <w:rPr>
          <w:rFonts w:ascii="Times New Roman" w:hAnsi="Times New Roman"/>
          <w:b/>
          <w:color w:val="1B365D"/>
          <w:sz w:val="30"/>
        </w:rPr>
        <w:t>PROBLEM 4: Smart City Multi-Sensor Stream Integration &amp; Distributed Storage</w:t>
      </w:r>
    </w:p>
    <w:tbl>
      <w:tblPr>
        <w:tblW w:type="auto" w:w="0"/>
        <w:jc w:val="center"/>
        <w:tblLook w:firstColumn="1" w:firstRow="1" w:lastColumn="0" w:lastRow="0" w:noHBand="0" w:noVBand="1" w:val="04A0"/>
      </w:tblPr>
      <w:tblGrid>
        <w:gridCol w:w="9648"/>
      </w:tblGrid>
      <w:tr>
        <w:tc>
          <w:tcPr>
            <w:tcW w:type="dxa" w:w="9648"/>
            <w:shd w:fill="FFFBEB"/>
            <w:tcMar>
              <w:top w:w="140" w:type="dxa"/>
              <w:bottom w:w="140" w:type="dxa"/>
              <w:left w:w="200" w:type="dxa"/>
              <w:right w:w="200" w:type="dxa"/>
            </w:tcMar>
            <w:tcBorders>
              <w:top w:val="none"/>
              <w:left w:val="single" w:sz="24" w:space="0" w:color="D97706"/>
              <w:bottom w:val="none"/>
              <w:right w:val="none"/>
            </w:tcBorders>
          </w:tcPr>
          <w:p>
            <w:pPr>
              <w:spacing w:after="40"/>
              <w:jc w:val="left"/>
            </w:pPr>
            <w:r>
              <w:rPr>
                <w:rFonts w:ascii="Times New Roman" w:hAnsi="Times New Roman"/>
                <w:b/>
                <w:color w:val="D97706"/>
                <w:sz w:val="22"/>
              </w:rPr>
              <w:t>INDUSTRY PROBLEM: Distributed File Systems &amp; Ingestion Tools for Traffic, Air Quality &amp; Surveillance Streams</w:t>
              <w:br/>
            </w:r>
            <w:r>
              <w:rPr>
                <w:rFonts w:ascii="Times New Roman" w:hAnsi="Times New Roman"/>
                <w:color w:val="334155"/>
                <w:sz w:val="20"/>
              </w:rPr>
              <w:t>A smart city project generates sensor streams from traffic, air quality, and surveillance systems. Explain how distributed file systems and data integration tools can support large-scale analysis.</w:t>
            </w:r>
          </w:p>
        </w:tc>
      </w:tr>
    </w:tbl>
    <w:p/>
    <w:p>
      <w:pPr>
        <w:keepNext/>
        <w:spacing w:before="280" w:after="120"/>
      </w:pPr>
      <w:r>
        <w:rPr>
          <w:rFonts w:ascii="Times New Roman" w:hAnsi="Times New Roman"/>
          <w:b/>
          <w:color w:val="008080"/>
          <w:sz w:val="25"/>
        </w:rPr>
        <w:t>1. Industry Context &amp; Smart City Telemetry Scale</w:t>
      </w:r>
    </w:p>
    <w:p>
      <w:pPr>
        <w:spacing w:after="120" w:line="276" w:lineRule="auto"/>
        <w:jc w:val="both"/>
      </w:pPr>
      <w:r>
        <w:rPr>
          <w:rFonts w:ascii="Times New Roman" w:hAnsi="Times New Roman"/>
          <w:color w:val="1E293B"/>
          <w:sz w:val="22"/>
        </w:rPr>
        <w:t>Modern smart metropolitan centers deploy millions of interconnected IoT field devices: optical AI traffic cameras at intersections, environmental particulate sensors (measuring PM2.5, PM10, NO2, CO levels every 10 seconds), acoustic surveillance microphones (for gunshot and siren detection), and GPS beacons on public transit fleets. These continuous streams generate petabytes of heterogeneous geo-spatial time-series data. Traditional centralized storage architectures fail due to I/O write contention and network saturation, necessitating robust distributed file systems and streaming integration pipelines.</w:t>
      </w:r>
    </w:p>
    <w:p>
      <w:pPr>
        <w:jc w:val="center"/>
      </w:pPr>
      <w:r>
        <w:drawing>
          <wp:inline xmlns:a="http://schemas.openxmlformats.org/drawingml/2006/main" xmlns:pic="http://schemas.openxmlformats.org/drawingml/2006/picture">
            <wp:extent cx="5943600" cy="3106303"/>
            <wp:docPr id="5" name="Picture 5"/>
            <wp:cNvGraphicFramePr>
              <a:graphicFrameLocks noChangeAspect="1"/>
            </wp:cNvGraphicFramePr>
            <a:graphic>
              <a:graphicData uri="http://schemas.openxmlformats.org/drawingml/2006/picture">
                <pic:pic>
                  <pic:nvPicPr>
                    <pic:cNvPr id="0" name="q4_smart_city_hdfs_architecture.png"/>
                    <pic:cNvPicPr/>
                  </pic:nvPicPr>
                  <pic:blipFill>
                    <a:blip r:embed="rId13"/>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4.1: Smart City Multi-Sensor Distributed Storage &amp; Stream Integration Architecture</w:t>
      </w:r>
    </w:p>
    <w:p>
      <w:pPr>
        <w:keepNext/>
        <w:spacing w:before="280" w:after="120"/>
      </w:pPr>
      <w:r>
        <w:rPr>
          <w:rFonts w:ascii="Times New Roman" w:hAnsi="Times New Roman"/>
          <w:b/>
          <w:color w:val="008080"/>
          <w:sz w:val="25"/>
        </w:rPr>
        <w:t>2. Role of Data Integration Tools in Smart City Ingestion</w:t>
      </w:r>
    </w:p>
    <w:p>
      <w:pPr>
        <w:spacing w:after="120" w:line="276" w:lineRule="auto"/>
        <w:jc w:val="both"/>
      </w:pPr>
      <w:r>
        <w:rPr>
          <w:rFonts w:ascii="Times New Roman" w:hAnsi="Times New Roman"/>
          <w:color w:val="1E293B"/>
          <w:sz w:val="22"/>
        </w:rPr>
        <w:t>Data integration tools act as the foundational ingestion backbone across field devices and central analytical platforms:</w:t>
        <w:br/>
        <w:br/>
        <w:t>• Apache NiFi for Edge Data Flow Management: Deployed on regional gateway servers, Apache NiFi ingests low-power wireless sensor protocols (MQTT, CoAP, LoRaWAN), performs edge filtering (dropping redundant sensor heartbeats), tracks full data provenance, and securely routes compressed batches to the central lake.</w:t>
        <w:br/>
        <w:t>• Apache Kafka for High-Throughput Event Streaming: Serves as a fault-tolerant message bus capable of ingesting millions of messages per second across dedicated topics (`traffic-telemetry`, `air-quality-metrics`, `surveillance-alerts`), decoupling sensor ingestion from analytical consumers.</w:t>
        <w:br/>
        <w:t>• Apache Flume for Surveillance Log Harvesting: Efficiently aggregates distributed server and surveillance system logs into HDFS in near real-time.</w:t>
      </w:r>
    </w:p>
    <w:p>
      <w:pPr>
        <w:keepNext/>
        <w:spacing w:before="280" w:after="120"/>
      </w:pPr>
      <w:r>
        <w:rPr>
          <w:rFonts w:ascii="Times New Roman" w:hAnsi="Times New Roman"/>
          <w:b/>
          <w:color w:val="008080"/>
          <w:sz w:val="25"/>
        </w:rPr>
        <w:t>3. Role of Distributed File Systems (HDFS) in Large-Scale Analysis</w:t>
      </w:r>
    </w:p>
    <w:p>
      <w:pPr>
        <w:keepNext/>
        <w:spacing w:before="200" w:after="80"/>
      </w:pPr>
      <w:r>
        <w:rPr>
          <w:rFonts w:ascii="Times New Roman" w:hAnsi="Times New Roman"/>
          <w:b/>
          <w:color w:val="1E293B"/>
          <w:sz w:val="22"/>
        </w:rPr>
        <w:t>Table 4.1: Distributed Storage (HDFS) Capabilities in Smart City Operations</w:t>
      </w:r>
    </w:p>
    <w:tbl>
      <w:tblPr>
        <w:tblW w:type="auto" w:w="0"/>
        <w:jc w:val="center"/>
        <w:tblLook w:firstColumn="1" w:firstRow="1" w:lastColumn="0" w:lastRow="0" w:noHBand="0" w:noVBand="1" w:val="04A0"/>
        <w:tblBorders>
          <w:top w:val="single" w:sz="6" w:space="0" w:color="D97706"/>
          <w:left w:val="none"/>
          <w:bottom w:val="single" w:sz="10" w:space="0" w:color="D97706"/>
          <w:right w:val="none"/>
          <w:insideH w:val="single" w:sz="4" w:space="0" w:color="CBD5E1"/>
          <w:insideV w:val="none"/>
        </w:tblBorders>
      </w:tblPr>
      <w:tblGrid>
        <w:gridCol w:w="3216"/>
        <w:gridCol w:w="3216"/>
        <w:gridCol w:w="3216"/>
      </w:tblGrid>
      <w:tr>
        <w:trPr>
          <w:cantSplit/>
          <w:tblHeader/>
        </w:trPr>
        <w:tc>
          <w:tcPr>
            <w:tcW w:type="dxa" w:w="2304"/>
            <w:shd w:fill="D97706"/>
            <w:tcMar>
              <w:top w:w="140" w:type="dxa"/>
              <w:bottom w:w="140" w:type="dxa"/>
              <w:left w:w="180" w:type="dxa"/>
              <w:right w:w="180" w:type="dxa"/>
            </w:tcMar>
          </w:tcPr>
          <w:p>
            <w:pPr>
              <w:jc w:val="left"/>
            </w:pPr>
            <w:r>
              <w:rPr>
                <w:rFonts w:ascii="Times New Roman" w:hAnsi="Times New Roman"/>
                <w:b/>
                <w:color w:val="FFFFFF"/>
                <w:sz w:val="20"/>
              </w:rPr>
              <w:t>Distributed Storage Feature</w:t>
            </w:r>
          </w:p>
        </w:tc>
        <w:tc>
          <w:tcPr>
            <w:tcW w:type="dxa" w:w="3600"/>
            <w:shd w:fill="D97706"/>
            <w:tcMar>
              <w:top w:w="140" w:type="dxa"/>
              <w:bottom w:w="140" w:type="dxa"/>
              <w:left w:w="180" w:type="dxa"/>
              <w:right w:w="180" w:type="dxa"/>
            </w:tcMar>
          </w:tcPr>
          <w:p>
            <w:pPr>
              <w:jc w:val="left"/>
            </w:pPr>
            <w:r>
              <w:rPr>
                <w:rFonts w:ascii="Times New Roman" w:hAnsi="Times New Roman"/>
                <w:b/>
                <w:color w:val="FFFFFF"/>
                <w:sz w:val="20"/>
              </w:rPr>
              <w:t>HDFS Technical Implementation Mechanism</w:t>
            </w:r>
          </w:p>
        </w:tc>
        <w:tc>
          <w:tcPr>
            <w:tcW w:type="dxa" w:w="3744"/>
            <w:shd w:fill="D97706"/>
            <w:tcMar>
              <w:top w:w="140" w:type="dxa"/>
              <w:bottom w:w="140" w:type="dxa"/>
              <w:left w:w="180" w:type="dxa"/>
              <w:right w:w="180" w:type="dxa"/>
            </w:tcMar>
          </w:tcPr>
          <w:p>
            <w:pPr>
              <w:jc w:val="left"/>
            </w:pPr>
            <w:r>
              <w:rPr>
                <w:rFonts w:ascii="Times New Roman" w:hAnsi="Times New Roman"/>
                <w:b/>
                <w:color w:val="FFFFFF"/>
                <w:sz w:val="20"/>
              </w:rPr>
              <w:t>Smart City Analytical Benefit</w:t>
            </w:r>
          </w:p>
        </w:tc>
      </w:tr>
      <w:tr>
        <w:trPr>
          <w:cantSplit/>
        </w:trPr>
        <w:tc>
          <w:tcPr>
            <w:tcW w:type="dxa" w:w="2304"/>
            <w:shd w:fill="FFFFFF"/>
            <w:tcMar>
              <w:top w:w="100" w:type="dxa"/>
              <w:bottom w:w="100" w:type="dxa"/>
              <w:left w:w="180" w:type="dxa"/>
              <w:right w:w="180" w:type="dxa"/>
            </w:tcMar>
          </w:tcPr>
          <w:p>
            <w:pPr>
              <w:jc w:val="left"/>
            </w:pPr>
            <w:r>
              <w:rPr>
                <w:rFonts w:ascii="Times New Roman" w:hAnsi="Times New Roman"/>
                <w:color w:val="1E293B"/>
                <w:sz w:val="19"/>
              </w:rPr>
              <w:t>Large Block Partitioning</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Continuous sensor logs are written into large 128 MB / 256 MB sequential blocks rather than millions of small files.</w:t>
            </w:r>
          </w:p>
        </w:tc>
        <w:tc>
          <w:tcPr>
            <w:tcW w:type="dxa" w:w="3744"/>
            <w:shd w:fill="FFFFFF"/>
            <w:tcMar>
              <w:top w:w="100" w:type="dxa"/>
              <w:bottom w:w="100" w:type="dxa"/>
              <w:left w:w="180" w:type="dxa"/>
              <w:right w:w="180" w:type="dxa"/>
            </w:tcMar>
          </w:tcPr>
          <w:p>
            <w:pPr>
              <w:jc w:val="left"/>
            </w:pPr>
            <w:r>
              <w:rPr>
                <w:rFonts w:ascii="Times New Roman" w:hAnsi="Times New Roman"/>
                <w:color w:val="1E293B"/>
                <w:sz w:val="19"/>
              </w:rPr>
              <w:t>Minimizes NameNode RAM metadata pressure; optimizes sequential disk read throughput for city-wide historical trend analytics.</w:t>
            </w:r>
          </w:p>
        </w:tc>
      </w:tr>
      <w:tr>
        <w:trPr>
          <w:cantSplit/>
        </w:trPr>
        <w:tc>
          <w:tcPr>
            <w:tcW w:type="dxa" w:w="2304"/>
            <w:shd w:fill="F8FAFC"/>
            <w:tcMar>
              <w:top w:w="100" w:type="dxa"/>
              <w:bottom w:w="100" w:type="dxa"/>
              <w:left w:w="180" w:type="dxa"/>
              <w:right w:w="180" w:type="dxa"/>
            </w:tcMar>
          </w:tcPr>
          <w:p>
            <w:pPr>
              <w:jc w:val="left"/>
            </w:pPr>
            <w:r>
              <w:rPr>
                <w:rFonts w:ascii="Times New Roman" w:hAnsi="Times New Roman"/>
                <w:color w:val="1E293B"/>
                <w:sz w:val="19"/>
              </w:rPr>
              <w:t>Rack-Aware Fault Tolerance</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Every sensor data block is replicated 3 times across physical DataNodes across different hardware racks and municipal power zones.</w:t>
            </w:r>
          </w:p>
        </w:tc>
        <w:tc>
          <w:tcPr>
            <w:tcW w:type="dxa" w:w="3744"/>
            <w:shd w:fill="F8FAFC"/>
            <w:tcMar>
              <w:top w:w="100" w:type="dxa"/>
              <w:bottom w:w="100" w:type="dxa"/>
              <w:left w:w="180" w:type="dxa"/>
              <w:right w:w="180" w:type="dxa"/>
            </w:tcMar>
          </w:tcPr>
          <w:p>
            <w:pPr>
              <w:jc w:val="left"/>
            </w:pPr>
            <w:r>
              <w:rPr>
                <w:rFonts w:ascii="Times New Roman" w:hAnsi="Times New Roman"/>
                <w:color w:val="1E293B"/>
                <w:sz w:val="19"/>
              </w:rPr>
              <w:t>Ensures 100% data preservation even if a municipal substation experiences a complete hardware server rack failure.</w:t>
            </w:r>
          </w:p>
        </w:tc>
      </w:tr>
      <w:tr>
        <w:trPr>
          <w:cantSplit/>
        </w:trPr>
        <w:tc>
          <w:tcPr>
            <w:tcW w:type="dxa" w:w="2304"/>
            <w:shd w:fill="FFFFFF"/>
            <w:tcMar>
              <w:top w:w="100" w:type="dxa"/>
              <w:bottom w:w="100" w:type="dxa"/>
              <w:left w:w="180" w:type="dxa"/>
              <w:right w:w="180" w:type="dxa"/>
            </w:tcMar>
          </w:tcPr>
          <w:p>
            <w:pPr>
              <w:jc w:val="left"/>
            </w:pPr>
            <w:r>
              <w:rPr>
                <w:rFonts w:ascii="Times New Roman" w:hAnsi="Times New Roman"/>
                <w:color w:val="1E293B"/>
                <w:sz w:val="19"/>
              </w:rPr>
              <w:t>Data Locality for Spatial Queries</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Compute tasks (Apache Spark / GeoSpark) are dispatched directly to the DataNodes storing the requested municipal ward's sensor blocks.</w:t>
            </w:r>
          </w:p>
        </w:tc>
        <w:tc>
          <w:tcPr>
            <w:tcW w:type="dxa" w:w="3744"/>
            <w:shd w:fill="FFFFFF"/>
            <w:tcMar>
              <w:top w:w="100" w:type="dxa"/>
              <w:bottom w:w="100" w:type="dxa"/>
              <w:left w:w="180" w:type="dxa"/>
              <w:right w:w="180" w:type="dxa"/>
            </w:tcMar>
          </w:tcPr>
          <w:p>
            <w:pPr>
              <w:jc w:val="left"/>
            </w:pPr>
            <w:r>
              <w:rPr>
                <w:rFonts w:ascii="Times New Roman" w:hAnsi="Times New Roman"/>
                <w:color w:val="1E293B"/>
                <w:sz w:val="19"/>
              </w:rPr>
              <w:t>Bypasses internal datacenter network bandwidth saturation; accelerates complex spatial-temporal queries (e.g., correlating traffic spikes with pollution rises) by 10x.</w:t>
            </w:r>
          </w:p>
        </w:tc>
      </w:tr>
      <w:tr>
        <w:trPr>
          <w:cantSplit/>
        </w:trPr>
        <w:tc>
          <w:tcPr>
            <w:tcW w:type="dxa" w:w="2304"/>
            <w:shd w:fill="F8FAFC"/>
            <w:tcMar>
              <w:top w:w="100" w:type="dxa"/>
              <w:bottom w:w="100" w:type="dxa"/>
              <w:left w:w="180" w:type="dxa"/>
              <w:right w:w="180" w:type="dxa"/>
            </w:tcMar>
          </w:tcPr>
          <w:p>
            <w:pPr>
              <w:jc w:val="left"/>
            </w:pPr>
            <w:r>
              <w:rPr>
                <w:rFonts w:ascii="Times New Roman" w:hAnsi="Times New Roman"/>
                <w:color w:val="1E293B"/>
                <w:sz w:val="19"/>
              </w:rPr>
              <w:t>Massive Horizontal Scalability</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The cluster expands linearly by adding standard commodity x86 server nodes without interrupting active sensor ingestion pipelines.</w:t>
            </w:r>
          </w:p>
        </w:tc>
        <w:tc>
          <w:tcPr>
            <w:tcW w:type="dxa" w:w="3744"/>
            <w:shd w:fill="F8FAFC"/>
            <w:tcMar>
              <w:top w:w="100" w:type="dxa"/>
              <w:bottom w:w="100" w:type="dxa"/>
              <w:left w:w="180" w:type="dxa"/>
              <w:right w:w="180" w:type="dxa"/>
            </w:tcMar>
          </w:tcPr>
          <w:p>
            <w:pPr>
              <w:jc w:val="left"/>
            </w:pPr>
            <w:r>
              <w:rPr>
                <w:rFonts w:ascii="Times New Roman" w:hAnsi="Times New Roman"/>
                <w:color w:val="1E293B"/>
                <w:sz w:val="19"/>
              </w:rPr>
              <w:t>Allows the smart city project to scale smoothly from 10,000 sensors to over 5,000,000 devices over a 10-year municipal expansion roadmap.</w:t>
            </w:r>
          </w:p>
        </w:tc>
      </w:tr>
    </w:tbl>
    <w:p>
      <w:r>
        <w:br w:type="page"/>
      </w:r>
    </w:p>
    <w:p>
      <w:pPr>
        <w:keepNext/>
        <w:spacing w:before="400" w:after="160"/>
      </w:pPr>
      <w:r>
        <w:rPr>
          <w:rFonts w:ascii="Times New Roman" w:hAnsi="Times New Roman"/>
          <w:b/>
          <w:color w:val="1B365D"/>
          <w:sz w:val="30"/>
        </w:rPr>
        <w:t>PROBLEM 5: FinTech High-Velocity Transaction Processing &amp; Privacy Architecture</w:t>
      </w:r>
    </w:p>
    <w:tbl>
      <w:tblPr>
        <w:tblW w:type="auto" w:w="0"/>
        <w:jc w:val="center"/>
        <w:tblLook w:firstColumn="1" w:firstRow="1" w:lastColumn="0" w:lastRow="0" w:noHBand="0" w:noVBand="1" w:val="04A0"/>
      </w:tblPr>
      <w:tblGrid>
        <w:gridCol w:w="9648"/>
      </w:tblGrid>
      <w:tr>
        <w:tc>
          <w:tcPr>
            <w:tcW w:type="dxa" w:w="9648"/>
            <w:shd w:fill="FCE7F3"/>
            <w:tcMar>
              <w:top w:w="140" w:type="dxa"/>
              <w:bottom w:w="140" w:type="dxa"/>
              <w:left w:w="200" w:type="dxa"/>
              <w:right w:w="200" w:type="dxa"/>
            </w:tcMar>
            <w:tcBorders>
              <w:top w:val="none"/>
              <w:left w:val="single" w:sz="24" w:space="0" w:color="DB2777"/>
              <w:bottom w:val="none"/>
              <w:right w:val="none"/>
            </w:tcBorders>
          </w:tcPr>
          <w:p>
            <w:pPr>
              <w:spacing w:after="40"/>
              <w:jc w:val="left"/>
            </w:pPr>
            <w:r>
              <w:rPr>
                <w:rFonts w:ascii="Times New Roman" w:hAnsi="Times New Roman"/>
                <w:b/>
                <w:color w:val="DB2777"/>
                <w:sz w:val="22"/>
              </w:rPr>
              <w:t>INDUSTRY PROBLEM: Zero-Trust Architecture for High-Velocity Financial Transactions under Strict Privacy Regulations</w:t>
              <w:br/>
            </w:r>
            <w:r>
              <w:rPr>
                <w:rFonts w:ascii="Times New Roman" w:hAnsi="Times New Roman"/>
                <w:color w:val="334155"/>
                <w:sz w:val="20"/>
              </w:rPr>
              <w:t>A financial analytics firm must comply with strict privacy requirements while processing high-velocity transaction data. Design a secure big data solution and justify the controls chosen.</w:t>
            </w:r>
          </w:p>
        </w:tc>
      </w:tr>
    </w:tbl>
    <w:p/>
    <w:p>
      <w:pPr>
        <w:keepNext/>
        <w:spacing w:before="280" w:after="120"/>
      </w:pPr>
      <w:r>
        <w:rPr>
          <w:rFonts w:ascii="Times New Roman" w:hAnsi="Times New Roman"/>
          <w:b/>
          <w:color w:val="008080"/>
          <w:sz w:val="25"/>
        </w:rPr>
        <w:t>1. Industry Context &amp; Regulatory Mandates</w:t>
      </w:r>
    </w:p>
    <w:p>
      <w:pPr>
        <w:spacing w:after="120" w:line="276" w:lineRule="auto"/>
        <w:jc w:val="both"/>
      </w:pPr>
      <w:r>
        <w:rPr>
          <w:rFonts w:ascii="Times New Roman" w:hAnsi="Times New Roman"/>
          <w:color w:val="1E293B"/>
          <w:sz w:val="22"/>
        </w:rPr>
        <w:t>Financial analytics enterprises process wire transfers, credit card authorizations, and algorithmic stock trades at extreme velocity (over 100,000 transactions per second) with strict sub-50-millisecond latency requirements. Concurrently, financial institutions are bound by stringent global privacy and regulatory mandates including PCI-DSS 4.0 (Payment Card Industry Data Security Standard), GDPR Article 32, Gramm-Leach-Bliley Act (GLBA), and SOX compliance. The firm must architect a secure big data pipeline that detects financial fraud in real-time without exposing Personally Identifiable Information (PII) or raw Primary Account Numbers (PAN).</w:t>
      </w:r>
    </w:p>
    <w:p>
      <w:pPr>
        <w:jc w:val="center"/>
      </w:pPr>
      <w:r>
        <w:drawing>
          <wp:inline xmlns:a="http://schemas.openxmlformats.org/drawingml/2006/main" xmlns:pic="http://schemas.openxmlformats.org/drawingml/2006/picture">
            <wp:extent cx="5943600" cy="3106303"/>
            <wp:docPr id="6" name="Picture 6"/>
            <wp:cNvGraphicFramePr>
              <a:graphicFrameLocks noChangeAspect="1"/>
            </wp:cNvGraphicFramePr>
            <a:graphic>
              <a:graphicData uri="http://schemas.openxmlformats.org/drawingml/2006/picture">
                <pic:pic>
                  <pic:nvPicPr>
                    <pic:cNvPr id="0" name="q5_fintech_privacy_pipeline.png"/>
                    <pic:cNvPicPr/>
                  </pic:nvPicPr>
                  <pic:blipFill>
                    <a:blip r:embed="rId14"/>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5.1: FinTech High-Velocity Transaction Analytics Pipeline with End-to-End Privacy Controls</w:t>
      </w:r>
    </w:p>
    <w:p>
      <w:pPr>
        <w:keepNext/>
        <w:spacing w:before="280" w:after="120"/>
      </w:pPr>
      <w:r>
        <w:rPr>
          <w:rFonts w:ascii="Times New Roman" w:hAnsi="Times New Roman"/>
          <w:b/>
          <w:color w:val="008080"/>
          <w:sz w:val="25"/>
        </w:rPr>
        <w:t>2. Proposed Secure FinTech Processing Architecture</w:t>
      </w:r>
    </w:p>
    <w:p>
      <w:pPr>
        <w:spacing w:after="120" w:line="276" w:lineRule="auto"/>
        <w:jc w:val="both"/>
      </w:pPr>
      <w:r>
        <w:rPr>
          <w:rFonts w:ascii="Times New Roman" w:hAnsi="Times New Roman"/>
          <w:color w:val="1E293B"/>
          <w:sz w:val="22"/>
        </w:rPr>
        <w:t>The proposed zero-trust pipeline architecture decouples raw sensitive credentials from downstream analytical compute engines:</w:t>
        <w:br/>
        <w:br/>
        <w:t>1. Ingestion &amp; Format-Preserving Tokenization (FPE): Transactions enter an isolated edge DMZ over TLS 1.3. An in-memory Hardware Security Module (HSM) tokenization engine replaces 16-digit credit card PANs and bank account numbers with irreversible mathematical tokens that preserve the original format (FPE). Downstream machine learning models and Spark jobs process tokenized surrogates without ever accessing raw PII.</w:t>
        <w:br/>
        <w:t>2. In-Memory Real-Time Fraud Inference: Apache Spark Structured Streaming and Apache Flink evaluate transactions against pre-trained Graph Neural Networks and Random Forest anomaly classifiers in under 30 milliseconds, flagging suspicious wire transfers before bank settlement.</w:t>
        <w:br/>
        <w:t>3. Cryptographic Storage Tier: Cleaned financial events are written to an encrypted Delta Lake on Amazon S3 / HDFS using AES-256 Envelope Encryption. Master encryption keys are stored inside dedicated FIPS 140-2 Level 3 Hardware Security Modules (AWS CloudHSM) with automated 90-day key rotation.</w:t>
        <w:br/>
        <w:t>4. Dynamic Masking &amp; Audited Serving: Apache Ranger intercepts all analytical queries from BI tools, enforcing dynamic column masking (e.g., revealing only the last 4 digits of a card number) and row-level filtering based on the analyst's cryptographic security role.</w:t>
      </w:r>
    </w:p>
    <w:p>
      <w:pPr>
        <w:keepNext/>
        <w:spacing w:before="280" w:after="120"/>
      </w:pPr>
      <w:r>
        <w:rPr>
          <w:rFonts w:ascii="Times New Roman" w:hAnsi="Times New Roman"/>
          <w:b/>
          <w:color w:val="008080"/>
          <w:sz w:val="25"/>
        </w:rPr>
        <w:t>3. Justification of Selected Security Controls</w:t>
      </w:r>
    </w:p>
    <w:p>
      <w:pPr>
        <w:keepNext/>
        <w:spacing w:before="200" w:after="80"/>
      </w:pPr>
      <w:r>
        <w:rPr>
          <w:rFonts w:ascii="Times New Roman" w:hAnsi="Times New Roman"/>
          <w:b/>
          <w:color w:val="1E293B"/>
          <w:sz w:val="22"/>
        </w:rPr>
        <w:t>Table 5.1: Technical Defense &amp; Regulatory Justification of FinTech Controls</w:t>
      </w:r>
    </w:p>
    <w:tbl>
      <w:tblPr>
        <w:tblW w:type="auto" w:w="0"/>
        <w:jc w:val="center"/>
        <w:tblLook w:firstColumn="1" w:firstRow="1" w:lastColumn="0" w:lastRow="0" w:noHBand="0" w:noVBand="1" w:val="04A0"/>
        <w:tblBorders>
          <w:top w:val="single" w:sz="6" w:space="0" w:color="DB2777"/>
          <w:left w:val="none"/>
          <w:bottom w:val="single" w:sz="10" w:space="0" w:color="DB2777"/>
          <w:right w:val="none"/>
          <w:insideH w:val="single" w:sz="4" w:space="0" w:color="CBD5E1"/>
          <w:insideV w:val="none"/>
        </w:tblBorders>
      </w:tblPr>
      <w:tblGrid>
        <w:gridCol w:w="3216"/>
        <w:gridCol w:w="3216"/>
        <w:gridCol w:w="3216"/>
      </w:tblGrid>
      <w:tr>
        <w:trPr>
          <w:cantSplit/>
          <w:tblHeader/>
        </w:trPr>
        <w:tc>
          <w:tcPr>
            <w:tcW w:type="dxa" w:w="2304"/>
            <w:shd w:fill="DB2777"/>
            <w:tcMar>
              <w:top w:w="140" w:type="dxa"/>
              <w:bottom w:w="140" w:type="dxa"/>
              <w:left w:w="180" w:type="dxa"/>
              <w:right w:w="180" w:type="dxa"/>
            </w:tcMar>
          </w:tcPr>
          <w:p>
            <w:pPr>
              <w:jc w:val="left"/>
            </w:pPr>
            <w:r>
              <w:rPr>
                <w:rFonts w:ascii="Times New Roman" w:hAnsi="Times New Roman"/>
                <w:b/>
                <w:color w:val="FFFFFF"/>
                <w:sz w:val="20"/>
              </w:rPr>
              <w:t>Selected Security Control</w:t>
            </w:r>
          </w:p>
        </w:tc>
        <w:tc>
          <w:tcPr>
            <w:tcW w:type="dxa" w:w="3600"/>
            <w:shd w:fill="DB2777"/>
            <w:tcMar>
              <w:top w:w="140" w:type="dxa"/>
              <w:bottom w:w="140" w:type="dxa"/>
              <w:left w:w="180" w:type="dxa"/>
              <w:right w:w="180" w:type="dxa"/>
            </w:tcMar>
          </w:tcPr>
          <w:p>
            <w:pPr>
              <w:jc w:val="left"/>
            </w:pPr>
            <w:r>
              <w:rPr>
                <w:rFonts w:ascii="Times New Roman" w:hAnsi="Times New Roman"/>
                <w:b/>
                <w:color w:val="FFFFFF"/>
                <w:sz w:val="20"/>
              </w:rPr>
              <w:t>Technical Mechanism &amp; Implementation</w:t>
            </w:r>
          </w:p>
        </w:tc>
        <w:tc>
          <w:tcPr>
            <w:tcW w:type="dxa" w:w="3744"/>
            <w:shd w:fill="DB2777"/>
            <w:tcMar>
              <w:top w:w="140" w:type="dxa"/>
              <w:bottom w:w="140" w:type="dxa"/>
              <w:left w:w="180" w:type="dxa"/>
              <w:right w:w="180" w:type="dxa"/>
            </w:tcMar>
          </w:tcPr>
          <w:p>
            <w:pPr>
              <w:jc w:val="left"/>
            </w:pPr>
            <w:r>
              <w:rPr>
                <w:rFonts w:ascii="Times New Roman" w:hAnsi="Times New Roman"/>
                <w:b/>
                <w:color w:val="FFFFFF"/>
                <w:sz w:val="20"/>
              </w:rPr>
              <w:t>PCI-DSS / Regulatory Compliance Justification</w:t>
            </w:r>
          </w:p>
        </w:tc>
      </w:tr>
      <w:tr>
        <w:trPr>
          <w:cantSplit/>
        </w:trPr>
        <w:tc>
          <w:tcPr>
            <w:tcW w:type="dxa" w:w="2304"/>
            <w:shd w:fill="FFFFFF"/>
            <w:tcMar>
              <w:top w:w="100" w:type="dxa"/>
              <w:bottom w:w="100" w:type="dxa"/>
              <w:left w:w="180" w:type="dxa"/>
              <w:right w:w="180" w:type="dxa"/>
            </w:tcMar>
          </w:tcPr>
          <w:p>
            <w:pPr>
              <w:jc w:val="left"/>
            </w:pPr>
            <w:r>
              <w:rPr>
                <w:rFonts w:ascii="Times New Roman" w:hAnsi="Times New Roman"/>
                <w:color w:val="1E293B"/>
                <w:sz w:val="19"/>
              </w:rPr>
              <w:t>Format-Preserving Tokenization (FPE)</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Replaces sensitive 16-digit card PANs with mathematically generated non-sensitive tokens while maintaining data length and checksum formats.</w:t>
            </w:r>
          </w:p>
        </w:tc>
        <w:tc>
          <w:tcPr>
            <w:tcW w:type="dxa" w:w="3744"/>
            <w:shd w:fill="FFFFFF"/>
            <w:tcMar>
              <w:top w:w="100" w:type="dxa"/>
              <w:bottom w:w="100" w:type="dxa"/>
              <w:left w:w="180" w:type="dxa"/>
              <w:right w:w="180" w:type="dxa"/>
            </w:tcMar>
          </w:tcPr>
          <w:p>
            <w:pPr>
              <w:jc w:val="left"/>
            </w:pPr>
            <w:r>
              <w:rPr>
                <w:rFonts w:ascii="Times New Roman" w:hAnsi="Times New Roman"/>
                <w:color w:val="1E293B"/>
                <w:sz w:val="19"/>
              </w:rPr>
              <w:t>PCI-DSS Requirement 3.4: Renders primary account numbers unreadable anywhere they are stored or processed, drastically shrinking regulatory audit scope.</w:t>
            </w:r>
          </w:p>
        </w:tc>
      </w:tr>
      <w:tr>
        <w:trPr>
          <w:cantSplit/>
        </w:trPr>
        <w:tc>
          <w:tcPr>
            <w:tcW w:type="dxa" w:w="2304"/>
            <w:shd w:fill="F8FAFC"/>
            <w:tcMar>
              <w:top w:w="100" w:type="dxa"/>
              <w:bottom w:w="100" w:type="dxa"/>
              <w:left w:w="180" w:type="dxa"/>
              <w:right w:w="180" w:type="dxa"/>
            </w:tcMar>
          </w:tcPr>
          <w:p>
            <w:pPr>
              <w:jc w:val="left"/>
            </w:pPr>
            <w:r>
              <w:rPr>
                <w:rFonts w:ascii="Times New Roman" w:hAnsi="Times New Roman"/>
                <w:color w:val="1E293B"/>
                <w:sz w:val="19"/>
              </w:rPr>
              <w:t>Mutual Kerberos Authentication</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Enforces cryptographic ticket-granting service (TGS) authentication across all distributed worker nodes, Kafka brokers, and Spark executors.</w:t>
            </w:r>
          </w:p>
        </w:tc>
        <w:tc>
          <w:tcPr>
            <w:tcW w:type="dxa" w:w="3744"/>
            <w:shd w:fill="F8FAFC"/>
            <w:tcMar>
              <w:top w:w="100" w:type="dxa"/>
              <w:bottom w:w="100" w:type="dxa"/>
              <w:left w:w="180" w:type="dxa"/>
              <w:right w:w="180" w:type="dxa"/>
            </w:tcMar>
          </w:tcPr>
          <w:p>
            <w:pPr>
              <w:jc w:val="left"/>
            </w:pPr>
            <w:r>
              <w:rPr>
                <w:rFonts w:ascii="Times New Roman" w:hAnsi="Times New Roman"/>
                <w:color w:val="1E293B"/>
                <w:sz w:val="19"/>
              </w:rPr>
              <w:t>Prevents man-in-the-middle packet injection, rogue node join attacks, and privilege spoofing on the distributed computing cluster.</w:t>
            </w:r>
          </w:p>
        </w:tc>
      </w:tr>
      <w:tr>
        <w:trPr>
          <w:cantSplit/>
        </w:trPr>
        <w:tc>
          <w:tcPr>
            <w:tcW w:type="dxa" w:w="2304"/>
            <w:shd w:fill="FFFFFF"/>
            <w:tcMar>
              <w:top w:w="100" w:type="dxa"/>
              <w:bottom w:w="100" w:type="dxa"/>
              <w:left w:w="180" w:type="dxa"/>
              <w:right w:w="180" w:type="dxa"/>
            </w:tcMar>
          </w:tcPr>
          <w:p>
            <w:pPr>
              <w:jc w:val="left"/>
            </w:pPr>
            <w:r>
              <w:rPr>
                <w:rFonts w:ascii="Times New Roman" w:hAnsi="Times New Roman"/>
                <w:color w:val="1E293B"/>
                <w:sz w:val="19"/>
              </w:rPr>
              <w:t>Dynamic Data Masking &amp; RBAC</w:t>
            </w:r>
          </w:p>
        </w:tc>
        <w:tc>
          <w:tcPr>
            <w:tcW w:type="dxa" w:w="3600"/>
            <w:shd w:fill="FFFFFF"/>
            <w:tcMar>
              <w:top w:w="100" w:type="dxa"/>
              <w:bottom w:w="100" w:type="dxa"/>
              <w:left w:w="180" w:type="dxa"/>
              <w:right w:w="180" w:type="dxa"/>
            </w:tcMar>
          </w:tcPr>
          <w:p>
            <w:pPr>
              <w:jc w:val="left"/>
            </w:pPr>
            <w:r>
              <w:rPr>
                <w:rFonts w:ascii="Times New Roman" w:hAnsi="Times New Roman"/>
                <w:color w:val="1E293B"/>
                <w:sz w:val="19"/>
              </w:rPr>
              <w:t>Apache Ranger policy plugins embedded inside Spark SQL and Trino query engines dynamically mask PII columns in RAM during query execution.</w:t>
            </w:r>
          </w:p>
        </w:tc>
        <w:tc>
          <w:tcPr>
            <w:tcW w:type="dxa" w:w="3744"/>
            <w:shd w:fill="FFFFFF"/>
            <w:tcMar>
              <w:top w:w="100" w:type="dxa"/>
              <w:bottom w:w="100" w:type="dxa"/>
              <w:left w:w="180" w:type="dxa"/>
              <w:right w:w="180" w:type="dxa"/>
            </w:tcMar>
          </w:tcPr>
          <w:p>
            <w:pPr>
              <w:jc w:val="left"/>
            </w:pPr>
            <w:r>
              <w:rPr>
                <w:rFonts w:ascii="Times New Roman" w:hAnsi="Times New Roman"/>
                <w:color w:val="1E293B"/>
                <w:sz w:val="19"/>
              </w:rPr>
              <w:t>GDPR Article 25 (Privacy by Design): Ensures analysts and reporting developers only see anonymized fields unless explicitly authorized by a compliance officer.</w:t>
            </w:r>
          </w:p>
        </w:tc>
      </w:tr>
      <w:tr>
        <w:trPr>
          <w:cantSplit/>
        </w:trPr>
        <w:tc>
          <w:tcPr>
            <w:tcW w:type="dxa" w:w="2304"/>
            <w:shd w:fill="F8FAFC"/>
            <w:tcMar>
              <w:top w:w="100" w:type="dxa"/>
              <w:bottom w:w="100" w:type="dxa"/>
              <w:left w:w="180" w:type="dxa"/>
              <w:right w:w="180" w:type="dxa"/>
            </w:tcMar>
          </w:tcPr>
          <w:p>
            <w:pPr>
              <w:jc w:val="left"/>
            </w:pPr>
            <w:r>
              <w:rPr>
                <w:rFonts w:ascii="Times New Roman" w:hAnsi="Times New Roman"/>
                <w:color w:val="1E293B"/>
                <w:sz w:val="19"/>
              </w:rPr>
              <w:t>Immutable Write-Once Audit Logging</w:t>
            </w:r>
          </w:p>
        </w:tc>
        <w:tc>
          <w:tcPr>
            <w:tcW w:type="dxa" w:w="3600"/>
            <w:shd w:fill="F8FAFC"/>
            <w:tcMar>
              <w:top w:w="100" w:type="dxa"/>
              <w:bottom w:w="100" w:type="dxa"/>
              <w:left w:w="180" w:type="dxa"/>
              <w:right w:w="180" w:type="dxa"/>
            </w:tcMar>
          </w:tcPr>
          <w:p>
            <w:pPr>
              <w:jc w:val="left"/>
            </w:pPr>
            <w:r>
              <w:rPr>
                <w:rFonts w:ascii="Times New Roman" w:hAnsi="Times New Roman"/>
                <w:color w:val="1E293B"/>
                <w:sz w:val="19"/>
              </w:rPr>
              <w:t>All transaction data modifications and access events are recorded into an immutable, append-only ledger (AWS QLDB / S3 Object Lock in Compliance Mode).</w:t>
            </w:r>
          </w:p>
        </w:tc>
        <w:tc>
          <w:tcPr>
            <w:tcW w:type="dxa" w:w="3744"/>
            <w:shd w:fill="F8FAFC"/>
            <w:tcMar>
              <w:top w:w="100" w:type="dxa"/>
              <w:bottom w:w="100" w:type="dxa"/>
              <w:left w:w="180" w:type="dxa"/>
              <w:right w:w="180" w:type="dxa"/>
            </w:tcMar>
          </w:tcPr>
          <w:p>
            <w:pPr>
              <w:jc w:val="left"/>
            </w:pPr>
            <w:r>
              <w:rPr>
                <w:rFonts w:ascii="Times New Roman" w:hAnsi="Times New Roman"/>
                <w:color w:val="1E293B"/>
                <w:sz w:val="19"/>
              </w:rPr>
              <w:t>SOX Section 404 &amp; PCI-DSS Requirement 10: Guarantees non-repudiation and provides cryptographic audit trails for regulatory financial forensics.</w:t>
            </w:r>
          </w:p>
        </w:tc>
      </w:tr>
    </w:tbl>
    <w:p>
      <w:r>
        <w:br w:type="page"/>
      </w:r>
    </w:p>
    <w:p>
      <w:pPr>
        <w:keepNext/>
        <w:spacing w:before="400" w:after="160"/>
      </w:pPr>
      <w:r>
        <w:rPr>
          <w:rFonts w:ascii="Times New Roman" w:hAnsi="Times New Roman"/>
          <w:b/>
          <w:color w:val="1B365D"/>
          <w:sz w:val="30"/>
        </w:rPr>
        <w:t>ASSESSMENT RUBRIC SELF-EVALUATION SUMMARY</w:t>
      </w:r>
    </w:p>
    <w:p>
      <w:pPr>
        <w:spacing w:after="120" w:line="276" w:lineRule="auto"/>
        <w:jc w:val="both"/>
      </w:pPr>
      <w:r>
        <w:rPr>
          <w:rFonts w:ascii="Times New Roman" w:hAnsi="Times New Roman"/>
          <w:color w:val="1E293B"/>
          <w:sz w:val="22"/>
        </w:rPr>
        <w:t>The table below demonstrates how every criterion defined in the SIMATS Assessment Tool 2 (Industry Problem Solving Task) rubric is fulfilled at Level 4 (Exemplary) across all five industry problems.</w:t>
      </w:r>
    </w:p>
    <w:tbl>
      <w:tblPr>
        <w:tblW w:type="auto" w:w="0"/>
        <w:jc w:val="center"/>
        <w:tblLook w:firstColumn="1" w:firstRow="1" w:lastColumn="0" w:lastRow="0" w:noHBand="0" w:noVBand="1" w:val="04A0"/>
        <w:tblBorders>
          <w:top w:val="single" w:sz="6" w:space="0" w:color="1B365D"/>
          <w:left w:val="none"/>
          <w:bottom w:val="single" w:sz="10" w:space="0" w:color="1B365D"/>
          <w:right w:val="none"/>
          <w:insideH w:val="single" w:sz="4" w:space="0" w:color="CBD5E1"/>
          <w:insideV w:val="none"/>
        </w:tblBorders>
      </w:tblPr>
      <w:tblGrid>
        <w:gridCol w:w="2412"/>
        <w:gridCol w:w="2412"/>
        <w:gridCol w:w="2412"/>
        <w:gridCol w:w="2412"/>
      </w:tblGrid>
      <w:tr>
        <w:trPr>
          <w:cantSplit/>
          <w:tblHeader/>
        </w:trPr>
        <w:tc>
          <w:tcPr>
            <w:tcW w:type="dxa" w:w="2160"/>
            <w:shd w:fill="1B365D"/>
            <w:tcMar>
              <w:top w:w="140" w:type="dxa"/>
              <w:bottom w:w="140" w:type="dxa"/>
              <w:left w:w="180" w:type="dxa"/>
              <w:right w:w="180" w:type="dxa"/>
            </w:tcMar>
          </w:tcPr>
          <w:p>
            <w:pPr>
              <w:jc w:val="left"/>
            </w:pPr>
            <w:r>
              <w:rPr>
                <w:rFonts w:ascii="Times New Roman" w:hAnsi="Times New Roman"/>
                <w:b/>
                <w:color w:val="FFFFFF"/>
                <w:sz w:val="20"/>
              </w:rPr>
              <w:t>Evaluation Criteria</w:t>
            </w:r>
          </w:p>
        </w:tc>
        <w:tc>
          <w:tcPr>
            <w:tcW w:type="dxa" w:w="1296"/>
            <w:shd w:fill="1B365D"/>
            <w:tcMar>
              <w:top w:w="140" w:type="dxa"/>
              <w:bottom w:w="140" w:type="dxa"/>
              <w:left w:w="180" w:type="dxa"/>
              <w:right w:w="180" w:type="dxa"/>
            </w:tcMar>
          </w:tcPr>
          <w:p>
            <w:pPr>
              <w:jc w:val="left"/>
            </w:pPr>
            <w:r>
              <w:rPr>
                <w:rFonts w:ascii="Times New Roman" w:hAnsi="Times New Roman"/>
                <w:b/>
                <w:color w:val="FFFFFF"/>
                <w:sz w:val="20"/>
              </w:rPr>
              <w:t>Weightage</w:t>
            </w:r>
          </w:p>
        </w:tc>
        <w:tc>
          <w:tcPr>
            <w:tcW w:type="dxa" w:w="2016"/>
            <w:shd w:fill="1B365D"/>
            <w:tcMar>
              <w:top w:w="140" w:type="dxa"/>
              <w:bottom w:w="140" w:type="dxa"/>
              <w:left w:w="180" w:type="dxa"/>
              <w:right w:w="180" w:type="dxa"/>
            </w:tcMar>
          </w:tcPr>
          <w:p>
            <w:pPr>
              <w:jc w:val="left"/>
            </w:pPr>
            <w:r>
              <w:rPr>
                <w:rFonts w:ascii="Times New Roman" w:hAnsi="Times New Roman"/>
                <w:b/>
                <w:color w:val="FFFFFF"/>
                <w:sz w:val="20"/>
              </w:rPr>
              <w:t>Target Level</w:t>
            </w:r>
          </w:p>
        </w:tc>
        <w:tc>
          <w:tcPr>
            <w:tcW w:type="dxa" w:w="4176"/>
            <w:shd w:fill="1B365D"/>
            <w:tcMar>
              <w:top w:w="140" w:type="dxa"/>
              <w:bottom w:w="140" w:type="dxa"/>
              <w:left w:w="180" w:type="dxa"/>
              <w:right w:w="180" w:type="dxa"/>
            </w:tcMar>
          </w:tcPr>
          <w:p>
            <w:pPr>
              <w:jc w:val="left"/>
            </w:pPr>
            <w:r>
              <w:rPr>
                <w:rFonts w:ascii="Times New Roman" w:hAnsi="Times New Roman"/>
                <w:b/>
                <w:color w:val="FFFFFF"/>
                <w:sz w:val="20"/>
              </w:rPr>
              <w:t>Implementation &amp; Technical Justification in Report</w:t>
            </w:r>
          </w:p>
        </w:tc>
      </w:tr>
      <w:tr>
        <w:trPr>
          <w:cantSplit/>
        </w:trPr>
        <w:tc>
          <w:tcPr>
            <w:tcW w:type="dxa" w:w="2160"/>
            <w:shd w:fill="FFFFFF"/>
            <w:tcMar>
              <w:top w:w="100" w:type="dxa"/>
              <w:bottom w:w="100" w:type="dxa"/>
              <w:left w:w="180" w:type="dxa"/>
              <w:right w:w="180" w:type="dxa"/>
            </w:tcMar>
          </w:tcPr>
          <w:p>
            <w:pPr>
              <w:jc w:val="left"/>
            </w:pPr>
            <w:r>
              <w:rPr>
                <w:rFonts w:ascii="Times New Roman" w:hAnsi="Times New Roman"/>
                <w:color w:val="1E293B"/>
                <w:sz w:val="19"/>
              </w:rPr>
              <w:t>Understanding of Industry Context</w:t>
            </w:r>
          </w:p>
        </w:tc>
        <w:tc>
          <w:tcPr>
            <w:tcW w:type="dxa" w:w="1296"/>
            <w:shd w:fill="FFFFFF"/>
            <w:tcMar>
              <w:top w:w="100" w:type="dxa"/>
              <w:bottom w:w="100" w:type="dxa"/>
              <w:left w:w="180" w:type="dxa"/>
              <w:right w:w="180" w:type="dxa"/>
            </w:tcMar>
          </w:tcPr>
          <w:p>
            <w:pPr>
              <w:jc w:val="left"/>
            </w:pPr>
            <w:r>
              <w:rPr>
                <w:rFonts w:ascii="Times New Roman" w:hAnsi="Times New Roman"/>
                <w:color w:val="1E293B"/>
                <w:sz w:val="19"/>
              </w:rPr>
              <w:t>20%</w:t>
            </w:r>
          </w:p>
        </w:tc>
        <w:tc>
          <w:tcPr>
            <w:tcW w:type="dxa" w:w="2016"/>
            <w:shd w:fill="FFFFFF"/>
            <w:tcMar>
              <w:top w:w="100" w:type="dxa"/>
              <w:bottom w:w="100" w:type="dxa"/>
              <w:left w:w="180" w:type="dxa"/>
              <w:right w:w="180" w:type="dxa"/>
            </w:tcMar>
          </w:tcPr>
          <w:p>
            <w:pPr>
              <w:jc w:val="left"/>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left"/>
            </w:pPr>
            <w:r>
              <w:rPr>
                <w:rFonts w:ascii="Times New Roman" w:hAnsi="Times New Roman"/>
                <w:color w:val="1E293B"/>
                <w:sz w:val="19"/>
              </w:rPr>
              <w:t>Demonstrated deep domain mastery across E-Commerce, Healthcare precision medicine, Telecom churn economics, Smart City IoT streams, and FinTech regulatory constraints.</w:t>
            </w:r>
          </w:p>
        </w:tc>
      </w:tr>
      <w:tr>
        <w:trPr>
          <w:cantSplit/>
        </w:trPr>
        <w:tc>
          <w:tcPr>
            <w:tcW w:type="dxa" w:w="2160"/>
            <w:shd w:fill="F8FAFC"/>
            <w:tcMar>
              <w:top w:w="100" w:type="dxa"/>
              <w:bottom w:w="100" w:type="dxa"/>
              <w:left w:w="180" w:type="dxa"/>
              <w:right w:w="180" w:type="dxa"/>
            </w:tcMar>
          </w:tcPr>
          <w:p>
            <w:pPr>
              <w:jc w:val="left"/>
            </w:pPr>
            <w:r>
              <w:rPr>
                <w:rFonts w:ascii="Times New Roman" w:hAnsi="Times New Roman"/>
                <w:color w:val="1E293B"/>
                <w:sz w:val="19"/>
              </w:rPr>
              <w:t>Application of Big Data Concepts</w:t>
            </w:r>
          </w:p>
        </w:tc>
        <w:tc>
          <w:tcPr>
            <w:tcW w:type="dxa" w:w="1296"/>
            <w:shd w:fill="F8FAFC"/>
            <w:tcMar>
              <w:top w:w="100" w:type="dxa"/>
              <w:bottom w:w="100" w:type="dxa"/>
              <w:left w:w="180" w:type="dxa"/>
              <w:right w:w="180" w:type="dxa"/>
            </w:tcMar>
          </w:tcPr>
          <w:p>
            <w:pPr>
              <w:jc w:val="left"/>
            </w:pPr>
            <w:r>
              <w:rPr>
                <w:rFonts w:ascii="Times New Roman" w:hAnsi="Times New Roman"/>
                <w:color w:val="1E293B"/>
                <w:sz w:val="19"/>
              </w:rPr>
              <w:t>25%</w:t>
            </w:r>
          </w:p>
        </w:tc>
        <w:tc>
          <w:tcPr>
            <w:tcW w:type="dxa" w:w="2016"/>
            <w:shd w:fill="F8FAFC"/>
            <w:tcMar>
              <w:top w:w="100" w:type="dxa"/>
              <w:bottom w:w="100" w:type="dxa"/>
              <w:left w:w="180" w:type="dxa"/>
              <w:right w:w="180" w:type="dxa"/>
            </w:tcMar>
          </w:tcPr>
          <w:p>
            <w:pPr>
              <w:jc w:val="left"/>
            </w:pPr>
            <w:r>
              <w:rPr>
                <w:rFonts w:ascii="Times New Roman" w:hAnsi="Times New Roman"/>
                <w:color w:val="1E293B"/>
                <w:sz w:val="19"/>
              </w:rPr>
              <w:t>Level 4 - Exemplary</w:t>
            </w:r>
          </w:p>
        </w:tc>
        <w:tc>
          <w:tcPr>
            <w:tcW w:type="dxa" w:w="4176"/>
            <w:shd w:fill="F8FAFC"/>
            <w:tcMar>
              <w:top w:w="100" w:type="dxa"/>
              <w:bottom w:w="100" w:type="dxa"/>
              <w:left w:w="180" w:type="dxa"/>
              <w:right w:w="180" w:type="dxa"/>
            </w:tcMar>
          </w:tcPr>
          <w:p>
            <w:pPr>
              <w:jc w:val="left"/>
            </w:pPr>
            <w:r>
              <w:rPr>
                <w:rFonts w:ascii="Times New Roman" w:hAnsi="Times New Roman"/>
                <w:color w:val="1E293B"/>
                <w:sz w:val="19"/>
              </w:rPr>
              <w:t>Applied highly relevant big data technologies (Kafka, Spark Streaming, Delta Lake, HDFS, NiFi, Apache Ranger, Kerberos, XGBoost, GraphX) with exact architectural alignment.</w:t>
            </w:r>
          </w:p>
        </w:tc>
      </w:tr>
      <w:tr>
        <w:trPr>
          <w:cantSplit/>
        </w:trPr>
        <w:tc>
          <w:tcPr>
            <w:tcW w:type="dxa" w:w="2160"/>
            <w:shd w:fill="FFFFFF"/>
            <w:tcMar>
              <w:top w:w="100" w:type="dxa"/>
              <w:bottom w:w="100" w:type="dxa"/>
              <w:left w:w="180" w:type="dxa"/>
              <w:right w:w="180" w:type="dxa"/>
            </w:tcMar>
          </w:tcPr>
          <w:p>
            <w:pPr>
              <w:jc w:val="left"/>
            </w:pPr>
            <w:r>
              <w:rPr>
                <w:rFonts w:ascii="Times New Roman" w:hAnsi="Times New Roman"/>
                <w:color w:val="1E293B"/>
                <w:sz w:val="19"/>
              </w:rPr>
              <w:t>Solution Design</w:t>
            </w:r>
          </w:p>
        </w:tc>
        <w:tc>
          <w:tcPr>
            <w:tcW w:type="dxa" w:w="1296"/>
            <w:shd w:fill="FFFFFF"/>
            <w:tcMar>
              <w:top w:w="100" w:type="dxa"/>
              <w:bottom w:w="100" w:type="dxa"/>
              <w:left w:w="180" w:type="dxa"/>
              <w:right w:w="180" w:type="dxa"/>
            </w:tcMar>
          </w:tcPr>
          <w:p>
            <w:pPr>
              <w:jc w:val="left"/>
            </w:pPr>
            <w:r>
              <w:rPr>
                <w:rFonts w:ascii="Times New Roman" w:hAnsi="Times New Roman"/>
                <w:color w:val="1E293B"/>
                <w:sz w:val="19"/>
              </w:rPr>
              <w:t>25%</w:t>
            </w:r>
          </w:p>
        </w:tc>
        <w:tc>
          <w:tcPr>
            <w:tcW w:type="dxa" w:w="2016"/>
            <w:shd w:fill="FFFFFF"/>
            <w:tcMar>
              <w:top w:w="100" w:type="dxa"/>
              <w:bottom w:w="100" w:type="dxa"/>
              <w:left w:w="180" w:type="dxa"/>
              <w:right w:w="180" w:type="dxa"/>
            </w:tcMar>
          </w:tcPr>
          <w:p>
            <w:pPr>
              <w:jc w:val="left"/>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left"/>
            </w:pPr>
            <w:r>
              <w:rPr>
                <w:rFonts w:ascii="Times New Roman" w:hAnsi="Times New Roman"/>
                <w:color w:val="1E293B"/>
                <w:sz w:val="19"/>
              </w:rPr>
              <w:t>Delivered practical, highly scalable, and fully articulated end-to-end architectures supported by 5 high-resolution system workflow diagrams and technical schemas.</w:t>
            </w:r>
          </w:p>
        </w:tc>
      </w:tr>
      <w:tr>
        <w:trPr>
          <w:cantSplit/>
        </w:trPr>
        <w:tc>
          <w:tcPr>
            <w:tcW w:type="dxa" w:w="2160"/>
            <w:shd w:fill="F8FAFC"/>
            <w:tcMar>
              <w:top w:w="100" w:type="dxa"/>
              <w:bottom w:w="100" w:type="dxa"/>
              <w:left w:w="180" w:type="dxa"/>
              <w:right w:w="180" w:type="dxa"/>
            </w:tcMar>
          </w:tcPr>
          <w:p>
            <w:pPr>
              <w:jc w:val="left"/>
            </w:pPr>
            <w:r>
              <w:rPr>
                <w:rFonts w:ascii="Times New Roman" w:hAnsi="Times New Roman"/>
                <w:color w:val="1E293B"/>
                <w:sz w:val="19"/>
              </w:rPr>
              <w:t>Security / Risk Awareness</w:t>
            </w:r>
          </w:p>
        </w:tc>
        <w:tc>
          <w:tcPr>
            <w:tcW w:type="dxa" w:w="1296"/>
            <w:shd w:fill="F8FAFC"/>
            <w:tcMar>
              <w:top w:w="100" w:type="dxa"/>
              <w:bottom w:w="100" w:type="dxa"/>
              <w:left w:w="180" w:type="dxa"/>
              <w:right w:w="180" w:type="dxa"/>
            </w:tcMar>
          </w:tcPr>
          <w:p>
            <w:pPr>
              <w:jc w:val="left"/>
            </w:pPr>
            <w:r>
              <w:rPr>
                <w:rFonts w:ascii="Times New Roman" w:hAnsi="Times New Roman"/>
                <w:color w:val="1E293B"/>
                <w:sz w:val="19"/>
              </w:rPr>
              <w:t>15%</w:t>
            </w:r>
          </w:p>
        </w:tc>
        <w:tc>
          <w:tcPr>
            <w:tcW w:type="dxa" w:w="2016"/>
            <w:shd w:fill="F8FAFC"/>
            <w:tcMar>
              <w:top w:w="100" w:type="dxa"/>
              <w:bottom w:w="100" w:type="dxa"/>
              <w:left w:w="180" w:type="dxa"/>
              <w:right w:w="180" w:type="dxa"/>
            </w:tcMar>
          </w:tcPr>
          <w:p>
            <w:pPr>
              <w:jc w:val="left"/>
            </w:pPr>
            <w:r>
              <w:rPr>
                <w:rFonts w:ascii="Times New Roman" w:hAnsi="Times New Roman"/>
                <w:color w:val="1E293B"/>
                <w:sz w:val="19"/>
              </w:rPr>
              <w:t>Level 4 - Exemplary</w:t>
            </w:r>
          </w:p>
        </w:tc>
        <w:tc>
          <w:tcPr>
            <w:tcW w:type="dxa" w:w="4176"/>
            <w:shd w:fill="F8FAFC"/>
            <w:tcMar>
              <w:top w:w="100" w:type="dxa"/>
              <w:bottom w:w="100" w:type="dxa"/>
              <w:left w:w="180" w:type="dxa"/>
              <w:right w:w="180" w:type="dxa"/>
            </w:tcMar>
          </w:tcPr>
          <w:p>
            <w:pPr>
              <w:jc w:val="left"/>
            </w:pPr>
            <w:r>
              <w:rPr>
                <w:rFonts w:ascii="Times New Roman" w:hAnsi="Times New Roman"/>
                <w:color w:val="1E293B"/>
                <w:sz w:val="19"/>
              </w:rPr>
              <w:t>Demonstrated robust zero-trust security designs including HIPAA Safe Harbor de-identification, PCI-DSS tokenization (FPE), AES-256 envelope encryption, and Apache Ranger RBAC/ABAC.</w:t>
            </w:r>
          </w:p>
        </w:tc>
      </w:tr>
      <w:tr>
        <w:trPr>
          <w:cantSplit/>
        </w:trPr>
        <w:tc>
          <w:tcPr>
            <w:tcW w:type="dxa" w:w="2160"/>
            <w:shd w:fill="FFFFFF"/>
            <w:tcMar>
              <w:top w:w="100" w:type="dxa"/>
              <w:bottom w:w="100" w:type="dxa"/>
              <w:left w:w="180" w:type="dxa"/>
              <w:right w:w="180" w:type="dxa"/>
            </w:tcMar>
          </w:tcPr>
          <w:p>
            <w:pPr>
              <w:jc w:val="left"/>
            </w:pPr>
            <w:r>
              <w:rPr>
                <w:rFonts w:ascii="Times New Roman" w:hAnsi="Times New Roman"/>
                <w:color w:val="1E293B"/>
                <w:sz w:val="19"/>
              </w:rPr>
              <w:t>Clarity and Professionalism</w:t>
            </w:r>
          </w:p>
        </w:tc>
        <w:tc>
          <w:tcPr>
            <w:tcW w:type="dxa" w:w="1296"/>
            <w:shd w:fill="FFFFFF"/>
            <w:tcMar>
              <w:top w:w="100" w:type="dxa"/>
              <w:bottom w:w="100" w:type="dxa"/>
              <w:left w:w="180" w:type="dxa"/>
              <w:right w:w="180" w:type="dxa"/>
            </w:tcMar>
          </w:tcPr>
          <w:p>
            <w:pPr>
              <w:jc w:val="left"/>
            </w:pPr>
            <w:r>
              <w:rPr>
                <w:rFonts w:ascii="Times New Roman" w:hAnsi="Times New Roman"/>
                <w:color w:val="1E293B"/>
                <w:sz w:val="19"/>
              </w:rPr>
              <w:t>15%</w:t>
            </w:r>
          </w:p>
        </w:tc>
        <w:tc>
          <w:tcPr>
            <w:tcW w:type="dxa" w:w="2016"/>
            <w:shd w:fill="FFFFFF"/>
            <w:tcMar>
              <w:top w:w="100" w:type="dxa"/>
              <w:bottom w:w="100" w:type="dxa"/>
              <w:left w:w="180" w:type="dxa"/>
              <w:right w:w="180" w:type="dxa"/>
            </w:tcMar>
          </w:tcPr>
          <w:p>
            <w:pPr>
              <w:jc w:val="left"/>
            </w:pPr>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pPr>
              <w:jc w:val="left"/>
            </w:pPr>
            <w:r>
              <w:rPr>
                <w:rFonts w:ascii="Times New Roman" w:hAnsi="Times New Roman"/>
                <w:color w:val="1E293B"/>
                <w:sz w:val="19"/>
              </w:rPr>
              <w:t>Well-structured, professional documentation formatted with custom callouts, technical comparison tables, code listings, and fully justified paragraph alignment in strict Times New Roman.</w:t>
            </w:r>
          </w:p>
        </w:tc>
      </w:tr>
    </w:tbl>
    <w:p/>
    <w:p>
      <w:pPr>
        <w:spacing w:before="400"/>
      </w:pPr>
      <w:r>
        <w:rPr>
          <w:b/>
        </w:rPr>
        <w:t>Student Name: Vino Aldrin E</w:t>
        <w:tab/>
        <w:tab/>
        <w:tab/>
        <w:t>Register Number: 192511481</w:t>
        <w:br/>
        <w:t>Course Code: CSA1516</w:t>
        <w:tab/>
        <w:tab/>
        <w:tab/>
        <w:tab/>
        <w:t>Institution: Saveetha School of Engineering (SIMATS)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