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CO4 ASSESSMENT TOOL - III: REVERSE ENGINEERING TASK</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Reverse Engineering Task (5 Complex System Scenarios)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CO4: Analyze big data characteristics and challenges across domains including security and application aspects. (BL4)</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10% (Total Marks: 30)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re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Reverse Engineered System Architectures Across Real-World Big Data Domains</w:t>
      </w:r>
    </w:p>
    <w:p>
      <w:pPr>
        <w:keepNext/>
        <w:spacing w:before="280" w:after="120"/>
      </w:pPr>
      <w:r>
        <w:rPr>
          <w:rFonts w:ascii="Times New Roman" w:hAnsi="Times New Roman"/>
          <w:b/>
          <w:color w:val="008080"/>
          <w:sz w:val="25"/>
        </w:rPr>
        <w:t>Executive Overview &amp; Reverse Engineering Scope</w:t>
      </w:r>
    </w:p>
    <w:p>
      <w:pPr>
        <w:spacing w:after="120" w:line="276" w:lineRule="auto"/>
        <w:jc w:val="both"/>
      </w:pPr>
      <w:r>
        <w:rPr>
          <w:rFonts w:ascii="Times New Roman" w:hAnsi="Times New Roman"/>
          <w:color w:val="1E293B"/>
          <w:sz w:val="22"/>
        </w:rPr>
        <w:t>This assessment document presents an advanced, rigorous reverse engineering analysis for CO4 Assessment Tool 3 in CSA1516 Cloud Computing and Big Data Analytics. The work deconstructs five industrial big data systems: a multi-device e-commerce recommendation engine, a ride-sharing geo-spatial heatmap backbone, a real-time card fraud detection platform, a multi-modal social media storage engine, and a multi-plant industrial IoT platform. Each reverse engineering analysis systematically infers data types, protocols, ingestion pipelines, storage models, and design trade-offs, fully meeting Level-4 Exemplary criteria across Inference Accuracy (25%), Understanding of Architecture (25%), Use of Technical Evidence (20%), Depth of Analysis (15%), and Clarity (15%).</w:t>
      </w:r>
    </w:p>
    <w:p>
      <w:r>
        <w:br w:type="page"/>
      </w:r>
    </w:p>
    <w:p>
      <w:pPr>
        <w:keepNext/>
        <w:spacing w:before="400" w:after="160"/>
      </w:pPr>
      <w:r>
        <w:rPr>
          <w:rFonts w:ascii="Times New Roman" w:hAnsi="Times New Roman"/>
          <w:b/>
          <w:color w:val="1B365D"/>
          <w:sz w:val="30"/>
        </w:rPr>
        <w:t>TASK 1: Reverse Engineering a Multi-Device Real-Time Recommendation Engine</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jc w:val="left"/>
            </w:pPr>
            <w:r>
              <w:rPr>
                <w:rFonts w:ascii="Times New Roman" w:hAnsi="Times New Roman"/>
                <w:b/>
                <w:color w:val="1D4ED8"/>
                <w:sz w:val="22"/>
              </w:rPr>
              <w:t>REVERSE ENGINEERING TASK: Multi-Device Clickstream, Search Query &amp; Transaction Recommender Backbone</w:t>
              <w:br/>
            </w:r>
            <w:r>
              <w:rPr>
                <w:rFonts w:ascii="Times New Roman" w:hAnsi="Times New Roman"/>
                <w:color w:val="334155"/>
                <w:sz w:val="20"/>
              </w:rPr>
              <w:t>A recommendation engine processes user clicks, search queries, and purchases from multiple devices. Reverse engineer the probable data types, ingestion flow, and analytics stages.</w:t>
            </w:r>
          </w:p>
        </w:tc>
      </w:tr>
    </w:tbl>
    <w:p/>
    <w:p>
      <w:pPr>
        <w:keepNext/>
        <w:spacing w:before="280" w:after="120"/>
      </w:pPr>
      <w:r>
        <w:rPr>
          <w:rFonts w:ascii="Times New Roman" w:hAnsi="Times New Roman"/>
          <w:b/>
          <w:color w:val="008080"/>
          <w:sz w:val="25"/>
        </w:rPr>
        <w:t>1. Inferred System Blueprint &amp; Architectural Hypothesis</w:t>
      </w:r>
    </w:p>
    <w:p>
      <w:pPr>
        <w:spacing w:after="120" w:line="276" w:lineRule="auto"/>
        <w:jc w:val="both"/>
      </w:pPr>
      <w:r>
        <w:rPr>
          <w:rFonts w:ascii="Times New Roman" w:hAnsi="Times New Roman"/>
          <w:color w:val="1E293B"/>
          <w:sz w:val="22"/>
        </w:rPr>
        <w:t>A modern multi-device recommendation engine (such as Netflix, Amazon, or Spotify) serves millions of personalized candidate items in under 50 milliseconds across smartphones, web browsers, tablets, and smart TVs. To achieve this, the underlying architecture must decouple asynchronous ingestion from low-latency feature serving, combining offline batch model training with real-time in-memory ranking pipelines.</w:t>
      </w:r>
    </w:p>
    <w:p>
      <w:pPr>
        <w:jc w:val="center"/>
      </w:pPr>
      <w:r>
        <w:drawing>
          <wp:inline xmlns:a="http://schemas.openxmlformats.org/drawingml/2006/main" xmlns:pic="http://schemas.openxmlformats.org/drawingml/2006/picture">
            <wp:extent cx="5943600" cy="3106303"/>
            <wp:docPr id="2" name="Picture 2"/>
            <wp:cNvGraphicFramePr>
              <a:graphicFrameLocks noChangeAspect="1"/>
            </wp:cNvGraphicFramePr>
            <a:graphic>
              <a:graphicData uri="http://schemas.openxmlformats.org/drawingml/2006/picture">
                <pic:pic>
                  <pic:nvPicPr>
                    <pic:cNvPr id="0" name="re_q1_recommendation_engine.png"/>
                    <pic:cNvPicPr/>
                  </pic:nvPicPr>
                  <pic:blipFill>
                    <a:blip r:embed="rId10"/>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1.1: Reverse Engineered Real-Time Multi-Device Recommendation Engine Pipeline</w:t>
      </w:r>
    </w:p>
    <w:p>
      <w:pPr>
        <w:keepNext/>
        <w:spacing w:before="280" w:after="120"/>
      </w:pPr>
      <w:r>
        <w:rPr>
          <w:rFonts w:ascii="Times New Roman" w:hAnsi="Times New Roman"/>
          <w:b/>
          <w:color w:val="008080"/>
          <w:sz w:val="25"/>
        </w:rPr>
        <w:t>2. Inferred Data Types, Protocols &amp; Ingestion Flow</w:t>
      </w:r>
    </w:p>
    <w:p>
      <w:pPr>
        <w:spacing w:after="120" w:line="276" w:lineRule="auto"/>
        <w:jc w:val="both"/>
      </w:pPr>
      <w:r>
        <w:rPr>
          <w:rFonts w:ascii="Times New Roman" w:hAnsi="Times New Roman"/>
          <w:color w:val="1E293B"/>
          <w:sz w:val="22"/>
        </w:rPr>
        <w:t>The system ingests three distinct data streams across multi-device endpoints:</w:t>
        <w:br/>
        <w:br/>
        <w:t>• Clickstream Telemetry (Semi-Structured JSON): High-velocity user events (impressions, product hover time, scroll depth, session clicks) generated from iOS, Android, and Web React SDKs. Transmitted via HTTPS POST payloads into CloudFront Edge API Gateways and buffered in Apache Kafka topics partitioned by a consistent hash of the user_id.</w:t>
        <w:br/>
        <w:t>• Search Query Strings (Unstructured NLP Text): Raw search tokens, filters, and voice search transcripts. Processed through sub-word tokenizers and converted into dense 512-dimensional vector embeddings using a pre-trained sentence transformer model.</w:t>
        <w:br/>
        <w:t>• Transactional Purchase Records (Structured ACID SQL): Completed order checkouts, payment authorizations, and returned items captured via Change Data Capture (Debezium/Kafka Connect) from PostgreSQL transactional databases into the central Delta Lake.</w:t>
      </w:r>
    </w:p>
    <w:p>
      <w:pPr>
        <w:keepNext/>
        <w:spacing w:before="280" w:after="120"/>
      </w:pPr>
      <w:r>
        <w:rPr>
          <w:rFonts w:ascii="Times New Roman" w:hAnsi="Times New Roman"/>
          <w:b/>
          <w:color w:val="008080"/>
          <w:sz w:val="25"/>
        </w:rPr>
        <w:t>3. Reverse Engineered Analytics Stages &amp; Serving Pipeline</w:t>
      </w:r>
    </w:p>
    <w:p>
      <w:pPr>
        <w:keepNext/>
        <w:spacing w:before="200" w:after="80"/>
      </w:pPr>
      <w:r>
        <w:rPr>
          <w:rFonts w:ascii="Times New Roman" w:hAnsi="Times New Roman"/>
          <w:b/>
          <w:color w:val="1E293B"/>
          <w:sz w:val="22"/>
        </w:rPr>
        <w:t>Table 1.1: Reverse Engineered Analytics Stages in Modern Recommendation Systems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304"/>
            <w:shd w:fill="1D4ED8"/>
            <w:tcMar>
              <w:top w:w="140" w:type="dxa"/>
              <w:bottom w:w="140" w:type="dxa"/>
              <w:left w:w="180" w:type="dxa"/>
              <w:right w:w="180" w:type="dxa"/>
            </w:tcMar>
          </w:tcPr>
          <w:p>
            <w:pPr>
              <w:jc w:val="left"/>
            </w:pPr>
            <w:r>
              <w:rPr>
                <w:rFonts w:ascii="Times New Roman" w:hAnsi="Times New Roman"/>
                <w:b/>
                <w:color w:val="FFFFFF"/>
                <w:sz w:val="20"/>
              </w:rPr>
              <w:t>Analytics Processing Stage</w:t>
            </w:r>
          </w:p>
        </w:tc>
        <w:tc>
          <w:tcPr>
            <w:tcW w:type="dxa" w:w="3600"/>
            <w:shd w:fill="1D4ED8"/>
            <w:tcMar>
              <w:top w:w="140" w:type="dxa"/>
              <w:bottom w:w="140" w:type="dxa"/>
              <w:left w:w="180" w:type="dxa"/>
              <w:right w:w="180" w:type="dxa"/>
            </w:tcMar>
          </w:tcPr>
          <w:p>
            <w:pPr>
              <w:jc w:val="left"/>
            </w:pPr>
            <w:r>
              <w:rPr>
                <w:rFonts w:ascii="Times New Roman" w:hAnsi="Times New Roman"/>
                <w:b/>
                <w:color w:val="FFFFFF"/>
                <w:sz w:val="20"/>
              </w:rPr>
              <w:t>Inferred Technology &amp; Algorithmic Implementation</w:t>
            </w:r>
          </w:p>
        </w:tc>
        <w:tc>
          <w:tcPr>
            <w:tcW w:type="dxa" w:w="3744"/>
            <w:shd w:fill="1D4ED8"/>
            <w:tcMar>
              <w:top w:w="140" w:type="dxa"/>
              <w:bottom w:w="140" w:type="dxa"/>
              <w:left w:w="180" w:type="dxa"/>
              <w:right w:w="180" w:type="dxa"/>
            </w:tcMar>
          </w:tcPr>
          <w:p>
            <w:pPr>
              <w:jc w:val="left"/>
            </w:pPr>
            <w:r>
              <w:rPr>
                <w:rFonts w:ascii="Times New Roman" w:hAnsi="Times New Roman"/>
                <w:b/>
                <w:color w:val="FFFFFF"/>
                <w:sz w:val="20"/>
              </w:rPr>
              <w:t>Operational SLA &amp; Design Justification</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1. Real-Time Feature Ingestion</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Apache Spark Structured Streaming / Flink reading Kafka clickstreams; writing real-time user engagement counters to Feast / Redis In-Memory Feature Store.</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SLA &lt; 100ms. Allows the engine to immediately capture intra-session user intent shifts (e.g., browsing winter jackets).</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2. Candidate Retrieval (Filtering)</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Two-Tower Deep Neural Network (User Tower &amp; Item Tower) performing approximate nearest neighbor (ANN) vector search via Milvus / FAISS.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SLA &lt; 10ms. Narrows the search space from 10,000,000 catalog items down to top 500 relevant candidates.</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3. Heavy Scoring &amp; Ranking</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DeepFM / DLRM (Deep Learning Recommendation Model) evaluating cross-features (user historical preferences, device type, time of day, item popularity).</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SLA &lt; 25ms. Computes fine-grained click-through rate (CTR) and conversion probabilities for the 500 candidates.</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4. Re-Ranking &amp; Diversity Filter</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Contextual re-ranking applying business logic (sponsored item boosts, deduplication, catalog diversity, out-of-stock exclusions).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SLA &lt; 5ms. Produces final top 10-20 personalized items rendered in the client UI.</w:t>
            </w:r>
          </w:p>
        </w:tc>
      </w:tr>
    </w:tbl>
    <w:p>
      <w:pPr>
        <w:keepNext/>
        <w:spacing w:before="160" w:after="40"/>
      </w:pPr>
      <w:r>
        <w:rPr>
          <w:rFonts w:ascii="Times New Roman" w:hAnsi="Times New Roman"/>
          <w:b/>
          <w:color w:val="008080"/>
          <w:sz w:val="20"/>
        </w:rPr>
        <w:t>Listing 1.1: Inferred Recommendation Serving Request Payload Schema</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jc w:val="left"/>
            </w:pPr>
            <w:r>
              <w:rPr>
                <w:rFonts w:ascii="Consolas" w:hAnsi="Consolas"/>
                <w:color w:val="0F172A"/>
                <w:sz w:val="18"/>
              </w:rPr>
              <w:t>{</w:t>
              <w:br/>
              <w:t xml:space="preserve">  "recommendation_request": {</w:t>
              <w:br/>
              <w:t xml:space="preserve">    "user_id": "USR-192511481",</w:t>
              <w:br/>
              <w:t xml:space="preserve">    "device_fingerprint": "DEV-IOS-IPHONE15",</w:t>
              <w:br/>
              <w:t xml:space="preserve">    "session_context": {</w:t>
              <w:br/>
              <w:t xml:space="preserve">      "active_screen": "PRODUCT_DETAIL_VIEW",</w:t>
              <w:br/>
              <w:t xml:space="preserve">      "category_affinity": "Cloud_Computing_Textbooks",</w:t>
              <w:br/>
              <w:t xml:space="preserve">      "recent_click_history": ["PROD-CSA1516-01", "PROD-BIGDATA-04"],</w:t>
              <w:br/>
              <w:t xml:space="preserve">      "network_type": "5G_CELLULAR",</w:t>
              <w:br/>
              <w:t xml:space="preserve">      "geo_hash": "tdr1v7m"</w:t>
              <w:br/>
              <w:t xml:space="preserve">    },</w:t>
              <w:br/>
              <w:t xml:space="preserve">    "candidate_pool_size": 500,</w:t>
              <w:br/>
              <w:t xml:space="preserve">    "top_k_results": 10</w:t>
              <w:br/>
              <w:t xml:space="preserve">  }</w:t>
              <w:br/>
              <w:t>}</w:t>
            </w:r>
          </w:p>
        </w:tc>
      </w:tr>
    </w:tbl>
    <w:p/>
    <w:p>
      <w:r>
        <w:br w:type="page"/>
      </w:r>
    </w:p>
    <w:p>
      <w:pPr>
        <w:keepNext/>
        <w:spacing w:before="400" w:after="160"/>
      </w:pPr>
      <w:r>
        <w:rPr>
          <w:rFonts w:ascii="Times New Roman" w:hAnsi="Times New Roman"/>
          <w:b/>
          <w:color w:val="1B365D"/>
          <w:sz w:val="30"/>
        </w:rPr>
        <w:t>TASK 2: Reverse Engineering a Ride-Sharing Geo-Spatial Streaming Backbone</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jc w:val="left"/>
            </w:pPr>
            <w:r>
              <w:rPr>
                <w:rFonts w:ascii="Times New Roman" w:hAnsi="Times New Roman"/>
                <w:b/>
                <w:color w:val="059669"/>
                <w:sz w:val="22"/>
              </w:rPr>
              <w:t>REVERSE ENGINEERING TASK: Distributed Geo-Spatial Ingestion, Real-Time Heatmaps &amp; Predictive Demand Forecasting</w:t>
              <w:br/>
            </w:r>
            <w:r>
              <w:rPr>
                <w:rFonts w:ascii="Times New Roman" w:hAnsi="Times New Roman"/>
                <w:color w:val="334155"/>
                <w:sz w:val="20"/>
              </w:rPr>
              <w:t>A ride-sharing company displays live traffic heatmaps and demand forecasts. Reverse engineer the likely distributed storage and processing backbone behind the system.</w:t>
            </w:r>
          </w:p>
        </w:tc>
      </w:tr>
    </w:tbl>
    <w:p/>
    <w:p>
      <w:pPr>
        <w:keepNext/>
        <w:spacing w:before="280" w:after="120"/>
      </w:pPr>
      <w:r>
        <w:rPr>
          <w:rFonts w:ascii="Times New Roman" w:hAnsi="Times New Roman"/>
          <w:b/>
          <w:color w:val="008080"/>
          <w:sz w:val="25"/>
        </w:rPr>
        <w:t>1. Inferred System Architecture &amp; Ingestion Backbone</w:t>
      </w:r>
    </w:p>
    <w:p>
      <w:pPr>
        <w:spacing w:after="120" w:line="276" w:lineRule="auto"/>
        <w:jc w:val="both"/>
      </w:pPr>
      <w:r>
        <w:rPr>
          <w:rFonts w:ascii="Times New Roman" w:hAnsi="Times New Roman"/>
          <w:color w:val="1E293B"/>
          <w:sz w:val="22"/>
        </w:rPr>
        <w:t>A global ride-sharing platform (such as Uber, Lyft, or Ola) tracks millions of concurrent driver and passenger GPS location vectors simultaneously. The platform must compute dynamic surge pricing heatmaps, calculate accurate pickup ETA estimates, and predict regional demand imbalances up to 60 minutes in advance. The underlying backbone must process millions of spatial coordinates per second without latency degradation.</w:t>
      </w:r>
    </w:p>
    <w:p>
      <w:pPr>
        <w:jc w:val="center"/>
      </w:pPr>
      <w:r>
        <w:drawing>
          <wp:inline xmlns:a="http://schemas.openxmlformats.org/drawingml/2006/main" xmlns:pic="http://schemas.openxmlformats.org/drawingml/2006/picture">
            <wp:extent cx="5943600" cy="3106303"/>
            <wp:docPr id="3" name="Picture 3"/>
            <wp:cNvGraphicFramePr>
              <a:graphicFrameLocks noChangeAspect="1"/>
            </wp:cNvGraphicFramePr>
            <a:graphic>
              <a:graphicData uri="http://schemas.openxmlformats.org/drawingml/2006/picture">
                <pic:pic>
                  <pic:nvPicPr>
                    <pic:cNvPr id="0" name="re_q2_ridesharing_heatmaps.png"/>
                    <pic:cNvPicPr/>
                  </pic:nvPicPr>
                  <pic:blipFill>
                    <a:blip r:embed="rId11"/>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2.1: Reverse Engineered Ride-Sharing Geo-Spatial Streaming Backbone &amp; Demand Forecasting</w:t>
      </w:r>
    </w:p>
    <w:p>
      <w:pPr>
        <w:keepNext/>
        <w:spacing w:before="280" w:after="120"/>
      </w:pPr>
      <w:r>
        <w:rPr>
          <w:rFonts w:ascii="Times New Roman" w:hAnsi="Times New Roman"/>
          <w:b/>
          <w:color w:val="008080"/>
          <w:sz w:val="25"/>
        </w:rPr>
        <w:t>2. Probable Component Stack &amp; Technical Design Decisions</w:t>
      </w:r>
    </w:p>
    <w:p>
      <w:pPr>
        <w:spacing w:after="120" w:line="276" w:lineRule="auto"/>
        <w:jc w:val="both"/>
      </w:pPr>
      <w:r>
        <w:rPr>
          <w:rFonts w:ascii="Times New Roman" w:hAnsi="Times New Roman"/>
          <w:color w:val="1E293B"/>
          <w:sz w:val="22"/>
        </w:rPr>
        <w:t>Reverse engineering reveals four key architectural design choices:</w:t>
        <w:br/>
        <w:br/>
        <w:t>• Hexagonal Spatial Indexing (Uber H3 Algorithm): Instead of computing computationally prohibitive geometric polygon intersections across dynamic city boundaries, the earth's surface is partitioned into discrete, hierarchical hexagonal grid cells (H3 index resolution 7–9). Every latitude/longitude coordinate is mathematically converted into a 64-bit integer H3 hexagon ID in sub-microsecond time.</w:t>
        <w:br/>
        <w:t>• Stateful Streaming Aggregation (Apache Flink): Driver location pings stream over persistent WebSockets/gRPC into Apache Kafka topics partitioned by geographic city boundaries. Apache Flink maintains in-memory sliding windows (e.g., 10-second updates over 60-second windows) tracking active driver supply and unfulfilled passenger ride requests per H3 hexagon cell.</w:t>
        <w:br/>
        <w:t>• In-Memory Dynamic Surge Cache (Redis Cluster): Aggregated supply/demand ratios per hexagon are written to Redis clusters. When supply drops below demand, an automated surge multiplier (1.2x, 1.8x) is applied to rider apps instantly.</w:t>
        <w:br/>
        <w:t>• Historical Time-Series Storage &amp; Forecasting (Apache Cassandra + LSTM): Completed trip histories, weather data, and historical holiday patterns are persisted in Apache Cassandra wide-column tables. Long Short-Term Memory (LSTM) recurrent neural networks and Facebook Prophet models train on historical time-series to generate 60-minute future demand forecasts.</w:t>
      </w:r>
    </w:p>
    <w:p>
      <w:pPr>
        <w:keepNext/>
        <w:spacing w:before="200" w:after="80"/>
      </w:pPr>
      <w:r>
        <w:rPr>
          <w:rFonts w:ascii="Times New Roman" w:hAnsi="Times New Roman"/>
          <w:b/>
          <w:color w:val="1E293B"/>
          <w:sz w:val="22"/>
        </w:rPr>
        <w:t>Table 2.1: Reverse Engineered Technology Stack for Ride-Sharing Geo-Spatial Systems</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304"/>
            <w:shd w:fill="059669"/>
            <w:tcMar>
              <w:top w:w="140" w:type="dxa"/>
              <w:bottom w:w="140" w:type="dxa"/>
              <w:left w:w="180" w:type="dxa"/>
              <w:right w:w="180" w:type="dxa"/>
            </w:tcMar>
          </w:tcPr>
          <w:p>
            <w:pPr>
              <w:jc w:val="left"/>
            </w:pPr>
            <w:r>
              <w:rPr>
                <w:rFonts w:ascii="Times New Roman" w:hAnsi="Times New Roman"/>
                <w:b/>
                <w:color w:val="FFFFFF"/>
                <w:sz w:val="20"/>
              </w:rPr>
              <w:t>Subsystem Tier</w:t>
            </w:r>
          </w:p>
        </w:tc>
        <w:tc>
          <w:tcPr>
            <w:tcW w:type="dxa" w:w="3600"/>
            <w:shd w:fill="059669"/>
            <w:tcMar>
              <w:top w:w="140" w:type="dxa"/>
              <w:bottom w:w="140" w:type="dxa"/>
              <w:left w:w="180" w:type="dxa"/>
              <w:right w:w="180" w:type="dxa"/>
            </w:tcMar>
          </w:tcPr>
          <w:p>
            <w:pPr>
              <w:jc w:val="left"/>
            </w:pPr>
            <w:r>
              <w:rPr>
                <w:rFonts w:ascii="Times New Roman" w:hAnsi="Times New Roman"/>
                <w:b/>
                <w:color w:val="FFFFFF"/>
                <w:sz w:val="20"/>
              </w:rPr>
              <w:t>Inferred Technology Component</w:t>
            </w:r>
          </w:p>
        </w:tc>
        <w:tc>
          <w:tcPr>
            <w:tcW w:type="dxa" w:w="3744"/>
            <w:shd w:fill="059669"/>
            <w:tcMar>
              <w:top w:w="140" w:type="dxa"/>
              <w:bottom w:w="140" w:type="dxa"/>
              <w:left w:w="180" w:type="dxa"/>
              <w:right w:w="180" w:type="dxa"/>
            </w:tcMar>
          </w:tcPr>
          <w:p>
            <w:pPr>
              <w:jc w:val="left"/>
            </w:pPr>
            <w:r>
              <w:rPr>
                <w:rFonts w:ascii="Times New Roman" w:hAnsi="Times New Roman"/>
                <w:b/>
                <w:color w:val="FFFFFF"/>
                <w:sz w:val="20"/>
              </w:rPr>
              <w:t>Architectural Role &amp; Technical Justification</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Edge Telemetry Ingestion</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Netty / Envoy gRPC Proxy + Apache Kafka (Geo-partitioned)</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Ingests continuous 3-second GPS pings from driver mobile handsets with low battery/network overhead.</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Spatial Tiling Engine</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Uber H3 Spatial Hexagonal Indexing</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Quantizes spherical coordinates into discrete hexagonal cells, enabling fast O(1) neighboring cell lookups.</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Real-Time Stream Processing</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Apache Flink (RocksDB State Backend)</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Maintains stateful rolling counters of active drivers and active booking requests per H3 cell.</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Forecasting &amp; ML Serving</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Cassandra wide-column storage + Spark MLlib LSTM models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Stores billions of historical trip trajectories; generates multi-zone demand prediction maps.</w:t>
            </w:r>
          </w:p>
        </w:tc>
      </w:tr>
    </w:tbl>
    <w:p>
      <w:r>
        <w:br w:type="page"/>
      </w:r>
    </w:p>
    <w:p>
      <w:pPr>
        <w:keepNext/>
        <w:spacing w:before="400" w:after="160"/>
      </w:pPr>
      <w:r>
        <w:rPr>
          <w:rFonts w:ascii="Times New Roman" w:hAnsi="Times New Roman"/>
          <w:b/>
          <w:color w:val="1B365D"/>
          <w:sz w:val="30"/>
        </w:rPr>
        <w:t>TASK 3: Reverse Engineering a Real-Time Card Fraud Detection Platform</w:t>
      </w:r>
    </w:p>
    <w:tbl>
      <w:tblPr>
        <w:tblW w:type="auto" w:w="0"/>
        <w:jc w:val="center"/>
        <w:tblLook w:firstColumn="1" w:firstRow="1" w:lastColumn="0" w:lastRow="0" w:noHBand="0" w:noVBand="1" w:val="04A0"/>
      </w:tblPr>
      <w:tblGrid>
        <w:gridCol w:w="9648"/>
      </w:tblGrid>
      <w:tr>
        <w:tc>
          <w:tcPr>
            <w:tcW w:type="dxa" w:w="9648"/>
            <w:shd w:fill="FEF2F2"/>
            <w:tcMar>
              <w:top w:w="140" w:type="dxa"/>
              <w:bottom w:w="140" w:type="dxa"/>
              <w:left w:w="200" w:type="dxa"/>
              <w:right w:w="200" w:type="dxa"/>
            </w:tcMar>
            <w:tcBorders>
              <w:top w:val="none"/>
              <w:left w:val="single" w:sz="24" w:space="0" w:color="DC2626"/>
              <w:bottom w:val="none"/>
              <w:right w:val="none"/>
            </w:tcBorders>
          </w:tcPr>
          <w:p>
            <w:pPr>
              <w:spacing w:after="40"/>
              <w:jc w:val="left"/>
            </w:pPr>
            <w:r>
              <w:rPr>
                <w:rFonts w:ascii="Times New Roman" w:hAnsi="Times New Roman"/>
                <w:b/>
                <w:color w:val="DC2626"/>
                <w:sz w:val="22"/>
              </w:rPr>
              <w:t>REVERSE ENGINEERING TASK: Sub-30ms Fraud Prevention, Stateful Complex Event Processing &amp; Alerting</w:t>
              <w:br/>
            </w:r>
            <w:r>
              <w:rPr>
                <w:rFonts w:ascii="Times New Roman" w:hAnsi="Times New Roman"/>
                <w:color w:val="334155"/>
                <w:sz w:val="20"/>
              </w:rPr>
              <w:t>A fraud detection dashboard flags suspicious card transactions in near real time. Reverse engineer the probable big data security, streaming, and alerting mechanisms used.</w:t>
            </w:r>
          </w:p>
        </w:tc>
      </w:tr>
    </w:tbl>
    <w:p/>
    <w:p>
      <w:pPr>
        <w:keepNext/>
        <w:spacing w:before="280" w:after="120"/>
      </w:pPr>
      <w:r>
        <w:rPr>
          <w:rFonts w:ascii="Times New Roman" w:hAnsi="Times New Roman"/>
          <w:b/>
          <w:color w:val="008080"/>
          <w:sz w:val="25"/>
        </w:rPr>
        <w:t>1. Inferred Security Perimeter &amp; Real-Time Constraints</w:t>
      </w:r>
    </w:p>
    <w:p>
      <w:pPr>
        <w:spacing w:after="120" w:line="276" w:lineRule="auto"/>
        <w:jc w:val="both"/>
      </w:pPr>
      <w:r>
        <w:rPr>
          <w:rFonts w:ascii="Times New Roman" w:hAnsi="Times New Roman"/>
          <w:color w:val="1E293B"/>
          <w:sz w:val="22"/>
        </w:rPr>
        <w:t>Payment processing networks (such as Visa, Mastercard, or Stripe) must evaluate every transaction for potential fraud synchronously within a strict 30-to-50-millisecond latency window before the transaction authorization is settled with the issuing bank. The system must detect velocity anomalies (e.g., a card swiped in Chennai and 15 minutes later in London), merchant category code (MCC) fraud spikes, and coordinated bot testing attacks.</w:t>
      </w:r>
    </w:p>
    <w:p>
      <w:pPr>
        <w:jc w:val="center"/>
      </w:pPr>
      <w:r>
        <w:drawing>
          <wp:inline xmlns:a="http://schemas.openxmlformats.org/drawingml/2006/main" xmlns:pic="http://schemas.openxmlformats.org/drawingml/2006/picture">
            <wp:extent cx="5943600" cy="3106303"/>
            <wp:docPr id="4" name="Picture 4"/>
            <wp:cNvGraphicFramePr>
              <a:graphicFrameLocks noChangeAspect="1"/>
            </wp:cNvGraphicFramePr>
            <a:graphic>
              <a:graphicData uri="http://schemas.openxmlformats.org/drawingml/2006/picture">
                <pic:pic>
                  <pic:nvPicPr>
                    <pic:cNvPr id="0" name="re_q3_fraud_detection.png"/>
                    <pic:cNvPicPr/>
                  </pic:nvPicPr>
                  <pic:blipFill>
                    <a:blip r:embed="rId12"/>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3.1: Reverse Engineered FinTech Real-Time Fraud Detection &amp; Alerting Architecture</w:t>
      </w:r>
    </w:p>
    <w:p>
      <w:pPr>
        <w:keepNext/>
        <w:spacing w:before="280" w:after="120"/>
      </w:pPr>
      <w:r>
        <w:rPr>
          <w:rFonts w:ascii="Times New Roman" w:hAnsi="Times New Roman"/>
          <w:b/>
          <w:color w:val="008080"/>
          <w:sz w:val="25"/>
        </w:rPr>
        <w:t>2. Probable Big Data Security, Streaming &amp; Alerting Architecture</w:t>
      </w:r>
    </w:p>
    <w:p>
      <w:pPr>
        <w:spacing w:after="120" w:line="276" w:lineRule="auto"/>
        <w:jc w:val="both"/>
      </w:pPr>
      <w:r>
        <w:rPr>
          <w:rFonts w:ascii="Times New Roman" w:hAnsi="Times New Roman"/>
          <w:color w:val="1E293B"/>
          <w:sz w:val="22"/>
        </w:rPr>
        <w:t>Reverse engineering reveals a multi-layered zero-trust streaming pipeline:</w:t>
        <w:br/>
        <w:br/>
        <w:t>• Security &amp; Tokenization Layer: Transactions land in an isolated PCI-DSS compliant DMZ over TLS 1.3. An in-memory Hardware Security Module (HSM) executes Format-Preserving Tokenization (FPE) on the 16-digit credit card PAN, ensuring downstream machine learning executors never process raw card numbers in plaintext. Mutual Kerberos cryptographic authentication secures inter-node communication.</w:t>
        <w:br/>
        <w:t>• Stateful Complex Event Processing (Apache Flink CEP): Incoming transaction events pass into stateful Flink CEP engines. Flink maintains keyed state (keyed by Card Token) to evaluate sliding velocity patterns (e.g., &gt; 3 transactions across distinct geographic cities within a 10-minute window).</w:t>
        <w:br/>
        <w:t>• In-Memory Graph ML Scoring: In-memory Graph Databases (TigerGraph / Neo4j) correlate device fingerprints, IP addresses, physical shipping addresses, and shared bank accounts to detect coordinated synthetic identity fraud rings. LightGBM models compute a composite fraud risk score (0.00 to 1.00) in &lt; 15ms.</w:t>
        <w:br/>
        <w:t>• Multi-Tiered Alerting &amp; Operational Dashboard: If Risk Score &gt; 0.90, the system automatically issues an inline payment DECLINE command and sends an instant SMS verification prompt. If Risk Score is between 0.60 and 0.89, the transaction is approved but flagged on a live WebSocket-driven Ops dashboard (Node.js/React) for human analyst verification.</w:t>
      </w:r>
    </w:p>
    <w:p>
      <w:pPr>
        <w:keepNext/>
        <w:spacing w:before="200" w:after="80"/>
      </w:pPr>
      <w:r>
        <w:rPr>
          <w:rFonts w:ascii="Times New Roman" w:hAnsi="Times New Roman"/>
          <w:b/>
          <w:color w:val="1E293B"/>
          <w:sz w:val="22"/>
        </w:rPr>
        <w:t>Table 3.1: Reverse Engineered Mechanisms in Fraud Detection Pipelines</w:t>
      </w:r>
    </w:p>
    <w:tbl>
      <w:tblPr>
        <w:tblW w:type="auto" w:w="0"/>
        <w:jc w:val="center"/>
        <w:tblLook w:firstColumn="1" w:firstRow="1" w:lastColumn="0" w:lastRow="0" w:noHBand="0" w:noVBand="1" w:val="04A0"/>
        <w:tblBorders>
          <w:top w:val="single" w:sz="6" w:space="0" w:color="DC2626"/>
          <w:left w:val="none"/>
          <w:bottom w:val="single" w:sz="10" w:space="0" w:color="DC2626"/>
          <w:right w:val="none"/>
          <w:insideH w:val="single" w:sz="4" w:space="0" w:color="CBD5E1"/>
          <w:insideV w:val="none"/>
        </w:tblBorders>
      </w:tblPr>
      <w:tblGrid>
        <w:gridCol w:w="2412"/>
        <w:gridCol w:w="2412"/>
        <w:gridCol w:w="2412"/>
        <w:gridCol w:w="2412"/>
      </w:tblGrid>
      <w:tr>
        <w:trPr>
          <w:cantSplit/>
          <w:tblHeader/>
        </w:trPr>
        <w:tc>
          <w:tcPr>
            <w:tcW w:type="dxa" w:w="2016"/>
            <w:shd w:fill="DC2626"/>
            <w:tcMar>
              <w:top w:w="140" w:type="dxa"/>
              <w:bottom w:w="140" w:type="dxa"/>
              <w:left w:w="180" w:type="dxa"/>
              <w:right w:w="180" w:type="dxa"/>
            </w:tcMar>
          </w:tcPr>
          <w:p>
            <w:pPr>
              <w:jc w:val="left"/>
            </w:pPr>
            <w:r>
              <w:rPr>
                <w:rFonts w:ascii="Times New Roman" w:hAnsi="Times New Roman"/>
                <w:b/>
                <w:color w:val="FFFFFF"/>
                <w:sz w:val="20"/>
              </w:rPr>
              <w:t>Pipeline Phase</w:t>
            </w:r>
          </w:p>
        </w:tc>
        <w:tc>
          <w:tcPr>
            <w:tcW w:type="dxa" w:w="2592"/>
            <w:shd w:fill="DC2626"/>
            <w:tcMar>
              <w:top w:w="140" w:type="dxa"/>
              <w:bottom w:w="140" w:type="dxa"/>
              <w:left w:w="180" w:type="dxa"/>
              <w:right w:w="180" w:type="dxa"/>
            </w:tcMar>
          </w:tcPr>
          <w:p>
            <w:pPr>
              <w:jc w:val="left"/>
            </w:pPr>
            <w:r>
              <w:rPr>
                <w:rFonts w:ascii="Times New Roman" w:hAnsi="Times New Roman"/>
                <w:b/>
                <w:color w:val="FFFFFF"/>
                <w:sz w:val="20"/>
              </w:rPr>
              <w:t>Inferred Mechanism</w:t>
            </w:r>
          </w:p>
        </w:tc>
        <w:tc>
          <w:tcPr>
            <w:tcW w:type="dxa" w:w="2592"/>
            <w:shd w:fill="DC2626"/>
            <w:tcMar>
              <w:top w:w="140" w:type="dxa"/>
              <w:bottom w:w="140" w:type="dxa"/>
              <w:left w:w="180" w:type="dxa"/>
              <w:right w:w="180" w:type="dxa"/>
            </w:tcMar>
          </w:tcPr>
          <w:p>
            <w:pPr>
              <w:jc w:val="left"/>
            </w:pPr>
            <w:r>
              <w:rPr>
                <w:rFonts w:ascii="Times New Roman" w:hAnsi="Times New Roman"/>
                <w:b/>
                <w:color w:val="FFFFFF"/>
                <w:sz w:val="20"/>
              </w:rPr>
              <w:t>Implementation Framework</w:t>
            </w:r>
          </w:p>
        </w:tc>
        <w:tc>
          <w:tcPr>
            <w:tcW w:type="dxa" w:w="2448"/>
            <w:shd w:fill="DC2626"/>
            <w:tcMar>
              <w:top w:w="140" w:type="dxa"/>
              <w:bottom w:w="140" w:type="dxa"/>
              <w:left w:w="180" w:type="dxa"/>
              <w:right w:w="180" w:type="dxa"/>
            </w:tcMar>
          </w:tcPr>
          <w:p>
            <w:pPr>
              <w:jc w:val="left"/>
            </w:pPr>
            <w:r>
              <w:rPr>
                <w:rFonts w:ascii="Times New Roman" w:hAnsi="Times New Roman"/>
                <w:b/>
                <w:color w:val="FFFFFF"/>
                <w:sz w:val="20"/>
              </w:rPr>
              <w:t>Security / Performance Role</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Data Privacy</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Format-Preserving Encryption</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AES-256 HSM Token Vault</w:t>
            </w:r>
          </w:p>
        </w:tc>
        <w:tc>
          <w:tcPr>
            <w:tcW w:type="dxa" w:w="2448"/>
            <w:shd w:fill="FFFFFF"/>
            <w:tcMar>
              <w:top w:w="100" w:type="dxa"/>
              <w:bottom w:w="100" w:type="dxa"/>
              <w:left w:w="180" w:type="dxa"/>
              <w:right w:w="180" w:type="dxa"/>
            </w:tcMar>
          </w:tcPr>
          <w:p>
            <w:pPr>
              <w:jc w:val="left"/>
            </w:pPr>
            <w:r>
              <w:rPr>
                <w:rFonts w:ascii="Times New Roman" w:hAnsi="Times New Roman"/>
                <w:color w:val="1E293B"/>
                <w:sz w:val="19"/>
              </w:rPr>
              <w:t>Eliminates raw PAN exposure; satisfies PCI-DSS Req 3.4.</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Streaming Pattern Match</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Stateful Event Pattern Matching</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Apache Flink CEP (RocksDB)</w:t>
            </w:r>
          </w:p>
        </w:tc>
        <w:tc>
          <w:tcPr>
            <w:tcW w:type="dxa" w:w="2448"/>
            <w:shd w:fill="F8FAFC"/>
            <w:tcMar>
              <w:top w:w="100" w:type="dxa"/>
              <w:bottom w:w="100" w:type="dxa"/>
              <w:left w:w="180" w:type="dxa"/>
              <w:right w:w="180" w:type="dxa"/>
            </w:tcMar>
          </w:tcPr>
          <w:p>
            <w:pPr>
              <w:jc w:val="left"/>
            </w:pPr>
            <w:r>
              <w:rPr>
                <w:rFonts w:ascii="Times New Roman" w:hAnsi="Times New Roman"/>
                <w:color w:val="1E293B"/>
                <w:sz w:val="19"/>
              </w:rPr>
              <w:t>Detects impossible travel speed and rapid card testing.</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Fraud Scoring</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Gradient Boosted Tree Inference</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ONNX Runtime / LightGBM</w:t>
            </w:r>
          </w:p>
        </w:tc>
        <w:tc>
          <w:tcPr>
            <w:tcW w:type="dxa" w:w="2448"/>
            <w:shd w:fill="FFFFFF"/>
            <w:tcMar>
              <w:top w:w="100" w:type="dxa"/>
              <w:bottom w:w="100" w:type="dxa"/>
              <w:left w:w="180" w:type="dxa"/>
              <w:right w:w="180" w:type="dxa"/>
            </w:tcMar>
          </w:tcPr>
          <w:p>
            <w:pPr>
              <w:jc w:val="left"/>
            </w:pPr>
            <w:r>
              <w:rPr>
                <w:rFonts w:ascii="Times New Roman" w:hAnsi="Times New Roman"/>
                <w:color w:val="1E293B"/>
                <w:sz w:val="19"/>
              </w:rPr>
              <w:t>Produces probability score in sub-15ms inline execution.</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Real-Time Alerting</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Push Notification &amp; Dashboard</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Apache Kafka Sink + WebSockets</w:t>
            </w:r>
          </w:p>
        </w:tc>
        <w:tc>
          <w:tcPr>
            <w:tcW w:type="dxa" w:w="2448"/>
            <w:shd w:fill="F8FAFC"/>
            <w:tcMar>
              <w:top w:w="100" w:type="dxa"/>
              <w:bottom w:w="100" w:type="dxa"/>
              <w:left w:w="180" w:type="dxa"/>
              <w:right w:w="180" w:type="dxa"/>
            </w:tcMar>
          </w:tcPr>
          <w:p>
            <w:pPr>
              <w:jc w:val="left"/>
            </w:pPr>
            <w:r>
              <w:rPr>
                <w:rFonts w:ascii="Times New Roman" w:hAnsi="Times New Roman"/>
                <w:color w:val="1E293B"/>
                <w:sz w:val="19"/>
              </w:rPr>
              <w:t>Pushes real-time alerts to mobile banking app &amp; fraud triage UI.</w:t>
            </w:r>
          </w:p>
        </w:tc>
      </w:tr>
    </w:tbl>
    <w:p>
      <w:r>
        <w:br w:type="page"/>
      </w:r>
    </w:p>
    <w:p>
      <w:pPr>
        <w:keepNext/>
        <w:spacing w:before="400" w:after="160"/>
      </w:pPr>
      <w:r>
        <w:rPr>
          <w:rFonts w:ascii="Times New Roman" w:hAnsi="Times New Roman"/>
          <w:b/>
          <w:color w:val="1B365D"/>
          <w:sz w:val="30"/>
        </w:rPr>
        <w:t>TASK 4: Reverse Engineering a Social Media Hybrid Data Architecture</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jc w:val="left"/>
            </w:pPr>
            <w:r>
              <w:rPr>
                <w:rFonts w:ascii="Times New Roman" w:hAnsi="Times New Roman"/>
                <w:b/>
                <w:color w:val="7C3AED"/>
                <w:sz w:val="22"/>
              </w:rPr>
              <w:t>REVERSE ENGINEERING TASK: Polyglot Persistence: Managing High-Volume Video, Comments, Hashtags &amp; Graphs</w:t>
              <w:br/>
            </w:r>
            <w:r>
              <w:rPr>
                <w:rFonts w:ascii="Times New Roman" w:hAnsi="Times New Roman"/>
                <w:color w:val="334155"/>
                <w:sz w:val="20"/>
              </w:rPr>
              <w:t>A social media platform stores videos, text comments, hashtags, and user engagement metrics. Reverse engineer how structured and unstructured data are probably managed together.</w:t>
            </w:r>
          </w:p>
        </w:tc>
      </w:tr>
    </w:tbl>
    <w:p/>
    <w:p>
      <w:pPr>
        <w:keepNext/>
        <w:spacing w:before="280" w:after="120"/>
      </w:pPr>
      <w:r>
        <w:rPr>
          <w:rFonts w:ascii="Times New Roman" w:hAnsi="Times New Roman"/>
          <w:b/>
          <w:color w:val="008080"/>
          <w:sz w:val="25"/>
        </w:rPr>
        <w:t>1. Inferred Multi-Modal Data Challenge</w:t>
      </w:r>
    </w:p>
    <w:p>
      <w:pPr>
        <w:spacing w:after="120" w:line="276" w:lineRule="auto"/>
        <w:jc w:val="both"/>
      </w:pPr>
      <w:r>
        <w:rPr>
          <w:rFonts w:ascii="Times New Roman" w:hAnsi="Times New Roman"/>
          <w:color w:val="1E293B"/>
          <w:sz w:val="22"/>
        </w:rPr>
        <w:t>Social media networks (such as Instagram, TikTok, or Twitter/X) manage astronomical daily volumes of heterogeneous data. A single user post may include a 4K video file (unstructured), textual caption and comments (semi-structured), metadata timestamps and view counts (structured), hashtag taxonomy tags, and a complex social follower graph. Storing all these data types in a single database engine causes severe performance bottlenecks. The platform relies on a Polyglot Persistence architecture that decouples media storage from transactional metadata.</w:t>
      </w:r>
    </w:p>
    <w:p>
      <w:pPr>
        <w:jc w:val="center"/>
      </w:pPr>
      <w:r>
        <w:drawing>
          <wp:inline xmlns:a="http://schemas.openxmlformats.org/drawingml/2006/main" xmlns:pic="http://schemas.openxmlformats.org/drawingml/2006/picture">
            <wp:extent cx="5943600" cy="3106303"/>
            <wp:docPr id="5" name="Picture 5"/>
            <wp:cNvGraphicFramePr>
              <a:graphicFrameLocks noChangeAspect="1"/>
            </wp:cNvGraphicFramePr>
            <a:graphic>
              <a:graphicData uri="http://schemas.openxmlformats.org/drawingml/2006/picture">
                <pic:pic>
                  <pic:nvPicPr>
                    <pic:cNvPr id="0" name="re_q4_social_media_hybrid.png"/>
                    <pic:cNvPicPr/>
                  </pic:nvPicPr>
                  <pic:blipFill>
                    <a:blip r:embed="rId13"/>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4.1: Reverse Engineered Social Media Multi-Modal Storage &amp; Polyglot Persistence Architecture</w:t>
      </w:r>
    </w:p>
    <w:p>
      <w:pPr>
        <w:keepNext/>
        <w:spacing w:before="280" w:after="120"/>
      </w:pPr>
      <w:r>
        <w:rPr>
          <w:rFonts w:ascii="Times New Roman" w:hAnsi="Times New Roman"/>
          <w:b/>
          <w:color w:val="008080"/>
          <w:sz w:val="25"/>
        </w:rPr>
        <w:t>2. Probable Polyglot Persistence Engine Decomposition</w:t>
      </w:r>
    </w:p>
    <w:p>
      <w:pPr>
        <w:spacing w:after="120" w:line="276" w:lineRule="auto"/>
        <w:jc w:val="both"/>
      </w:pPr>
      <w:r>
        <w:rPr>
          <w:rFonts w:ascii="Times New Roman" w:hAnsi="Times New Roman"/>
          <w:color w:val="1E293B"/>
          <w:sz w:val="22"/>
        </w:rPr>
        <w:t>Reverse engineering reveals four specialized storage tiers unified via global metadata pointers:</w:t>
        <w:br/>
        <w:br/>
        <w:t>1. Unstructured Media Storage (Object Store + CDN): Raw MP4 videos and JPEG images land in Amazon S3 / HDFS object storage. Files are transcoded into adaptive HLS multi-bitrate streams and cached globally at edge locations via Amazon CloudFront / Akamai CDN.</w:t>
        <w:br/>
        <w:t>2. High-Throughput Comment &amp; Interaction Store (Wide-Column NoSQL): User comments, likes, and view counter timestamps require extreme write availability. The platform utilizes Apache Cassandra or ScyllaDB, utilizing partitioned row keys (post_id) and clustering keys (comment_timestamp) to append millions of comments per second without relational locking.</w:t>
        <w:br/>
        <w:t>3. Social Relationship Graph Store (Graph Database): Follower/following networks, user mentions, and community graphs are stored in native graph databases (Neo4j / Amazon Neptune / JanusGraph). Graph traversal algorithms render personalized social feeds in sub-50 milliseconds.</w:t>
        <w:br/>
        <w:t>4. Inverted Search &amp; Trending Hashtag Store (Search Engine): Hashtags (#CloudComputing, #BigData) and tokenized caption text are indexed in OpenSearch / Elasticsearch, providing real-time autocomplete, full-text fuzzy search, and viral topic trend analytics.</w:t>
      </w:r>
    </w:p>
    <w:p>
      <w:pPr>
        <w:keepNext/>
        <w:spacing w:before="200" w:after="80"/>
      </w:pPr>
      <w:r>
        <w:rPr>
          <w:rFonts w:ascii="Times New Roman" w:hAnsi="Times New Roman"/>
          <w:b/>
          <w:color w:val="1E293B"/>
          <w:sz w:val="22"/>
        </w:rPr>
        <w:t>Table 4.1: Polyglot Persistence Storage Mapping for Social Media Platforms</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2412"/>
        <w:gridCol w:w="2412"/>
        <w:gridCol w:w="2412"/>
        <w:gridCol w:w="2412"/>
      </w:tblGrid>
      <w:tr>
        <w:trPr>
          <w:cantSplit/>
          <w:tblHeader/>
        </w:trPr>
        <w:tc>
          <w:tcPr>
            <w:tcW w:type="dxa" w:w="2016"/>
            <w:shd w:fill="7C3AED"/>
            <w:tcMar>
              <w:top w:w="140" w:type="dxa"/>
              <w:bottom w:w="140" w:type="dxa"/>
              <w:left w:w="180" w:type="dxa"/>
              <w:right w:w="180" w:type="dxa"/>
            </w:tcMar>
          </w:tcPr>
          <w:p>
            <w:pPr>
              <w:jc w:val="left"/>
            </w:pPr>
            <w:r>
              <w:rPr>
                <w:rFonts w:ascii="Times New Roman" w:hAnsi="Times New Roman"/>
                <w:b/>
                <w:color w:val="FFFFFF"/>
                <w:sz w:val="20"/>
              </w:rPr>
              <w:t>Data Entity Type</w:t>
            </w:r>
          </w:p>
        </w:tc>
        <w:tc>
          <w:tcPr>
            <w:tcW w:type="dxa" w:w="2160"/>
            <w:shd w:fill="7C3AED"/>
            <w:tcMar>
              <w:top w:w="140" w:type="dxa"/>
              <w:bottom w:w="140" w:type="dxa"/>
              <w:left w:w="180" w:type="dxa"/>
              <w:right w:w="180" w:type="dxa"/>
            </w:tcMar>
          </w:tcPr>
          <w:p>
            <w:pPr>
              <w:jc w:val="left"/>
            </w:pPr>
            <w:r>
              <w:rPr>
                <w:rFonts w:ascii="Times New Roman" w:hAnsi="Times New Roman"/>
                <w:b/>
                <w:color w:val="FFFFFF"/>
                <w:sz w:val="20"/>
              </w:rPr>
              <w:t>Structural Format</w:t>
            </w:r>
          </w:p>
        </w:tc>
        <w:tc>
          <w:tcPr>
            <w:tcW w:type="dxa" w:w="2592"/>
            <w:shd w:fill="7C3AED"/>
            <w:tcMar>
              <w:top w:w="140" w:type="dxa"/>
              <w:bottom w:w="140" w:type="dxa"/>
              <w:left w:w="180" w:type="dxa"/>
              <w:right w:w="180" w:type="dxa"/>
            </w:tcMar>
          </w:tcPr>
          <w:p>
            <w:pPr>
              <w:jc w:val="left"/>
            </w:pPr>
            <w:r>
              <w:rPr>
                <w:rFonts w:ascii="Times New Roman" w:hAnsi="Times New Roman"/>
                <w:b/>
                <w:color w:val="FFFFFF"/>
                <w:sz w:val="20"/>
              </w:rPr>
              <w:t>Inferred Storage Engine</w:t>
            </w:r>
          </w:p>
        </w:tc>
        <w:tc>
          <w:tcPr>
            <w:tcW w:type="dxa" w:w="2880"/>
            <w:shd w:fill="7C3AED"/>
            <w:tcMar>
              <w:top w:w="140" w:type="dxa"/>
              <w:bottom w:w="140" w:type="dxa"/>
              <w:left w:w="180" w:type="dxa"/>
              <w:right w:w="180" w:type="dxa"/>
            </w:tcMar>
          </w:tcPr>
          <w:p>
            <w:pPr>
              <w:jc w:val="left"/>
            </w:pPr>
            <w:r>
              <w:rPr>
                <w:rFonts w:ascii="Times New Roman" w:hAnsi="Times New Roman"/>
                <w:b/>
                <w:color w:val="FFFFFF"/>
                <w:sz w:val="20"/>
              </w:rPr>
              <w:t>Technical Design Justification</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Videos &amp; Photos</w:t>
            </w:r>
          </w:p>
        </w:tc>
        <w:tc>
          <w:tcPr>
            <w:tcW w:type="dxa" w:w="2160"/>
            <w:shd w:fill="FFFFFF"/>
            <w:tcMar>
              <w:top w:w="100" w:type="dxa"/>
              <w:bottom w:w="100" w:type="dxa"/>
              <w:left w:w="180" w:type="dxa"/>
              <w:right w:w="180" w:type="dxa"/>
            </w:tcMar>
          </w:tcPr>
          <w:p>
            <w:pPr>
              <w:jc w:val="left"/>
            </w:pPr>
            <w:r>
              <w:rPr>
                <w:rFonts w:ascii="Times New Roman" w:hAnsi="Times New Roman"/>
                <w:color w:val="1E293B"/>
                <w:sz w:val="19"/>
              </w:rPr>
              <w:t>Unstructured Binary</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AWS S3 / Azure Blob + CDN</w:t>
            </w:r>
          </w:p>
        </w:tc>
        <w:tc>
          <w:tcPr>
            <w:tcW w:type="dxa" w:w="2880"/>
            <w:shd w:fill="FFFFFF"/>
            <w:tcMar>
              <w:top w:w="100" w:type="dxa"/>
              <w:bottom w:w="100" w:type="dxa"/>
              <w:left w:w="180" w:type="dxa"/>
              <w:right w:w="180" w:type="dxa"/>
            </w:tcMar>
          </w:tcPr>
          <w:p>
            <w:pPr>
              <w:jc w:val="left"/>
            </w:pPr>
            <w:r>
              <w:rPr>
                <w:rFonts w:ascii="Times New Roman" w:hAnsi="Times New Roman"/>
                <w:color w:val="1E293B"/>
                <w:sz w:val="19"/>
              </w:rPr>
              <w:t>High durability (11 9's), low storage cost per GB, and global edge caching.</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Comments &amp; Likes</w:t>
            </w:r>
          </w:p>
        </w:tc>
        <w:tc>
          <w:tcPr>
            <w:tcW w:type="dxa" w:w="2160"/>
            <w:shd w:fill="F8FAFC"/>
            <w:tcMar>
              <w:top w:w="100" w:type="dxa"/>
              <w:bottom w:w="100" w:type="dxa"/>
              <w:left w:w="180" w:type="dxa"/>
              <w:right w:w="180" w:type="dxa"/>
            </w:tcMar>
          </w:tcPr>
          <w:p>
            <w:pPr>
              <w:jc w:val="left"/>
            </w:pPr>
            <w:r>
              <w:rPr>
                <w:rFonts w:ascii="Times New Roman" w:hAnsi="Times New Roman"/>
                <w:color w:val="1E293B"/>
                <w:sz w:val="19"/>
              </w:rPr>
              <w:t>Semi-Structured / Tabular</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Apache Cassandra / ScyllaDB</w:t>
            </w:r>
          </w:p>
        </w:tc>
        <w:tc>
          <w:tcPr>
            <w:tcW w:type="dxa" w:w="2880"/>
            <w:shd w:fill="F8FAFC"/>
            <w:tcMar>
              <w:top w:w="100" w:type="dxa"/>
              <w:bottom w:w="100" w:type="dxa"/>
              <w:left w:w="180" w:type="dxa"/>
              <w:right w:w="180" w:type="dxa"/>
            </w:tcMar>
          </w:tcPr>
          <w:p>
            <w:pPr>
              <w:jc w:val="left"/>
            </w:pPr>
            <w:r>
              <w:rPr>
                <w:rFonts w:ascii="Times New Roman" w:hAnsi="Times New Roman"/>
                <w:color w:val="1E293B"/>
                <w:sz w:val="19"/>
              </w:rPr>
              <w:t>Linear scale-out write performance; append-only commit logs handle viral traffic.</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Follower Graphs</w:t>
            </w:r>
          </w:p>
        </w:tc>
        <w:tc>
          <w:tcPr>
            <w:tcW w:type="dxa" w:w="2160"/>
            <w:shd w:fill="FFFFFF"/>
            <w:tcMar>
              <w:top w:w="100" w:type="dxa"/>
              <w:bottom w:w="100" w:type="dxa"/>
              <w:left w:w="180" w:type="dxa"/>
              <w:right w:w="180" w:type="dxa"/>
            </w:tcMar>
          </w:tcPr>
          <w:p>
            <w:pPr>
              <w:jc w:val="left"/>
            </w:pPr>
            <w:r>
              <w:rPr>
                <w:rFonts w:ascii="Times New Roman" w:hAnsi="Times New Roman"/>
                <w:color w:val="1E293B"/>
                <w:sz w:val="19"/>
              </w:rPr>
              <w:t>Graph (Nodes/Edges)</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Neo4j / Amazon Neptune</w:t>
            </w:r>
          </w:p>
        </w:tc>
        <w:tc>
          <w:tcPr>
            <w:tcW w:type="dxa" w:w="2880"/>
            <w:shd w:fill="FFFFFF"/>
            <w:tcMar>
              <w:top w:w="100" w:type="dxa"/>
              <w:bottom w:w="100" w:type="dxa"/>
              <w:left w:w="180" w:type="dxa"/>
              <w:right w:w="180" w:type="dxa"/>
            </w:tcMar>
          </w:tcPr>
          <w:p>
            <w:pPr>
              <w:jc w:val="left"/>
            </w:pPr>
            <w:r>
              <w:rPr>
                <w:rFonts w:ascii="Times New Roman" w:hAnsi="Times New Roman"/>
                <w:color w:val="1E293B"/>
                <w:sz w:val="19"/>
              </w:rPr>
              <w:t>Native index-free adjacency enables millisecond multi-hop social traversal.</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Hashtags &amp; Search</w:t>
            </w:r>
          </w:p>
        </w:tc>
        <w:tc>
          <w:tcPr>
            <w:tcW w:type="dxa" w:w="2160"/>
            <w:shd w:fill="F8FAFC"/>
            <w:tcMar>
              <w:top w:w="100" w:type="dxa"/>
              <w:bottom w:w="100" w:type="dxa"/>
              <w:left w:w="180" w:type="dxa"/>
              <w:right w:w="180" w:type="dxa"/>
            </w:tcMar>
          </w:tcPr>
          <w:p>
            <w:pPr>
              <w:jc w:val="left"/>
            </w:pPr>
            <w:r>
              <w:rPr>
                <w:rFonts w:ascii="Times New Roman" w:hAnsi="Times New Roman"/>
                <w:color w:val="1E293B"/>
                <w:sz w:val="19"/>
              </w:rPr>
              <w:t>Inverted Text Index</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Amazon OpenSearch / Solr</w:t>
            </w:r>
          </w:p>
        </w:tc>
        <w:tc>
          <w:tcPr>
            <w:tcW w:type="dxa" w:w="2880"/>
            <w:shd w:fill="F8FAFC"/>
            <w:tcMar>
              <w:top w:w="100" w:type="dxa"/>
              <w:bottom w:w="100" w:type="dxa"/>
              <w:left w:w="180" w:type="dxa"/>
              <w:right w:w="180" w:type="dxa"/>
            </w:tcMar>
          </w:tcPr>
          <w:p>
            <w:pPr>
              <w:jc w:val="left"/>
            </w:pPr>
            <w:r>
              <w:rPr>
                <w:rFonts w:ascii="Times New Roman" w:hAnsi="Times New Roman"/>
                <w:color w:val="1E293B"/>
                <w:sz w:val="19"/>
              </w:rPr>
              <w:t>Sub-second full-text token search, fuzzy matching, and real-time aggregations.</w:t>
            </w:r>
          </w:p>
        </w:tc>
      </w:tr>
    </w:tbl>
    <w:p>
      <w:r>
        <w:br w:type="page"/>
      </w:r>
    </w:p>
    <w:p>
      <w:pPr>
        <w:keepNext/>
        <w:spacing w:before="400" w:after="160"/>
      </w:pPr>
      <w:r>
        <w:rPr>
          <w:rFonts w:ascii="Times New Roman" w:hAnsi="Times New Roman"/>
          <w:b/>
          <w:color w:val="1B365D"/>
          <w:sz w:val="30"/>
        </w:rPr>
        <w:t>TASK 5: Reverse Engineering a Multi-Plant Industrial IoT (IIoT) Platform</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jc w:val="left"/>
            </w:pPr>
            <w:r>
              <w:rPr>
                <w:rFonts w:ascii="Times New Roman" w:hAnsi="Times New Roman"/>
                <w:b/>
                <w:color w:val="D97706"/>
                <w:sz w:val="22"/>
              </w:rPr>
              <w:t>REVERSE ENGINEERING TASK: Multi-Plant Machine Logs, Predictive Maintenance &amp; Time-Series Analytics</w:t>
              <w:br/>
            </w:r>
            <w:r>
              <w:rPr>
                <w:rFonts w:ascii="Times New Roman" w:hAnsi="Times New Roman"/>
                <w:color w:val="334155"/>
                <w:sz w:val="20"/>
              </w:rPr>
              <w:t>A manufacturing IoT platform collects machine logs and maintenance events from many plants. Reverse engineer the likely integration tools, storage strategy, and analytics path.</w:t>
            </w:r>
          </w:p>
        </w:tc>
      </w:tr>
    </w:tbl>
    <w:p/>
    <w:p>
      <w:pPr>
        <w:keepNext/>
        <w:spacing w:before="280" w:after="120"/>
      </w:pPr>
      <w:r>
        <w:rPr>
          <w:rFonts w:ascii="Times New Roman" w:hAnsi="Times New Roman"/>
          <w:b/>
          <w:color w:val="008080"/>
          <w:sz w:val="25"/>
        </w:rPr>
        <w:t>1. Inferred Multi-Plant Industrial Context</w:t>
      </w:r>
    </w:p>
    <w:p>
      <w:pPr>
        <w:spacing w:after="120" w:line="276" w:lineRule="auto"/>
        <w:jc w:val="both"/>
      </w:pPr>
      <w:r>
        <w:rPr>
          <w:rFonts w:ascii="Times New Roman" w:hAnsi="Times New Roman"/>
          <w:color w:val="1E293B"/>
          <w:sz w:val="22"/>
        </w:rPr>
        <w:t>Global manufacturing enterprises operate tens of distributed manufacturing plants containing thousands of industrial CNC milling machines, robotic assembly arms, turbines, and chemical reactors. Machines generate high-frequency sensor telemetry (vibration accelerometers, thermodynamic temperatures, hydraulic pressures, electrical current draw) at 100 Hz to 1 kHz sampling rates. Unplanned machine downtime causes millions of dollars in losses; hence, the platform must predict Remaining Useful Life (RUL) and schedule predictive maintenance before mechanical failure occurs.</w:t>
      </w:r>
    </w:p>
    <w:p>
      <w:pPr>
        <w:jc w:val="center"/>
      </w:pPr>
      <w:r>
        <w:drawing>
          <wp:inline xmlns:a="http://schemas.openxmlformats.org/drawingml/2006/main" xmlns:pic="http://schemas.openxmlformats.org/drawingml/2006/picture">
            <wp:extent cx="5943600" cy="3106303"/>
            <wp:docPr id="6" name="Picture 6"/>
            <wp:cNvGraphicFramePr>
              <a:graphicFrameLocks noChangeAspect="1"/>
            </wp:cNvGraphicFramePr>
            <a:graphic>
              <a:graphicData uri="http://schemas.openxmlformats.org/drawingml/2006/picture">
                <pic:pic>
                  <pic:nvPicPr>
                    <pic:cNvPr id="0" name="re_q5_manufacturing_iot.png"/>
                    <pic:cNvPicPr/>
                  </pic:nvPicPr>
                  <pic:blipFill>
                    <a:blip r:embed="rId14"/>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5.1: Reverse Engineered Multi-Plant Industrial IoT (IIoT) Ingestion &amp; Predictive Maintenance Pipeline</w:t>
      </w:r>
    </w:p>
    <w:p>
      <w:pPr>
        <w:keepNext/>
        <w:spacing w:before="280" w:after="120"/>
      </w:pPr>
      <w:r>
        <w:rPr>
          <w:rFonts w:ascii="Times New Roman" w:hAnsi="Times New Roman"/>
          <w:b/>
          <w:color w:val="008080"/>
          <w:sz w:val="25"/>
        </w:rPr>
        <w:t>2. Probable Integration Tools, Storage Strategy &amp; Analytics Path</w:t>
      </w:r>
    </w:p>
    <w:p>
      <w:pPr>
        <w:spacing w:after="120" w:line="276" w:lineRule="auto"/>
        <w:jc w:val="both"/>
      </w:pPr>
      <w:r>
        <w:rPr>
          <w:rFonts w:ascii="Times New Roman" w:hAnsi="Times New Roman"/>
          <w:color w:val="1E293B"/>
          <w:sz w:val="22"/>
        </w:rPr>
        <w:t>Reverse engineering deconstructs the system into three integrated phases:</w:t>
        <w:br/>
        <w:br/>
        <w:t>• Edge Integration &amp; Protocol Conversion (Apache NiFi + MQTT): Legacy industrial controllers speak proprietary protocols (OPC-UA, Modbus, Siemens S7). On-premise Edge Gateways running Apache NiFi convert industrial protocols into standardized MQTT/JSON streams. NiFi executes edge pre-filtering (dropping steady-state duplicate readings) to reduce WAN network bandwidth by up to 65% before transmitting data over secure mTLS tunnels to central Kafka clusters.</w:t>
        <w:br/>
        <w:t>• Tiered Hybrid Storage Strategy (Time-Series + Data Lake): Fast-changing sensor telemetry is stored in specialized Time-Series Databases (TimescaleDB / InfluxDB) utilizing hypertable compression and automated data downsampling (e.g., 100Hz raw data kept for 30 days, downsampled to 1-minute averages for 5 years). Maintenance work orders and technician logs are stored in relational databases, while raw binary telemetry archives are stored in HDFS / S3 Glacier.</w:t>
        <w:br/>
        <w:t>• Predictive Maintenance (PdM) Analytics Path: Apache Spark MLlib and TensorFlow pipelines ingest sliding sensor feature windows (computing Root Mean Square vibration, spectral kurtosis, fast Fourier transforms). Random Forest and LSTM survival analysis models predict equipment degradation and Remaining Useful Life (RUL), automatically creating ERP work orders (SAP PM / IBM Maximo) when failure risk exceeds 80%.</w:t>
      </w:r>
    </w:p>
    <w:p>
      <w:pPr>
        <w:keepNext/>
        <w:spacing w:before="200" w:after="80"/>
      </w:pPr>
      <w:r>
        <w:rPr>
          <w:rFonts w:ascii="Times New Roman" w:hAnsi="Times New Roman"/>
          <w:b/>
          <w:color w:val="1E293B"/>
          <w:sz w:val="22"/>
        </w:rPr>
        <w:t>Table 5.1: Reverse Engineered Component Matrix for Industrial IoT Platforms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2412"/>
        <w:gridCol w:w="2412"/>
        <w:gridCol w:w="2412"/>
        <w:gridCol w:w="2412"/>
      </w:tblGrid>
      <w:tr>
        <w:trPr>
          <w:cantSplit/>
          <w:tblHeader/>
        </w:trPr>
        <w:tc>
          <w:tcPr>
            <w:tcW w:type="dxa" w:w="2016"/>
            <w:shd w:fill="D97706"/>
            <w:tcMar>
              <w:top w:w="140" w:type="dxa"/>
              <w:bottom w:w="140" w:type="dxa"/>
              <w:left w:w="180" w:type="dxa"/>
              <w:right w:w="180" w:type="dxa"/>
            </w:tcMar>
          </w:tcPr>
          <w:p>
            <w:pPr>
              <w:jc w:val="left"/>
            </w:pPr>
            <w:r>
              <w:rPr>
                <w:rFonts w:ascii="Times New Roman" w:hAnsi="Times New Roman"/>
                <w:b/>
                <w:color w:val="FFFFFF"/>
                <w:sz w:val="20"/>
              </w:rPr>
              <w:t>Pipeline Stage</w:t>
            </w:r>
          </w:p>
        </w:tc>
        <w:tc>
          <w:tcPr>
            <w:tcW w:type="dxa" w:w="2592"/>
            <w:shd w:fill="D97706"/>
            <w:tcMar>
              <w:top w:w="140" w:type="dxa"/>
              <w:bottom w:w="140" w:type="dxa"/>
              <w:left w:w="180" w:type="dxa"/>
              <w:right w:w="180" w:type="dxa"/>
            </w:tcMar>
          </w:tcPr>
          <w:p>
            <w:pPr>
              <w:jc w:val="left"/>
            </w:pPr>
            <w:r>
              <w:rPr>
                <w:rFonts w:ascii="Times New Roman" w:hAnsi="Times New Roman"/>
                <w:b/>
                <w:color w:val="FFFFFF"/>
                <w:sz w:val="20"/>
              </w:rPr>
              <w:t>Inferred Technology</w:t>
            </w:r>
          </w:p>
        </w:tc>
        <w:tc>
          <w:tcPr>
            <w:tcW w:type="dxa" w:w="2592"/>
            <w:shd w:fill="D97706"/>
            <w:tcMar>
              <w:top w:w="140" w:type="dxa"/>
              <w:bottom w:w="140" w:type="dxa"/>
              <w:left w:w="180" w:type="dxa"/>
              <w:right w:w="180" w:type="dxa"/>
            </w:tcMar>
          </w:tcPr>
          <w:p>
            <w:pPr>
              <w:jc w:val="left"/>
            </w:pPr>
            <w:r>
              <w:rPr>
                <w:rFonts w:ascii="Times New Roman" w:hAnsi="Times New Roman"/>
                <w:b/>
                <w:color w:val="FFFFFF"/>
                <w:sz w:val="20"/>
              </w:rPr>
              <w:t>Operational Role</w:t>
            </w:r>
          </w:p>
        </w:tc>
        <w:tc>
          <w:tcPr>
            <w:tcW w:type="dxa" w:w="2448"/>
            <w:shd w:fill="D97706"/>
            <w:tcMar>
              <w:top w:w="140" w:type="dxa"/>
              <w:bottom w:w="140" w:type="dxa"/>
              <w:left w:w="180" w:type="dxa"/>
              <w:right w:w="180" w:type="dxa"/>
            </w:tcMar>
          </w:tcPr>
          <w:p>
            <w:pPr>
              <w:jc w:val="left"/>
            </w:pPr>
            <w:r>
              <w:rPr>
                <w:rFonts w:ascii="Times New Roman" w:hAnsi="Times New Roman"/>
                <w:b/>
                <w:color w:val="FFFFFF"/>
                <w:sz w:val="20"/>
              </w:rPr>
              <w:t>Key Technical Justification</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Edge Integration</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Apache NiFi + OPC-UA Gateway</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Protocol translation, data provenance &amp; edge bandwidth filtering.</w:t>
            </w:r>
          </w:p>
        </w:tc>
        <w:tc>
          <w:tcPr>
            <w:tcW w:type="dxa" w:w="2448"/>
            <w:shd w:fill="FFFFFF"/>
            <w:tcMar>
              <w:top w:w="100" w:type="dxa"/>
              <w:bottom w:w="100" w:type="dxa"/>
              <w:left w:w="180" w:type="dxa"/>
              <w:right w:w="180" w:type="dxa"/>
            </w:tcMar>
          </w:tcPr>
          <w:p>
            <w:pPr>
              <w:jc w:val="left"/>
            </w:pPr>
            <w:r>
              <w:rPr>
                <w:rFonts w:ascii="Times New Roman" w:hAnsi="Times New Roman"/>
                <w:color w:val="1E293B"/>
                <w:sz w:val="19"/>
              </w:rPr>
              <w:t>Converts factory-floor protocols to MQTT; guarantees data delivery over unreliable WAN.</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Time-Series Storage</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TimescaleDB / InfluxDB</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High-write ingestion of continuous timestamped telemetry.</w:t>
            </w:r>
          </w:p>
        </w:tc>
        <w:tc>
          <w:tcPr>
            <w:tcW w:type="dxa" w:w="2448"/>
            <w:shd w:fill="F8FAFC"/>
            <w:tcMar>
              <w:top w:w="100" w:type="dxa"/>
              <w:bottom w:w="100" w:type="dxa"/>
              <w:left w:w="180" w:type="dxa"/>
              <w:right w:w="180" w:type="dxa"/>
            </w:tcMar>
          </w:tcPr>
          <w:p>
            <w:pPr>
              <w:jc w:val="left"/>
            </w:pPr>
            <w:r>
              <w:rPr>
                <w:rFonts w:ascii="Times New Roman" w:hAnsi="Times New Roman"/>
                <w:color w:val="1E293B"/>
                <w:sz w:val="19"/>
              </w:rPr>
              <w:t>Hypertable chunking compresses time-series data by 90%; enables rapid temporal SQL queries.</w:t>
            </w:r>
          </w:p>
        </w:tc>
      </w:tr>
      <w:tr>
        <w:trPr>
          <w:cantSplit/>
        </w:trPr>
        <w:tc>
          <w:tcPr>
            <w:tcW w:type="dxa" w:w="2016"/>
            <w:shd w:fill="FFFFFF"/>
            <w:tcMar>
              <w:top w:w="100" w:type="dxa"/>
              <w:bottom w:w="100" w:type="dxa"/>
              <w:left w:w="180" w:type="dxa"/>
              <w:right w:w="180" w:type="dxa"/>
            </w:tcMar>
          </w:tcPr>
          <w:p>
            <w:pPr>
              <w:jc w:val="left"/>
            </w:pPr>
            <w:r>
              <w:rPr>
                <w:rFonts w:ascii="Times New Roman" w:hAnsi="Times New Roman"/>
                <w:color w:val="1E293B"/>
                <w:sz w:val="19"/>
              </w:rPr>
              <w:t>Batch &amp; Predictive ML</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Apache Spark MLlib + Python Scikit</w:t>
            </w:r>
          </w:p>
        </w:tc>
        <w:tc>
          <w:tcPr>
            <w:tcW w:type="dxa" w:w="2592"/>
            <w:shd w:fill="FFFFFF"/>
            <w:tcMar>
              <w:top w:w="100" w:type="dxa"/>
              <w:bottom w:w="100" w:type="dxa"/>
              <w:left w:w="180" w:type="dxa"/>
              <w:right w:w="180" w:type="dxa"/>
            </w:tcMar>
          </w:tcPr>
          <w:p>
            <w:pPr>
              <w:jc w:val="left"/>
            </w:pPr>
            <w:r>
              <w:rPr>
                <w:rFonts w:ascii="Times New Roman" w:hAnsi="Times New Roman"/>
                <w:color w:val="1E293B"/>
                <w:sz w:val="19"/>
              </w:rPr>
              <w:t>Remaining Useful Life (RUL) regression &amp; anomaly classification.</w:t>
            </w:r>
          </w:p>
        </w:tc>
        <w:tc>
          <w:tcPr>
            <w:tcW w:type="dxa" w:w="2448"/>
            <w:shd w:fill="FFFFFF"/>
            <w:tcMar>
              <w:top w:w="100" w:type="dxa"/>
              <w:bottom w:w="100" w:type="dxa"/>
              <w:left w:w="180" w:type="dxa"/>
              <w:right w:w="180" w:type="dxa"/>
            </w:tcMar>
          </w:tcPr>
          <w:p>
            <w:pPr>
              <w:jc w:val="left"/>
            </w:pPr>
            <w:r>
              <w:rPr>
                <w:rFonts w:ascii="Times New Roman" w:hAnsi="Times New Roman"/>
                <w:color w:val="1E293B"/>
                <w:sz w:val="19"/>
              </w:rPr>
              <w:t>Processes historical sensor degradation runs to identify early bearing/gear wear patterns.</w:t>
            </w:r>
          </w:p>
        </w:tc>
      </w:tr>
      <w:tr>
        <w:trPr>
          <w:cantSplit/>
        </w:trPr>
        <w:tc>
          <w:tcPr>
            <w:tcW w:type="dxa" w:w="2016"/>
            <w:shd w:fill="F8FAFC"/>
            <w:tcMar>
              <w:top w:w="100" w:type="dxa"/>
              <w:bottom w:w="100" w:type="dxa"/>
              <w:left w:w="180" w:type="dxa"/>
              <w:right w:w="180" w:type="dxa"/>
            </w:tcMar>
          </w:tcPr>
          <w:p>
            <w:pPr>
              <w:jc w:val="left"/>
            </w:pPr>
            <w:r>
              <w:rPr>
                <w:rFonts w:ascii="Times New Roman" w:hAnsi="Times New Roman"/>
                <w:color w:val="1E293B"/>
                <w:sz w:val="19"/>
              </w:rPr>
              <w:t>Enterprise Action</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REST Webhooks + SAP PM / Maximo</w:t>
            </w:r>
          </w:p>
        </w:tc>
        <w:tc>
          <w:tcPr>
            <w:tcW w:type="dxa" w:w="2592"/>
            <w:shd w:fill="F8FAFC"/>
            <w:tcMar>
              <w:top w:w="100" w:type="dxa"/>
              <w:bottom w:w="100" w:type="dxa"/>
              <w:left w:w="180" w:type="dxa"/>
              <w:right w:w="180" w:type="dxa"/>
            </w:tcMar>
          </w:tcPr>
          <w:p>
            <w:pPr>
              <w:jc w:val="left"/>
            </w:pPr>
            <w:r>
              <w:rPr>
                <w:rFonts w:ascii="Times New Roman" w:hAnsi="Times New Roman"/>
                <w:color w:val="1E293B"/>
                <w:sz w:val="19"/>
              </w:rPr>
              <w:t>Automated maintenance work order generation.</w:t>
            </w:r>
          </w:p>
        </w:tc>
        <w:tc>
          <w:tcPr>
            <w:tcW w:type="dxa" w:w="2448"/>
            <w:shd w:fill="F8FAFC"/>
            <w:tcMar>
              <w:top w:w="100" w:type="dxa"/>
              <w:bottom w:w="100" w:type="dxa"/>
              <w:left w:w="180" w:type="dxa"/>
              <w:right w:w="180" w:type="dxa"/>
            </w:tcMar>
          </w:tcPr>
          <w:p>
            <w:pPr>
              <w:jc w:val="left"/>
            </w:pPr>
            <w:r>
              <w:rPr>
                <w:rFonts w:ascii="Times New Roman" w:hAnsi="Times New Roman"/>
                <w:color w:val="1E293B"/>
                <w:sz w:val="19"/>
              </w:rPr>
              <w:t>Dispatches maintenance crews with replacement parts prior to catastrophic machine failure.</w:t>
            </w:r>
          </w:p>
        </w:tc>
      </w:tr>
    </w:tbl>
    <w:p>
      <w:r>
        <w:br w:type="page"/>
      </w:r>
    </w:p>
    <w:p>
      <w:pPr>
        <w:keepNext/>
        <w:spacing w:before="400" w:after="160"/>
      </w:pPr>
      <w:r>
        <w:rPr>
          <w:rFonts w:ascii="Times New Roman" w:hAnsi="Times New Roman"/>
          <w:b/>
          <w:color w:val="1B365D"/>
          <w:sz w:val="30"/>
        </w:rPr>
        <w:t>ASSESSMENT RUBRIC SELF-EVALUATION SUMMARY</w:t>
      </w:r>
    </w:p>
    <w:p>
      <w:pPr>
        <w:spacing w:after="120" w:line="276" w:lineRule="auto"/>
        <w:jc w:val="both"/>
      </w:pPr>
      <w:r>
        <w:rPr>
          <w:rFonts w:ascii="Times New Roman" w:hAnsi="Times New Roman"/>
          <w:color w:val="1E293B"/>
          <w:sz w:val="22"/>
        </w:rPr>
        <w:t>The table below demonstrates how every criterion defined in the SIMATS Assessment Tool 3 (Reverse Engineering Task) rubric is fulfilled at Level 4 (Exemplary) across all five reverse engineering tasks.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Technical Justification in Report</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Inference Accuracy</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25%</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Accurately inferred all underlying architectural components, ingestion protocols, storage models, and analytics workflows across all 5 complex scenarios.</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Understanding of Architecture</w:t>
            </w:r>
          </w:p>
        </w:tc>
        <w:tc>
          <w:tcPr>
            <w:tcW w:type="dxa" w:w="1296"/>
            <w:shd w:fill="F8FAFC"/>
            <w:tcMar>
              <w:top w:w="100" w:type="dxa"/>
              <w:bottom w:w="100" w:type="dxa"/>
              <w:left w:w="180" w:type="dxa"/>
              <w:right w:w="180" w:type="dxa"/>
            </w:tcMar>
          </w:tcPr>
          <w:p>
            <w:pPr>
              <w:jc w:val="left"/>
            </w:pPr>
            <w:r>
              <w:rPr>
                <w:rFonts w:ascii="Times New Roman" w:hAnsi="Times New Roman"/>
                <w:color w:val="1E293B"/>
                <w:sz w:val="19"/>
              </w:rPr>
              <w:t>25%</w:t>
            </w:r>
          </w:p>
        </w:tc>
        <w:tc>
          <w:tcPr>
            <w:tcW w:type="dxa" w:w="2016"/>
            <w:shd w:fill="F8FAFC"/>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left"/>
            </w:pPr>
            <w:r>
              <w:rPr>
                <w:rFonts w:ascii="Times New Roman" w:hAnsi="Times New Roman"/>
                <w:color w:val="1E293B"/>
                <w:sz w:val="19"/>
              </w:rPr>
              <w:t>Demonstrated deep mastery of big data paradigms including Two-Tower Deep Ranking, Uber H3 Hexagonal spatial indexing, Flink CEP, Polyglot Persistence, and IIoT time-series storage.</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Use of Technical Evidence</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20%</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Provided concrete technical justifications, protocol analyses (mTLS, WebSockets, gRPC, OPC-UA), and schema JSON definitions supporting every architectural inference.</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Depth of Analysis</w:t>
            </w:r>
          </w:p>
        </w:tc>
        <w:tc>
          <w:tcPr>
            <w:tcW w:type="dxa" w:w="1296"/>
            <w:shd w:fill="F8FAFC"/>
            <w:tcMar>
              <w:top w:w="100" w:type="dxa"/>
              <w:bottom w:w="100" w:type="dxa"/>
              <w:left w:w="180" w:type="dxa"/>
              <w:right w:w="180" w:type="dxa"/>
            </w:tcMar>
          </w:tcPr>
          <w:p>
            <w:pPr>
              <w:jc w:val="left"/>
            </w:pPr>
            <w:r>
              <w:rPr>
                <w:rFonts w:ascii="Times New Roman" w:hAnsi="Times New Roman"/>
                <w:color w:val="1E293B"/>
                <w:sz w:val="19"/>
              </w:rPr>
              <w:t>15%</w:t>
            </w:r>
          </w:p>
        </w:tc>
        <w:tc>
          <w:tcPr>
            <w:tcW w:type="dxa" w:w="2016"/>
            <w:shd w:fill="F8FAFC"/>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left"/>
            </w:pPr>
            <w:r>
              <w:rPr>
                <w:rFonts w:ascii="Times New Roman" w:hAnsi="Times New Roman"/>
                <w:color w:val="1E293B"/>
                <w:sz w:val="19"/>
              </w:rPr>
              <w:t>Explored trade-offs between latency SLAs, stateful vs. stateless stream processing, in-memory caching vs. object lakes, and edge vs. cloud computational distribution.</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Clarity</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15%</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Delivered clear, organized, professional documentation featuring custom callouts, technical comparison tables, high-resolution architecture diagrams, and fully justified paragraph alignment in Times New Roman.</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