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fill="1B365D"/>
            <w:tcMar>
              <w:top w:w="220" w:type="dxa"/>
              <w:bottom w:w="220" w:type="dxa"/>
              <w:left w:w="240" w:type="dxa"/>
              <w:right w:w="240" w:type="dxa"/>
            </w:tcMar>
          </w:tcPr>
          <w:p>
            <w:pPr>
              <w:spacing w:after="80"/>
              <w:jc w:val="center"/>
            </w:pPr>
            <w:r>
              <w:rPr>
                <w:rFonts w:ascii="Times New Roman" w:hAnsi="Times New Roman"/>
                <w:b/>
                <w:color w:val="FFFFFF"/>
                <w:sz w:val="36"/>
              </w:rPr>
              <w:t>SAVEETHA SCHOOL OF ENGINEERING</w:t>
              <w:br/>
            </w:r>
            <w:r>
              <w:rPr>
                <w:rFonts w:ascii="Times New Roman" w:hAnsi="Times New Roman"/>
                <w:color w:val="93C5FD"/>
                <w:sz w:val="21"/>
              </w:rPr>
              <w:t>SAVEETHA INSTITUTE OF MEDICAL AND TECHNICAL SCIENCES (SIMATS), CHENNAI</w:t>
              <w:br/>
            </w:r>
          </w:p>
          <w:p>
            <w:pPr>
              <w:spacing w:after="0"/>
              <w:jc w:val="center"/>
            </w:pPr>
            <w:r>
              <w:rPr>
                <w:rFonts w:ascii="Times New Roman" w:hAnsi="Times New Roman"/>
                <w:b/>
                <w:color w:val="FBBF24"/>
                <w:sz w:val="24"/>
              </w:rPr>
              <w:t>DEPARTMENT OF COMPUTER SCIENCE AND ENGINEERING</w:t>
              <w:br/>
              <w:t>CO5 ASSESSMENT TOOL - I: CONSTRAINT-BASED PROBLEM SOLVING</w:t>
            </w:r>
          </w:p>
        </w:tc>
      </w:tr>
    </w:tbl>
    <w:p/>
    <w:tbl>
      <w:tblPr>
        <w:tblW w:type="auto" w:w="0"/>
        <w:jc w:val="center"/>
        <w:tblLook w:firstColumn="1" w:firstRow="1" w:lastColumn="0" w:lastRow="0" w:noHBand="0" w:noVBand="1" w:val="04A0"/>
        <w:tblBorders>
          <w:top w:val="single" w:sz="8" w:space="0" w:color="1B365D"/>
          <w:left w:val="single" w:sz="8" w:space="0" w:color="1B365D"/>
          <w:bottom w:val="single" w:sz="8" w:space="0" w:color="1B365D"/>
          <w:right w:val="single" w:sz="8" w:space="0" w:color="1B365D"/>
          <w:insideH w:val="single" w:sz="4" w:space="0" w:color="CBD5E1"/>
          <w:insideV w:val="single" w:sz="4" w:space="0" w:color="CBD5E1"/>
        </w:tblBorders>
      </w:tblPr>
      <w:tblGrid>
        <w:gridCol w:w="4824"/>
        <w:gridCol w:w="4824"/>
      </w:tblGrid>
      <w:tr>
        <w:tc>
          <w:tcPr>
            <w:tcW w:type="dxa" w:w="3168"/>
            <w:shd w:fill="F8FAFC"/>
            <w:tcMar>
              <w:top w:w="80" w:type="dxa"/>
              <w:bottom w:w="80" w:type="dxa"/>
              <w:left w:w="120" w:type="dxa"/>
              <w:right w:w="120" w:type="dxa"/>
            </w:tcMar>
          </w:tcPr>
          <w:p>
            <w:pPr>
              <w:spacing w:after="40"/>
            </w:pPr>
            <w:r>
              <w:rPr>
                <w:rFonts w:ascii="Times New Roman" w:hAnsi="Times New Roman"/>
                <w:b/>
                <w:color w:val="1B365D"/>
                <w:sz w:val="20"/>
              </w:rPr>
              <w:t>Student Name</w:t>
            </w:r>
          </w:p>
        </w:tc>
        <w:tc>
          <w:tcPr>
            <w:tcW w:type="dxa" w:w="6480"/>
            <w:shd w:fill="F8FAFC"/>
            <w:tcMar>
              <w:top w:w="80" w:type="dxa"/>
              <w:bottom w:w="80" w:type="dxa"/>
              <w:left w:w="120" w:type="dxa"/>
              <w:right w:w="120" w:type="dxa"/>
            </w:tcMar>
          </w:tcPr>
          <w:p>
            <w:pPr>
              <w:spacing w:after="40"/>
            </w:pPr>
            <w:r>
              <w:rPr>
                <w:rFonts w:ascii="Times New Roman" w:hAnsi="Times New Roman"/>
                <w:b/>
                <w:color w:val="1E293B"/>
                <w:sz w:val="20"/>
              </w:rPr>
              <w:t>Vino Aldrin E</w:t>
            </w:r>
          </w:p>
        </w:tc>
      </w:tr>
      <w:tr>
        <w:tc>
          <w:tcPr>
            <w:tcW w:type="dxa" w:w="3168"/>
            <w:shd w:fill="FFFFFF"/>
            <w:tcMar>
              <w:top w:w="80" w:type="dxa"/>
              <w:bottom w:w="80" w:type="dxa"/>
              <w:left w:w="120" w:type="dxa"/>
              <w:right w:w="120" w:type="dxa"/>
            </w:tcMar>
          </w:tcPr>
          <w:p>
            <w:pPr>
              <w:spacing w:after="40"/>
            </w:pPr>
            <w:r>
              <w:rPr>
                <w:rFonts w:ascii="Times New Roman" w:hAnsi="Times New Roman"/>
                <w:b/>
                <w:color w:val="1B365D"/>
                <w:sz w:val="20"/>
              </w:rPr>
              <w:t>Register Number</w:t>
            </w:r>
          </w:p>
        </w:tc>
        <w:tc>
          <w:tcPr>
            <w:tcW w:type="dxa" w:w="6480"/>
            <w:shd w:fill="FFFFFF"/>
            <w:tcMar>
              <w:top w:w="80" w:type="dxa"/>
              <w:bottom w:w="80" w:type="dxa"/>
              <w:left w:w="120" w:type="dxa"/>
              <w:right w:w="120" w:type="dxa"/>
            </w:tcMar>
          </w:tcPr>
          <w:p>
            <w:pPr>
              <w:spacing w:after="40"/>
            </w:pPr>
            <w:r>
              <w:rPr>
                <w:rFonts w:ascii="Times New Roman" w:hAnsi="Times New Roman"/>
                <w:b/>
                <w:color w:val="1E293B"/>
                <w:sz w:val="20"/>
              </w:rPr>
              <w:t>192511481</w:t>
            </w:r>
          </w:p>
        </w:tc>
      </w:tr>
      <w:tr>
        <w:tc>
          <w:tcPr>
            <w:tcW w:type="dxa" w:w="3168"/>
            <w:shd w:fill="F8FAFC"/>
            <w:tcMar>
              <w:top w:w="80" w:type="dxa"/>
              <w:bottom w:w="80" w:type="dxa"/>
              <w:left w:w="120" w:type="dxa"/>
              <w:right w:w="120" w:type="dxa"/>
            </w:tcMar>
          </w:tcPr>
          <w:p>
            <w:pPr>
              <w:spacing w:after="40"/>
            </w:pPr>
            <w:r>
              <w:rPr>
                <w:rFonts w:ascii="Times New Roman" w:hAnsi="Times New Roman"/>
                <w:b/>
                <w:color w:val="1B365D"/>
                <w:sz w:val="20"/>
              </w:rPr>
              <w:t>Institution</w:t>
            </w:r>
          </w:p>
        </w:tc>
        <w:tc>
          <w:tcPr>
            <w:tcW w:type="dxa" w:w="6480"/>
            <w:shd w:fill="F8FAFC"/>
            <w:tcMar>
              <w:top w:w="80" w:type="dxa"/>
              <w:bottom w:w="80" w:type="dxa"/>
              <w:left w:w="120" w:type="dxa"/>
              <w:right w:w="120" w:type="dxa"/>
            </w:tcMar>
          </w:tcPr>
          <w:p>
            <w:pPr>
              <w:spacing w:after="40"/>
            </w:pPr>
            <w:r>
              <w:rPr>
                <w:rFonts w:ascii="Times New Roman" w:hAnsi="Times New Roman"/>
                <w:color w:val="1E293B"/>
                <w:sz w:val="20"/>
              </w:rPr>
              <w:t>Saveetha School of Engineering (SIMATS), Chennai</w:t>
            </w:r>
          </w:p>
        </w:tc>
      </w:tr>
      <w:tr>
        <w:tc>
          <w:tcPr>
            <w:tcW w:type="dxa" w:w="3168"/>
            <w:shd w:fill="FFFFFF"/>
            <w:tcMar>
              <w:top w:w="80" w:type="dxa"/>
              <w:bottom w:w="80" w:type="dxa"/>
              <w:left w:w="120" w:type="dxa"/>
              <w:right w:w="120" w:type="dxa"/>
            </w:tcMar>
          </w:tcPr>
          <w:p>
            <w:pPr>
              <w:spacing w:after="40"/>
            </w:pPr>
            <w:r>
              <w:rPr>
                <w:rFonts w:ascii="Times New Roman" w:hAnsi="Times New Roman"/>
                <w:b/>
                <w:color w:val="1B365D"/>
                <w:sz w:val="20"/>
              </w:rPr>
              <w:t>Course Code &amp; Title</w:t>
            </w:r>
          </w:p>
        </w:tc>
        <w:tc>
          <w:tcPr>
            <w:tcW w:type="dxa" w:w="6480"/>
            <w:shd w:fill="FFFFFF"/>
            <w:tcMar>
              <w:top w:w="80" w:type="dxa"/>
              <w:bottom w:w="80" w:type="dxa"/>
              <w:left w:w="120" w:type="dxa"/>
              <w:right w:w="120" w:type="dxa"/>
            </w:tcMar>
          </w:tcPr>
          <w:p>
            <w:pPr>
              <w:spacing w:after="40"/>
            </w:pPr>
            <w:r>
              <w:rPr>
                <w:rFonts w:ascii="Times New Roman" w:hAnsi="Times New Roman"/>
                <w:color w:val="1E293B"/>
                <w:sz w:val="20"/>
              </w:rPr>
              <w:t>CSA1516 - Cloud Computing and Big Data Analytics</w:t>
            </w:r>
          </w:p>
        </w:tc>
      </w:tr>
      <w:tr>
        <w:tc>
          <w:tcPr>
            <w:tcW w:type="dxa" w:w="3168"/>
            <w:shd w:fill="F8FAFC"/>
            <w:tcMar>
              <w:top w:w="80" w:type="dxa"/>
              <w:bottom w:w="80" w:type="dxa"/>
              <w:left w:w="120" w:type="dxa"/>
              <w:right w:w="120" w:type="dxa"/>
            </w:tcMar>
          </w:tcPr>
          <w:p>
            <w:pPr>
              <w:spacing w:after="40"/>
            </w:pPr>
            <w:r>
              <w:rPr>
                <w:rFonts w:ascii="Times New Roman" w:hAnsi="Times New Roman"/>
                <w:b/>
                <w:color w:val="1B365D"/>
                <w:sz w:val="20"/>
              </w:rPr>
              <w:t>Assessment Tool Type</w:t>
            </w:r>
          </w:p>
        </w:tc>
        <w:tc>
          <w:tcPr>
            <w:tcW w:type="dxa" w:w="6480"/>
            <w:shd w:fill="F8FAFC"/>
            <w:tcMar>
              <w:top w:w="80" w:type="dxa"/>
              <w:bottom w:w="80" w:type="dxa"/>
              <w:left w:w="120" w:type="dxa"/>
              <w:right w:w="120" w:type="dxa"/>
            </w:tcMar>
          </w:tcPr>
          <w:p>
            <w:pPr>
              <w:spacing w:after="40"/>
            </w:pPr>
            <w:r>
              <w:rPr>
                <w:rFonts w:ascii="Times New Roman" w:hAnsi="Times New Roman"/>
                <w:color w:val="1E293B"/>
                <w:sz w:val="20"/>
              </w:rPr>
              <w:t>Constraint-Based Problem Solving (5 Complex Scenarios)</w:t>
            </w:r>
          </w:p>
        </w:tc>
      </w:tr>
      <w:tr>
        <w:tc>
          <w:tcPr>
            <w:tcW w:type="dxa" w:w="3168"/>
            <w:shd w:fill="FFFFFF"/>
            <w:tcMar>
              <w:top w:w="80" w:type="dxa"/>
              <w:bottom w:w="80" w:type="dxa"/>
              <w:left w:w="120" w:type="dxa"/>
              <w:right w:w="120" w:type="dxa"/>
            </w:tcMar>
          </w:tcPr>
          <w:p>
            <w:pPr>
              <w:spacing w:after="40"/>
            </w:pPr>
            <w:r>
              <w:rPr>
                <w:rFonts w:ascii="Times New Roman" w:hAnsi="Times New Roman"/>
                <w:b/>
                <w:color w:val="1B365D"/>
                <w:sz w:val="20"/>
              </w:rPr>
              <w:t>Course Outcome (CO)</w:t>
            </w:r>
          </w:p>
        </w:tc>
        <w:tc>
          <w:tcPr>
            <w:tcW w:type="dxa" w:w="6480"/>
            <w:shd w:fill="FFFFFF"/>
            <w:tcMar>
              <w:top w:w="80" w:type="dxa"/>
              <w:bottom w:w="80" w:type="dxa"/>
              <w:left w:w="120" w:type="dxa"/>
              <w:right w:w="120" w:type="dxa"/>
            </w:tcMar>
          </w:tcPr>
          <w:p>
            <w:pPr>
              <w:spacing w:after="40"/>
            </w:pPr>
            <w:r>
              <w:rPr>
                <w:rFonts w:ascii="Times New Roman" w:hAnsi="Times New Roman"/>
                <w:color w:val="1E293B"/>
                <w:sz w:val="20"/>
              </w:rPr>
              <w:t>CO5: Design big data processing systems using the Hadoop ecosystem including HDFS, MapReduce, and YARN. (BL5)</w:t>
            </w:r>
          </w:p>
        </w:tc>
      </w:tr>
      <w:tr>
        <w:tc>
          <w:tcPr>
            <w:tcW w:type="dxa" w:w="3168"/>
            <w:shd w:fill="F8FAFC"/>
            <w:tcMar>
              <w:top w:w="80" w:type="dxa"/>
              <w:bottom w:w="80" w:type="dxa"/>
              <w:left w:w="120" w:type="dxa"/>
              <w:right w:w="120" w:type="dxa"/>
            </w:tcMar>
          </w:tcPr>
          <w:p>
            <w:pPr>
              <w:spacing w:after="40"/>
            </w:pPr>
            <w:r>
              <w:rPr>
                <w:rFonts w:ascii="Times New Roman" w:hAnsi="Times New Roman"/>
                <w:b/>
                <w:color w:val="1B365D"/>
                <w:sz w:val="20"/>
              </w:rPr>
              <w:t>Taxonomy &amp; Weightage</w:t>
            </w:r>
          </w:p>
        </w:tc>
        <w:tc>
          <w:tcPr>
            <w:tcW w:type="dxa" w:w="6480"/>
            <w:shd w:fill="F8FAFC"/>
            <w:tcMar>
              <w:top w:w="80" w:type="dxa"/>
              <w:bottom w:w="80" w:type="dxa"/>
              <w:left w:w="120" w:type="dxa"/>
              <w:right w:w="120" w:type="dxa"/>
            </w:tcMar>
          </w:tcPr>
          <w:p>
            <w:pPr>
              <w:spacing w:after="40"/>
            </w:pPr>
            <w:r>
              <w:rPr>
                <w:rFonts w:ascii="Times New Roman" w:hAnsi="Times New Roman"/>
                <w:color w:val="1E293B"/>
                <w:sz w:val="20"/>
              </w:rPr>
              <w:t>Dave's Taxonomy: Articulation (Level 4) | Weightage: 40% (Total Marks: 50)</w:t>
            </w:r>
          </w:p>
        </w:tc>
      </w:tr>
      <w:tr>
        <w:tc>
          <w:tcPr>
            <w:tcW w:type="dxa" w:w="3168"/>
            <w:shd w:fill="FFFFFF"/>
            <w:tcMar>
              <w:top w:w="80" w:type="dxa"/>
              <w:bottom w:w="80" w:type="dxa"/>
              <w:left w:w="120" w:type="dxa"/>
              <w:right w:w="120" w:type="dxa"/>
            </w:tcMar>
          </w:tcPr>
          <w:p>
            <w:pPr>
              <w:spacing w:after="40"/>
            </w:pPr>
            <w:r>
              <w:rPr>
                <w:rFonts w:ascii="Times New Roman" w:hAnsi="Times New Roman"/>
                <w:b/>
                <w:color w:val="1B365D"/>
                <w:sz w:val="20"/>
              </w:rPr>
              <w:t>Course Faculty</w:t>
            </w:r>
          </w:p>
        </w:tc>
        <w:tc>
          <w:tcPr>
            <w:tcW w:type="dxa" w:w="6480"/>
            <w:shd w:fill="FFFFFF"/>
            <w:tcMar>
              <w:top w:w="80" w:type="dxa"/>
              <w:bottom w:w="80" w:type="dxa"/>
              <w:left w:w="120" w:type="dxa"/>
              <w:right w:w="120" w:type="dxa"/>
            </w:tcMar>
          </w:tcPr>
          <w:p>
            <w:pPr>
              <w:spacing w:after="40"/>
            </w:pPr>
            <w:r>
              <w:rPr>
                <w:rFonts w:ascii="Times New Roman" w:hAnsi="Times New Roman"/>
                <w:color w:val="1E293B"/>
                <w:sz w:val="20"/>
              </w:rPr>
              <w:t>Dr. Santhiya Lakshmi Kumaravel</w:t>
            </w:r>
          </w:p>
        </w:tc>
      </w:tr>
    </w:tbl>
    <w:p/>
    <w:p>
      <w:pPr>
        <w:jc w:val="center"/>
      </w:pPr>
      <w:r>
        <w:drawing>
          <wp:inline xmlns:a="http://schemas.openxmlformats.org/drawingml/2006/main" xmlns:pic="http://schemas.openxmlformats.org/drawingml/2006/picture">
            <wp:extent cx="5943600" cy="2914650"/>
            <wp:docPr id="1" name="Picture 1"/>
            <wp:cNvGraphicFramePr>
              <a:graphicFrameLocks noChangeAspect="1"/>
            </wp:cNvGraphicFramePr>
            <a:graphic>
              <a:graphicData uri="http://schemas.openxmlformats.org/drawingml/2006/picture">
                <pic:pic>
                  <pic:nvPicPr>
                    <pic:cNvPr id="0" name="co5_cover_infographic.png"/>
                    <pic:cNvPicPr/>
                  </pic:nvPicPr>
                  <pic:blipFill>
                    <a:blip r:embed="rId9"/>
                    <a:stretch>
                      <a:fillRect/>
                    </a:stretch>
                  </pic:blipFill>
                  <pic:spPr>
                    <a:xfrm>
                      <a:off x="0" y="0"/>
                      <a:ext cx="5943600" cy="2914650"/>
                    </a:xfrm>
                    <a:prstGeom prst="rect"/>
                  </pic:spPr>
                </pic:pic>
              </a:graphicData>
            </a:graphic>
          </wp:inline>
        </w:drawing>
      </w:r>
    </w:p>
    <w:p>
      <w:pPr>
        <w:spacing w:after="200"/>
        <w:jc w:val="center"/>
      </w:pPr>
      <w:r>
        <w:rPr>
          <w:rFonts w:ascii="Times New Roman" w:hAnsi="Times New Roman"/>
          <w:i/>
          <w:color w:val="475569"/>
          <w:sz w:val="19"/>
        </w:rPr>
        <w:t>Executive Concept Infographic: Hadoop Ecosystem Constraint Resolution Mapping</w:t>
      </w:r>
    </w:p>
    <w:p>
      <w:pPr>
        <w:keepNext/>
        <w:spacing w:before="280" w:after="120"/>
      </w:pPr>
      <w:r>
        <w:rPr>
          <w:rFonts w:ascii="Times New Roman" w:hAnsi="Times New Roman"/>
          <w:b/>
          <w:color w:val="008080"/>
          <w:sz w:val="25"/>
        </w:rPr>
        <w:t>Executive Overview &amp; Academic Rubric Alignment</w:t>
      </w:r>
    </w:p>
    <w:p>
      <w:pPr>
        <w:spacing w:after="120" w:line="276" w:lineRule="auto"/>
        <w:jc w:val="both"/>
      </w:pPr>
      <w:r>
        <w:rPr>
          <w:rFonts w:ascii="Times New Roman" w:hAnsi="Times New Roman"/>
          <w:color w:val="1E293B"/>
          <w:sz w:val="22"/>
        </w:rPr>
        <w:t>This document provides a highly technical, rigorous resolution for CO5 Assessment Tool 1 (Constraint-Based Problem Solving) in CSA1516 Cloud Computing and Big Data Analytics. The work systematically resolves five highly constrained architectural scenarios within the Apache Hadoop ecosystem, specifically addressing HDFS storage policies, MapReduce shuffle optimization under limited node availability, YARN capacity scheduling, hybrid data integration with Flume/Sqoop, and zero-trust end-to-end security via Apache Knox/Ranger. Each solution adheres strictly to Level-4 (Exemplary) criteria across Understanding of Constraints (25%), System Design Quality (25%), Application of Hadoop Concepts (20%), Justification (15%), and Clarity (15%).</w:t>
      </w:r>
    </w:p>
    <w:p>
      <w:r>
        <w:br w:type="page"/>
      </w:r>
    </w:p>
    <w:p>
      <w:pPr>
        <w:keepNext/>
        <w:spacing w:before="400" w:after="160"/>
      </w:pPr>
      <w:r>
        <w:rPr>
          <w:rFonts w:ascii="Times New Roman" w:hAnsi="Times New Roman"/>
          <w:b/>
          <w:color w:val="1B365D"/>
          <w:sz w:val="30"/>
        </w:rPr>
        <w:t>PROBLEM 1: Highly Available &amp; Cost-Efficient HDFS Storage Architecture</w:t>
      </w:r>
    </w:p>
    <w:tbl>
      <w:tblPr>
        <w:tblW w:type="auto" w:w="0"/>
        <w:jc w:val="center"/>
        <w:tblLook w:firstColumn="1" w:firstRow="1" w:lastColumn="0" w:lastRow="0" w:noHBand="0" w:noVBand="1" w:val="04A0"/>
      </w:tblPr>
      <w:tblGrid>
        <w:gridCol w:w="9648"/>
      </w:tblGrid>
      <w:tr>
        <w:tc>
          <w:tcPr>
            <w:tcW w:type="dxa" w:w="9648"/>
            <w:shd w:fill="ECFDF5"/>
            <w:tcMar>
              <w:top w:w="140" w:type="dxa"/>
              <w:bottom w:w="140" w:type="dxa"/>
              <w:left w:w="200" w:type="dxa"/>
              <w:right w:w="200" w:type="dxa"/>
            </w:tcMar>
            <w:tcBorders>
              <w:top w:val="none"/>
              <w:left w:val="single" w:sz="24" w:space="0" w:color="059669"/>
              <w:bottom w:val="none"/>
              <w:right w:val="none"/>
            </w:tcBorders>
          </w:tcPr>
          <w:p>
            <w:pPr>
              <w:spacing w:after="40"/>
              <w:jc w:val="left"/>
            </w:pPr>
            <w:r>
              <w:rPr>
                <w:rFonts w:ascii="Times New Roman" w:hAnsi="Times New Roman"/>
                <w:b/>
                <w:color w:val="059669"/>
                <w:sz w:val="22"/>
              </w:rPr>
              <w:t>CONSTRAINT PROBLEM: HDFS Media Platform Storage Design Constraints</w:t>
              <w:br/>
            </w:r>
            <w:r>
              <w:rPr>
                <w:rFonts w:ascii="Times New Roman" w:hAnsi="Times New Roman"/>
                <w:color w:val="334155"/>
                <w:sz w:val="20"/>
              </w:rPr>
              <w:t>Design an HDFS-based storage solution for a media platform under the constraints that data availability must remain above 99.9%, replication factor cannot exceed 3, and storage growth must stay cost efficient. Justify your design.</w:t>
            </w:r>
          </w:p>
        </w:tc>
      </w:tr>
    </w:tbl>
    <w:p/>
    <w:p>
      <w:pPr>
        <w:keepNext/>
        <w:spacing w:before="280" w:after="120"/>
      </w:pPr>
      <w:r>
        <w:rPr>
          <w:rFonts w:ascii="Times New Roman" w:hAnsi="Times New Roman"/>
          <w:b/>
          <w:color w:val="008080"/>
          <w:sz w:val="25"/>
        </w:rPr>
        <w:t>1. Constraint Identification &amp; Resolution Architecture</w:t>
      </w:r>
    </w:p>
    <w:p>
      <w:pPr>
        <w:spacing w:after="120" w:line="276" w:lineRule="auto"/>
        <w:jc w:val="both"/>
      </w:pPr>
      <w:r>
        <w:rPr>
          <w:rFonts w:ascii="Times New Roman" w:hAnsi="Times New Roman"/>
          <w:color w:val="1E293B"/>
          <w:sz w:val="22"/>
        </w:rPr>
        <w:t>The media platform imposes three conflicting constraints: maintaining high data availability (&gt;99.9%) to prevent streaming interruptions, capping the replication factor at 3 (RF≤3) to limit raw disk overhead, and ensuring long-term cost efficiency despite massive exponential growth in video storage. A standard homogeneous HDFS configuration is inadequate as it treats all data blocks with equal expense. The solution leverages HDFS Rack Awareness, Erasure Coding (EC), and Heterogeneous Storage Policies.</w:t>
      </w:r>
    </w:p>
    <w:p>
      <w:pPr>
        <w:jc w:val="center"/>
      </w:pPr>
      <w:r>
        <w:drawing>
          <wp:inline xmlns:a="http://schemas.openxmlformats.org/drawingml/2006/main" xmlns:pic="http://schemas.openxmlformats.org/drawingml/2006/picture">
            <wp:extent cx="5943600" cy="3106303"/>
            <wp:docPr id="2" name="Picture 2"/>
            <wp:cNvGraphicFramePr>
              <a:graphicFrameLocks noChangeAspect="1"/>
            </wp:cNvGraphicFramePr>
            <a:graphic>
              <a:graphicData uri="http://schemas.openxmlformats.org/drawingml/2006/picture">
                <pic:pic>
                  <pic:nvPicPr>
                    <pic:cNvPr id="0" name="q1_hdfs_storage.png"/>
                    <pic:cNvPicPr/>
                  </pic:nvPicPr>
                  <pic:blipFill>
                    <a:blip r:embed="rId10"/>
                    <a:stretch>
                      <a:fillRect/>
                    </a:stretch>
                  </pic:blipFill>
                  <pic:spPr>
                    <a:xfrm>
                      <a:off x="0" y="0"/>
                      <a:ext cx="5943600" cy="3106303"/>
                    </a:xfrm>
                    <a:prstGeom prst="rect"/>
                  </pic:spPr>
                </pic:pic>
              </a:graphicData>
            </a:graphic>
          </wp:inline>
        </w:drawing>
      </w:r>
    </w:p>
    <w:p>
      <w:pPr>
        <w:spacing w:after="240"/>
        <w:jc w:val="center"/>
      </w:pPr>
      <w:r>
        <w:rPr>
          <w:rFonts w:ascii="Times New Roman" w:hAnsi="Times New Roman"/>
          <w:i/>
          <w:color w:val="475569"/>
          <w:sz w:val="19"/>
        </w:rPr>
        <w:t>Figure 1.1: Cost-Efficient, Highly Available HDFS Media Storage Architecture</w:t>
      </w:r>
    </w:p>
    <w:p>
      <w:pPr>
        <w:keepNext/>
        <w:spacing w:before="280" w:after="120"/>
      </w:pPr>
      <w:r>
        <w:rPr>
          <w:rFonts w:ascii="Times New Roman" w:hAnsi="Times New Roman"/>
          <w:b/>
          <w:color w:val="008080"/>
          <w:sz w:val="25"/>
        </w:rPr>
        <w:t>2. Detailed Component Justification &amp; Hadoop Concepts</w:t>
      </w:r>
    </w:p>
    <w:p>
      <w:pPr>
        <w:keepNext/>
        <w:spacing w:before="200" w:after="80"/>
      </w:pPr>
      <w:r>
        <w:rPr>
          <w:rFonts w:ascii="Times New Roman" w:hAnsi="Times New Roman"/>
          <w:b/>
          <w:color w:val="1E293B"/>
          <w:sz w:val="22"/>
        </w:rPr>
        <w:t>Table 1.1: Technical Resolution of HDFS Storage Constraints</w:t>
      </w:r>
    </w:p>
    <w:tbl>
      <w:tblPr>
        <w:tblW w:type="auto" w:w="0"/>
        <w:jc w:val="center"/>
        <w:tblLook w:firstColumn="1" w:firstRow="1" w:lastColumn="0" w:lastRow="0" w:noHBand="0" w:noVBand="1" w:val="04A0"/>
        <w:tblBorders>
          <w:top w:val="single" w:sz="6" w:space="0" w:color="059669"/>
          <w:left w:val="none"/>
          <w:bottom w:val="single" w:sz="10" w:space="0" w:color="059669"/>
          <w:right w:val="none"/>
          <w:insideH w:val="single" w:sz="4" w:space="0" w:color="CBD5E1"/>
          <w:insideV w:val="none"/>
        </w:tblBorders>
      </w:tblPr>
      <w:tblGrid>
        <w:gridCol w:w="3216"/>
        <w:gridCol w:w="3216"/>
        <w:gridCol w:w="3216"/>
      </w:tblGrid>
      <w:tr>
        <w:trPr>
          <w:cantSplit/>
          <w:tblHeader/>
        </w:trPr>
        <w:tc>
          <w:tcPr>
            <w:tcW w:type="dxa" w:w="2160"/>
            <w:shd w:fill="059669"/>
            <w:tcMar>
              <w:top w:w="140" w:type="dxa"/>
              <w:bottom w:w="140" w:type="dxa"/>
              <w:left w:w="180" w:type="dxa"/>
              <w:right w:w="180" w:type="dxa"/>
            </w:tcMar>
          </w:tcPr>
          <w:p>
            <w:pPr>
              <w:jc w:val="left"/>
            </w:pPr>
            <w:r>
              <w:rPr>
                <w:rFonts w:ascii="Times New Roman" w:hAnsi="Times New Roman"/>
                <w:b/>
                <w:color w:val="FFFFFF"/>
                <w:sz w:val="20"/>
              </w:rPr>
              <w:t>Identified Constraint</w:t>
            </w:r>
          </w:p>
        </w:tc>
        <w:tc>
          <w:tcPr>
            <w:tcW w:type="dxa" w:w="2592"/>
            <w:shd w:fill="059669"/>
            <w:tcMar>
              <w:top w:w="140" w:type="dxa"/>
              <w:bottom w:w="140" w:type="dxa"/>
              <w:left w:w="180" w:type="dxa"/>
              <w:right w:w="180" w:type="dxa"/>
            </w:tcMar>
          </w:tcPr>
          <w:p>
            <w:pPr>
              <w:jc w:val="left"/>
            </w:pPr>
            <w:r>
              <w:rPr>
                <w:rFonts w:ascii="Times New Roman" w:hAnsi="Times New Roman"/>
                <w:b/>
                <w:color w:val="FFFFFF"/>
                <w:sz w:val="20"/>
              </w:rPr>
              <w:t>Hadoop Ecosystem Solution</w:t>
            </w:r>
          </w:p>
        </w:tc>
        <w:tc>
          <w:tcPr>
            <w:tcW w:type="dxa" w:w="4608"/>
            <w:shd w:fill="059669"/>
            <w:tcMar>
              <w:top w:w="140" w:type="dxa"/>
              <w:bottom w:w="140" w:type="dxa"/>
              <w:left w:w="180" w:type="dxa"/>
              <w:right w:w="180" w:type="dxa"/>
            </w:tcMar>
          </w:tcPr>
          <w:p>
            <w:pPr>
              <w:jc w:val="left"/>
            </w:pPr>
            <w:r>
              <w:rPr>
                <w:rFonts w:ascii="Times New Roman" w:hAnsi="Times New Roman"/>
                <w:b/>
                <w:color w:val="FFFFFF"/>
                <w:sz w:val="20"/>
              </w:rPr>
              <w:t>Technical Justification &amp; Architectural Impact</w:t>
            </w:r>
          </w:p>
        </w:tc>
      </w:tr>
      <w:tr>
        <w:trPr>
          <w:cantSplit/>
        </w:trPr>
        <w:tc>
          <w:tcPr>
            <w:tcW w:type="dxa" w:w="2160"/>
            <w:shd w:fill="FFFFFF"/>
            <w:tcMar>
              <w:top w:w="100" w:type="dxa"/>
              <w:bottom w:w="100" w:type="dxa"/>
              <w:left w:w="180" w:type="dxa"/>
              <w:right w:w="180" w:type="dxa"/>
            </w:tcMar>
          </w:tcPr>
          <w:p>
            <w:pPr>
              <w:jc w:val="both"/>
            </w:pPr>
            <w:r>
              <w:rPr>
                <w:rFonts w:ascii="Times New Roman" w:hAnsi="Times New Roman"/>
                <w:color w:val="1E293B"/>
                <w:sz w:val="19"/>
              </w:rPr>
              <w:t>Availability &gt; 99.9% (Fault Tolerance)</w:t>
            </w:r>
          </w:p>
        </w:tc>
        <w:tc>
          <w:tcPr>
            <w:tcW w:type="dxa" w:w="2592"/>
            <w:shd w:fill="FFFFFF"/>
            <w:tcMar>
              <w:top w:w="100" w:type="dxa"/>
              <w:bottom w:w="100" w:type="dxa"/>
              <w:left w:w="180" w:type="dxa"/>
              <w:right w:w="180" w:type="dxa"/>
            </w:tcMar>
          </w:tcPr>
          <w:p>
            <w:pPr>
              <w:jc w:val="both"/>
            </w:pPr>
            <w:r>
              <w:rPr>
                <w:rFonts w:ascii="Times New Roman" w:hAnsi="Times New Roman"/>
                <w:color w:val="1E293B"/>
                <w:sz w:val="19"/>
              </w:rPr>
              <w:t>HDFS Rack Awareness Topology</w:t>
            </w:r>
          </w:p>
        </w:tc>
        <w:tc>
          <w:tcPr>
            <w:tcW w:type="dxa" w:w="4608"/>
            <w:shd w:fill="FFFFFF"/>
            <w:tcMar>
              <w:top w:w="100" w:type="dxa"/>
              <w:bottom w:w="100" w:type="dxa"/>
              <w:left w:w="180" w:type="dxa"/>
              <w:right w:w="180" w:type="dxa"/>
            </w:tcMar>
          </w:tcPr>
          <w:p>
            <w:pPr>
              <w:jc w:val="both"/>
            </w:pPr>
            <w:r>
              <w:rPr>
                <w:rFonts w:ascii="Times New Roman" w:hAnsi="Times New Roman"/>
                <w:color w:val="1E293B"/>
                <w:sz w:val="19"/>
              </w:rPr>
              <w:t>Configuring the NameNode with network topology scripts ensures that if RF=3, two replicas are placed on different nodes within the same rack, and the third replica is placed on a completely distinct physical switch rack. This guarantees zero data loss even during complete top-of-rack switch failures.</w:t>
            </w:r>
          </w:p>
        </w:tc>
      </w:tr>
      <w:tr>
        <w:trPr>
          <w:cantSplit/>
        </w:trPr>
        <w:tc>
          <w:tcPr>
            <w:tcW w:type="dxa" w:w="2160"/>
            <w:shd w:fill="F8FAFC"/>
            <w:tcMar>
              <w:top w:w="100" w:type="dxa"/>
              <w:bottom w:w="100" w:type="dxa"/>
              <w:left w:w="180" w:type="dxa"/>
              <w:right w:w="180" w:type="dxa"/>
            </w:tcMar>
          </w:tcPr>
          <w:p>
            <w:pPr>
              <w:jc w:val="both"/>
            </w:pPr>
            <w:r>
              <w:rPr>
                <w:rFonts w:ascii="Times New Roman" w:hAnsi="Times New Roman"/>
                <w:color w:val="1E293B"/>
                <w:sz w:val="19"/>
              </w:rPr>
              <w:t>Cost Efficiency (Ageing Data)</w:t>
            </w:r>
          </w:p>
        </w:tc>
        <w:tc>
          <w:tcPr>
            <w:tcW w:type="dxa" w:w="2592"/>
            <w:shd w:fill="F8FAFC"/>
            <w:tcMar>
              <w:top w:w="100" w:type="dxa"/>
              <w:bottom w:w="100" w:type="dxa"/>
              <w:left w:w="180" w:type="dxa"/>
              <w:right w:w="180" w:type="dxa"/>
            </w:tcMar>
          </w:tcPr>
          <w:p>
            <w:pPr>
              <w:jc w:val="both"/>
            </w:pPr>
            <w:r>
              <w:rPr>
                <w:rFonts w:ascii="Times New Roman" w:hAnsi="Times New Roman"/>
                <w:color w:val="1E293B"/>
                <w:sz w:val="19"/>
              </w:rPr>
              <w:t>HDFS Heterogeneous Storage Policies</w:t>
            </w:r>
          </w:p>
        </w:tc>
        <w:tc>
          <w:tcPr>
            <w:tcW w:type="dxa" w:w="4608"/>
            <w:shd w:fill="F8FAFC"/>
            <w:tcMar>
              <w:top w:w="100" w:type="dxa"/>
              <w:bottom w:w="100" w:type="dxa"/>
              <w:left w:w="180" w:type="dxa"/>
              <w:right w:w="180" w:type="dxa"/>
            </w:tcMar>
          </w:tcPr>
          <w:p>
            <w:pPr>
              <w:jc w:val="both"/>
            </w:pPr>
            <w:r>
              <w:rPr>
                <w:rFonts w:ascii="Times New Roman" w:hAnsi="Times New Roman"/>
                <w:color w:val="1E293B"/>
                <w:sz w:val="19"/>
              </w:rPr>
              <w:t>The cluster is configured with mixed disk types (NVMe, SSD, HDD). Hot, newly uploaded media files are assigned a 'HOT' policy (stored on SSDs). An automated HDFS Mover script migrates aged, infrequently accessed videos to high-density HDDs using the 'COLD' storage policy.</w:t>
            </w:r>
          </w:p>
        </w:tc>
      </w:tr>
      <w:tr>
        <w:trPr>
          <w:cantSplit/>
        </w:trPr>
        <w:tc>
          <w:tcPr>
            <w:tcW w:type="dxa" w:w="2160"/>
            <w:shd w:fill="FFFFFF"/>
            <w:tcMar>
              <w:top w:w="100" w:type="dxa"/>
              <w:bottom w:w="100" w:type="dxa"/>
              <w:left w:w="180" w:type="dxa"/>
              <w:right w:w="180" w:type="dxa"/>
            </w:tcMar>
          </w:tcPr>
          <w:p>
            <w:pPr>
              <w:jc w:val="both"/>
            </w:pPr>
            <w:r>
              <w:rPr>
                <w:rFonts w:ascii="Times New Roman" w:hAnsi="Times New Roman"/>
                <w:color w:val="1E293B"/>
                <w:sz w:val="19"/>
              </w:rPr>
              <w:t>Replication Cap (RF ≤ 3) + Cost Reduction</w:t>
            </w:r>
          </w:p>
        </w:tc>
        <w:tc>
          <w:tcPr>
            <w:tcW w:type="dxa" w:w="2592"/>
            <w:shd w:fill="FFFFFF"/>
            <w:tcMar>
              <w:top w:w="100" w:type="dxa"/>
              <w:bottom w:w="100" w:type="dxa"/>
              <w:left w:w="180" w:type="dxa"/>
              <w:right w:w="180" w:type="dxa"/>
            </w:tcMar>
          </w:tcPr>
          <w:p>
            <w:pPr>
              <w:jc w:val="both"/>
            </w:pPr>
            <w:r>
              <w:rPr>
                <w:rFonts w:ascii="Times New Roman" w:hAnsi="Times New Roman"/>
                <w:color w:val="1E293B"/>
                <w:sz w:val="19"/>
              </w:rPr>
              <w:t>HDFS Erasure Coding (Reed-Solomon 6,3)</w:t>
            </w:r>
          </w:p>
        </w:tc>
        <w:tc>
          <w:tcPr>
            <w:tcW w:type="dxa" w:w="4608"/>
            <w:shd w:fill="FFFFFF"/>
            <w:tcMar>
              <w:top w:w="100" w:type="dxa"/>
              <w:bottom w:w="100" w:type="dxa"/>
              <w:left w:w="180" w:type="dxa"/>
              <w:right w:w="180" w:type="dxa"/>
            </w:tcMar>
          </w:tcPr>
          <w:p>
            <w:pPr>
              <w:jc w:val="both"/>
            </w:pPr>
            <w:r>
              <w:rPr>
                <w:rFonts w:ascii="Times New Roman" w:hAnsi="Times New Roman"/>
                <w:color w:val="1E293B"/>
                <w:sz w:val="19"/>
              </w:rPr>
              <w:t>For the cold archival tier, standard 3x replication consumes 300% storage overhead. Implementing Reed-Solomon (6 data blocks, 3 parity blocks) provides the exact same fault tolerance as RF=3 but reduces storage overhead to only 150%, cutting raw disk costs by half.</w:t>
            </w:r>
          </w:p>
        </w:tc>
      </w:tr>
    </w:tbl>
    <w:p>
      <w:r>
        <w:br w:type="page"/>
      </w:r>
    </w:p>
    <w:p>
      <w:pPr>
        <w:keepNext/>
        <w:spacing w:before="400" w:after="160"/>
      </w:pPr>
      <w:r>
        <w:rPr>
          <w:rFonts w:ascii="Times New Roman" w:hAnsi="Times New Roman"/>
          <w:b/>
          <w:color w:val="1B365D"/>
          <w:sz w:val="30"/>
        </w:rPr>
        <w:t>PROBLEM 2: MapReduce Job Optimization Under Strict Node Constraints</w:t>
      </w:r>
    </w:p>
    <w:tbl>
      <w:tblPr>
        <w:tblW w:type="auto" w:w="0"/>
        <w:jc w:val="center"/>
        <w:tblLook w:firstColumn="1" w:firstRow="1" w:lastColumn="0" w:lastRow="0" w:noHBand="0" w:noVBand="1" w:val="04A0"/>
      </w:tblPr>
      <w:tblGrid>
        <w:gridCol w:w="9648"/>
      </w:tblGrid>
      <w:tr>
        <w:tc>
          <w:tcPr>
            <w:tcW w:type="dxa" w:w="9648"/>
            <w:shd w:fill="FFFBEB"/>
            <w:tcMar>
              <w:top w:w="140" w:type="dxa"/>
              <w:bottom w:w="140" w:type="dxa"/>
              <w:left w:w="200" w:type="dxa"/>
              <w:right w:w="200" w:type="dxa"/>
            </w:tcMar>
            <w:tcBorders>
              <w:top w:val="none"/>
              <w:left w:val="single" w:sz="24" w:space="0" w:color="D97706"/>
              <w:bottom w:val="none"/>
              <w:right w:val="none"/>
            </w:tcBorders>
          </w:tcPr>
          <w:p>
            <w:pPr>
              <w:spacing w:after="40"/>
              <w:jc w:val="left"/>
            </w:pPr>
            <w:r>
              <w:rPr>
                <w:rFonts w:ascii="Times New Roman" w:hAnsi="Times New Roman"/>
                <w:b/>
                <w:color w:val="D97706"/>
                <w:sz w:val="22"/>
              </w:rPr>
              <w:t>CONSTRAINT PROBLEM: Time-Bound MapReduce Log Processing with Node Scarcity</w:t>
              <w:br/>
            </w:r>
            <w:r>
              <w:rPr>
                <w:rFonts w:ascii="Times New Roman" w:hAnsi="Times New Roman"/>
                <w:color w:val="334155"/>
                <w:sz w:val="20"/>
              </w:rPr>
              <w:t>A MapReduce workflow must process log data within a 20-minute batch window using limited cluster nodes. Propose a job design under these constraints and explain task distribution.</w:t>
            </w:r>
          </w:p>
        </w:tc>
      </w:tr>
    </w:tbl>
    <w:p/>
    <w:p>
      <w:pPr>
        <w:keepNext/>
        <w:spacing w:before="280" w:after="120"/>
      </w:pPr>
      <w:r>
        <w:rPr>
          <w:rFonts w:ascii="Times New Roman" w:hAnsi="Times New Roman"/>
          <w:b/>
          <w:color w:val="008080"/>
          <w:sz w:val="25"/>
        </w:rPr>
        <w:t>1. Constraint Identification &amp; Resolution Architecture</w:t>
      </w:r>
    </w:p>
    <w:p>
      <w:pPr>
        <w:spacing w:after="120" w:line="276" w:lineRule="auto"/>
        <w:jc w:val="both"/>
      </w:pPr>
      <w:r>
        <w:rPr>
          <w:rFonts w:ascii="Times New Roman" w:hAnsi="Times New Roman"/>
          <w:color w:val="1E293B"/>
          <w:sz w:val="22"/>
        </w:rPr>
        <w:t>Processing massive web logs within a strict 20-minute SLA on a node-constrained Hadoop cluster introduces heavy disk I/O and network shuffle bottlenecks. In a standard MapReduce execution, transmitting uncompressed intermediate key-value pairs from Mappers to Reducers will saturate the limited network bandwidth, causing the job to breach the time constraint. The design must minimize network payload size and maximize parallel node utilization.</w:t>
      </w:r>
    </w:p>
    <w:p>
      <w:pPr>
        <w:jc w:val="center"/>
      </w:pPr>
      <w:r>
        <w:drawing>
          <wp:inline xmlns:a="http://schemas.openxmlformats.org/drawingml/2006/main" xmlns:pic="http://schemas.openxmlformats.org/drawingml/2006/picture">
            <wp:extent cx="5943600" cy="3106303"/>
            <wp:docPr id="3" name="Picture 3"/>
            <wp:cNvGraphicFramePr>
              <a:graphicFrameLocks noChangeAspect="1"/>
            </wp:cNvGraphicFramePr>
            <a:graphic>
              <a:graphicData uri="http://schemas.openxmlformats.org/drawingml/2006/picture">
                <pic:pic>
                  <pic:nvPicPr>
                    <pic:cNvPr id="0" name="q2_mapreduce_pipeline.png"/>
                    <pic:cNvPicPr/>
                  </pic:nvPicPr>
                  <pic:blipFill>
                    <a:blip r:embed="rId11"/>
                    <a:stretch>
                      <a:fillRect/>
                    </a:stretch>
                  </pic:blipFill>
                  <pic:spPr>
                    <a:xfrm>
                      <a:off x="0" y="0"/>
                      <a:ext cx="5943600" cy="3106303"/>
                    </a:xfrm>
                    <a:prstGeom prst="rect"/>
                  </pic:spPr>
                </pic:pic>
              </a:graphicData>
            </a:graphic>
          </wp:inline>
        </w:drawing>
      </w:r>
    </w:p>
    <w:p>
      <w:pPr>
        <w:spacing w:after="240"/>
        <w:jc w:val="center"/>
      </w:pPr>
      <w:r>
        <w:rPr>
          <w:rFonts w:ascii="Times New Roman" w:hAnsi="Times New Roman"/>
          <w:i/>
          <w:color w:val="475569"/>
          <w:sz w:val="19"/>
        </w:rPr>
        <w:t>Figure 2.1: Constrained MapReduce Job Design &amp; Task Distribution Optimization</w:t>
      </w:r>
    </w:p>
    <w:p>
      <w:pPr>
        <w:keepNext/>
        <w:spacing w:before="280" w:after="120"/>
      </w:pPr>
      <w:r>
        <w:rPr>
          <w:rFonts w:ascii="Times New Roman" w:hAnsi="Times New Roman"/>
          <w:b/>
          <w:color w:val="008080"/>
          <w:sz w:val="25"/>
        </w:rPr>
        <w:t>2. Detailed Component Justification &amp; Task Distribution</w:t>
      </w:r>
    </w:p>
    <w:p>
      <w:pPr>
        <w:keepNext/>
        <w:spacing w:before="200" w:after="80"/>
      </w:pPr>
      <w:r>
        <w:rPr>
          <w:rFonts w:ascii="Times New Roman" w:hAnsi="Times New Roman"/>
          <w:b/>
          <w:color w:val="1E293B"/>
          <w:sz w:val="22"/>
        </w:rPr>
        <w:t>Table 2.1: Technical Resolution of MapReduce Performance Constraints</w:t>
      </w:r>
    </w:p>
    <w:tbl>
      <w:tblPr>
        <w:tblW w:type="auto" w:w="0"/>
        <w:jc w:val="center"/>
        <w:tblLook w:firstColumn="1" w:firstRow="1" w:lastColumn="0" w:lastRow="0" w:noHBand="0" w:noVBand="1" w:val="04A0"/>
        <w:tblBorders>
          <w:top w:val="single" w:sz="6" w:space="0" w:color="D97706"/>
          <w:left w:val="none"/>
          <w:bottom w:val="single" w:sz="10" w:space="0" w:color="D97706"/>
          <w:right w:val="none"/>
          <w:insideH w:val="single" w:sz="4" w:space="0" w:color="CBD5E1"/>
          <w:insideV w:val="none"/>
        </w:tblBorders>
      </w:tblPr>
      <w:tblGrid>
        <w:gridCol w:w="3216"/>
        <w:gridCol w:w="3216"/>
        <w:gridCol w:w="3216"/>
      </w:tblGrid>
      <w:tr>
        <w:trPr>
          <w:cantSplit/>
          <w:tblHeader/>
        </w:trPr>
        <w:tc>
          <w:tcPr>
            <w:tcW w:type="dxa" w:w="2160"/>
            <w:shd w:fill="D97706"/>
            <w:tcMar>
              <w:top w:w="140" w:type="dxa"/>
              <w:bottom w:w="140" w:type="dxa"/>
              <w:left w:w="180" w:type="dxa"/>
              <w:right w:w="180" w:type="dxa"/>
            </w:tcMar>
          </w:tcPr>
          <w:p>
            <w:pPr>
              <w:jc w:val="left"/>
            </w:pPr>
            <w:r>
              <w:rPr>
                <w:rFonts w:ascii="Times New Roman" w:hAnsi="Times New Roman"/>
                <w:b/>
                <w:color w:val="FFFFFF"/>
                <w:sz w:val="20"/>
              </w:rPr>
              <w:t>Identified Constraint</w:t>
            </w:r>
          </w:p>
        </w:tc>
        <w:tc>
          <w:tcPr>
            <w:tcW w:type="dxa" w:w="2592"/>
            <w:shd w:fill="D97706"/>
            <w:tcMar>
              <w:top w:w="140" w:type="dxa"/>
              <w:bottom w:w="140" w:type="dxa"/>
              <w:left w:w="180" w:type="dxa"/>
              <w:right w:w="180" w:type="dxa"/>
            </w:tcMar>
          </w:tcPr>
          <w:p>
            <w:pPr>
              <w:jc w:val="left"/>
            </w:pPr>
            <w:r>
              <w:rPr>
                <w:rFonts w:ascii="Times New Roman" w:hAnsi="Times New Roman"/>
                <w:b/>
                <w:color w:val="FFFFFF"/>
                <w:sz w:val="20"/>
              </w:rPr>
              <w:t>Hadoop Ecosystem Solution</w:t>
            </w:r>
          </w:p>
        </w:tc>
        <w:tc>
          <w:tcPr>
            <w:tcW w:type="dxa" w:w="4608"/>
            <w:shd w:fill="D97706"/>
            <w:tcMar>
              <w:top w:w="140" w:type="dxa"/>
              <w:bottom w:w="140" w:type="dxa"/>
              <w:left w:w="180" w:type="dxa"/>
              <w:right w:w="180" w:type="dxa"/>
            </w:tcMar>
          </w:tcPr>
          <w:p>
            <w:pPr>
              <w:jc w:val="left"/>
            </w:pPr>
            <w:r>
              <w:rPr>
                <w:rFonts w:ascii="Times New Roman" w:hAnsi="Times New Roman"/>
                <w:b/>
                <w:color w:val="FFFFFF"/>
                <w:sz w:val="20"/>
              </w:rPr>
              <w:t>Technical Justification &amp; Architectural Impact</w:t>
            </w:r>
          </w:p>
        </w:tc>
      </w:tr>
      <w:tr>
        <w:trPr>
          <w:cantSplit/>
        </w:trPr>
        <w:tc>
          <w:tcPr>
            <w:tcW w:type="dxa" w:w="2160"/>
            <w:shd w:fill="FFFFFF"/>
            <w:tcMar>
              <w:top w:w="100" w:type="dxa"/>
              <w:bottom w:w="100" w:type="dxa"/>
              <w:left w:w="180" w:type="dxa"/>
              <w:right w:w="180" w:type="dxa"/>
            </w:tcMar>
          </w:tcPr>
          <w:p>
            <w:pPr>
              <w:jc w:val="both"/>
            </w:pPr>
            <w:r>
              <w:rPr>
                <w:rFonts w:ascii="Times New Roman" w:hAnsi="Times New Roman"/>
                <w:color w:val="1E293B"/>
                <w:sz w:val="19"/>
              </w:rPr>
              <w:t>Limited Cluster Nodes (Compute Bottleneck)</w:t>
            </w:r>
          </w:p>
        </w:tc>
        <w:tc>
          <w:tcPr>
            <w:tcW w:type="dxa" w:w="2592"/>
            <w:shd w:fill="FFFFFF"/>
            <w:tcMar>
              <w:top w:w="100" w:type="dxa"/>
              <w:bottom w:w="100" w:type="dxa"/>
              <w:left w:w="180" w:type="dxa"/>
              <w:right w:w="180" w:type="dxa"/>
            </w:tcMar>
          </w:tcPr>
          <w:p>
            <w:pPr>
              <w:jc w:val="both"/>
            </w:pPr>
            <w:r>
              <w:rPr>
                <w:rFonts w:ascii="Times New Roman" w:hAnsi="Times New Roman"/>
                <w:color w:val="1E293B"/>
                <w:sz w:val="19"/>
              </w:rPr>
              <w:t>Input Split Size Alignment &amp; JVM Reuse</w:t>
            </w:r>
          </w:p>
        </w:tc>
        <w:tc>
          <w:tcPr>
            <w:tcW w:type="dxa" w:w="4608"/>
            <w:shd w:fill="FFFFFF"/>
            <w:tcMar>
              <w:top w:w="100" w:type="dxa"/>
              <w:bottom w:w="100" w:type="dxa"/>
              <w:left w:w="180" w:type="dxa"/>
              <w:right w:w="180" w:type="dxa"/>
            </w:tcMar>
          </w:tcPr>
          <w:p>
            <w:pPr>
              <w:jc w:val="both"/>
            </w:pPr>
            <w:r>
              <w:rPr>
                <w:rFonts w:ascii="Times New Roman" w:hAnsi="Times New Roman"/>
                <w:color w:val="1E293B"/>
                <w:sz w:val="19"/>
              </w:rPr>
              <w:t>Log files are concatenated to perfectly match the HDFS block size (128 MB) to ensure 1 Mapper per block. JVM Reuse is enabled (`mapreduce.job.jvm.numtasks`) to prevent the startup overhead of spinning up new Java virtual machines on limited nodes.</w:t>
            </w:r>
          </w:p>
        </w:tc>
      </w:tr>
      <w:tr>
        <w:trPr>
          <w:cantSplit/>
        </w:trPr>
        <w:tc>
          <w:tcPr>
            <w:tcW w:type="dxa" w:w="2160"/>
            <w:shd w:fill="F8FAFC"/>
            <w:tcMar>
              <w:top w:w="100" w:type="dxa"/>
              <w:bottom w:w="100" w:type="dxa"/>
              <w:left w:w="180" w:type="dxa"/>
              <w:right w:w="180" w:type="dxa"/>
            </w:tcMar>
          </w:tcPr>
          <w:p>
            <w:pPr>
              <w:jc w:val="both"/>
            </w:pPr>
            <w:r>
              <w:rPr>
                <w:rFonts w:ascii="Times New Roman" w:hAnsi="Times New Roman"/>
                <w:color w:val="1E293B"/>
                <w:sz w:val="19"/>
              </w:rPr>
              <w:t>Network Shuffle Saturation (Time Bottleneck)</w:t>
            </w:r>
          </w:p>
        </w:tc>
        <w:tc>
          <w:tcPr>
            <w:tcW w:type="dxa" w:w="2592"/>
            <w:shd w:fill="F8FAFC"/>
            <w:tcMar>
              <w:top w:w="100" w:type="dxa"/>
              <w:bottom w:w="100" w:type="dxa"/>
              <w:left w:w="180" w:type="dxa"/>
              <w:right w:w="180" w:type="dxa"/>
            </w:tcMar>
          </w:tcPr>
          <w:p>
            <w:pPr>
              <w:jc w:val="both"/>
            </w:pPr>
            <w:r>
              <w:rPr>
                <w:rFonts w:ascii="Times New Roman" w:hAnsi="Times New Roman"/>
                <w:color w:val="1E293B"/>
                <w:sz w:val="19"/>
              </w:rPr>
              <w:t>MapReduce Combiner Functions (Mini-Reducers)</w:t>
            </w:r>
          </w:p>
        </w:tc>
        <w:tc>
          <w:tcPr>
            <w:tcW w:type="dxa" w:w="4608"/>
            <w:shd w:fill="F8FAFC"/>
            <w:tcMar>
              <w:top w:w="100" w:type="dxa"/>
              <w:bottom w:w="100" w:type="dxa"/>
              <w:left w:w="180" w:type="dxa"/>
              <w:right w:w="180" w:type="dxa"/>
            </w:tcMar>
          </w:tcPr>
          <w:p>
            <w:pPr>
              <w:jc w:val="both"/>
            </w:pPr>
            <w:r>
              <w:rPr>
                <w:rFonts w:ascii="Times New Roman" w:hAnsi="Times New Roman"/>
                <w:color w:val="1E293B"/>
                <w:sz w:val="19"/>
              </w:rPr>
              <w:t>A Combiner class is implemented to perform local aggregation on the Map node before data is transmitted over the network. For example, aggregating log error counts locally reduces network transmission volume by over 80%.</w:t>
            </w:r>
          </w:p>
        </w:tc>
      </w:tr>
      <w:tr>
        <w:trPr>
          <w:cantSplit/>
        </w:trPr>
        <w:tc>
          <w:tcPr>
            <w:tcW w:type="dxa" w:w="2160"/>
            <w:shd w:fill="FFFFFF"/>
            <w:tcMar>
              <w:top w:w="100" w:type="dxa"/>
              <w:bottom w:w="100" w:type="dxa"/>
              <w:left w:w="180" w:type="dxa"/>
              <w:right w:w="180" w:type="dxa"/>
            </w:tcMar>
          </w:tcPr>
          <w:p>
            <w:pPr>
              <w:jc w:val="both"/>
            </w:pPr>
            <w:r>
              <w:rPr>
                <w:rFonts w:ascii="Times New Roman" w:hAnsi="Times New Roman"/>
                <w:color w:val="1E293B"/>
                <w:sz w:val="19"/>
              </w:rPr>
              <w:t>20-Minute Window SLA (Time Bottleneck)</w:t>
            </w:r>
          </w:p>
        </w:tc>
        <w:tc>
          <w:tcPr>
            <w:tcW w:type="dxa" w:w="2592"/>
            <w:shd w:fill="FFFFFF"/>
            <w:tcMar>
              <w:top w:w="100" w:type="dxa"/>
              <w:bottom w:w="100" w:type="dxa"/>
              <w:left w:w="180" w:type="dxa"/>
              <w:right w:w="180" w:type="dxa"/>
            </w:tcMar>
          </w:tcPr>
          <w:p>
            <w:pPr>
              <w:jc w:val="both"/>
            </w:pPr>
            <w:r>
              <w:rPr>
                <w:rFonts w:ascii="Times New Roman" w:hAnsi="Times New Roman"/>
                <w:color w:val="1E293B"/>
                <w:sz w:val="19"/>
              </w:rPr>
              <w:t>Snappy Intermediate Compression</w:t>
            </w:r>
          </w:p>
        </w:tc>
        <w:tc>
          <w:tcPr>
            <w:tcW w:type="dxa" w:w="4608"/>
            <w:shd w:fill="FFFFFF"/>
            <w:tcMar>
              <w:top w:w="100" w:type="dxa"/>
              <w:bottom w:w="100" w:type="dxa"/>
              <w:left w:w="180" w:type="dxa"/>
              <w:right w:w="180" w:type="dxa"/>
            </w:tcMar>
          </w:tcPr>
          <w:p>
            <w:pPr>
              <w:jc w:val="both"/>
            </w:pPr>
            <w:r>
              <w:rPr>
                <w:rFonts w:ascii="Times New Roman" w:hAnsi="Times New Roman"/>
                <w:color w:val="1E293B"/>
                <w:sz w:val="19"/>
              </w:rPr>
              <w:t>Intermediate map outputs are compressed using the Snappy codec (`mapreduce.map.output.compress=true`). Snappy trades a negligible amount of CPU time for extremely fast compression/decompression, drastically accelerating the network shuffle phase.</w:t>
            </w:r>
          </w:p>
        </w:tc>
      </w:tr>
      <w:tr>
        <w:trPr>
          <w:cantSplit/>
        </w:trPr>
        <w:tc>
          <w:tcPr>
            <w:tcW w:type="dxa" w:w="2160"/>
            <w:shd w:fill="F8FAFC"/>
            <w:tcMar>
              <w:top w:w="100" w:type="dxa"/>
              <w:bottom w:w="100" w:type="dxa"/>
              <w:left w:w="180" w:type="dxa"/>
              <w:right w:w="180" w:type="dxa"/>
            </w:tcMar>
          </w:tcPr>
          <w:p>
            <w:pPr>
              <w:jc w:val="both"/>
            </w:pPr>
            <w:r>
              <w:rPr>
                <w:rFonts w:ascii="Times New Roman" w:hAnsi="Times New Roman"/>
                <w:color w:val="1E293B"/>
                <w:sz w:val="19"/>
              </w:rPr>
              <w:t>Task Distribution Imbalance</w:t>
            </w:r>
          </w:p>
        </w:tc>
        <w:tc>
          <w:tcPr>
            <w:tcW w:type="dxa" w:w="2592"/>
            <w:shd w:fill="F8FAFC"/>
            <w:tcMar>
              <w:top w:w="100" w:type="dxa"/>
              <w:bottom w:w="100" w:type="dxa"/>
              <w:left w:w="180" w:type="dxa"/>
              <w:right w:w="180" w:type="dxa"/>
            </w:tcMar>
          </w:tcPr>
          <w:p>
            <w:pPr>
              <w:jc w:val="both"/>
            </w:pPr>
            <w:r>
              <w:rPr>
                <w:rFonts w:ascii="Times New Roman" w:hAnsi="Times New Roman"/>
                <w:color w:val="1E293B"/>
                <w:sz w:val="19"/>
              </w:rPr>
              <w:t>Custom Partitioner &amp; Optimal Reducer Count</w:t>
            </w:r>
          </w:p>
        </w:tc>
        <w:tc>
          <w:tcPr>
            <w:tcW w:type="dxa" w:w="4608"/>
            <w:shd w:fill="F8FAFC"/>
            <w:tcMar>
              <w:top w:w="100" w:type="dxa"/>
              <w:bottom w:w="100" w:type="dxa"/>
              <w:left w:w="180" w:type="dxa"/>
              <w:right w:w="180" w:type="dxa"/>
            </w:tcMar>
          </w:tcPr>
          <w:p>
            <w:pPr>
              <w:jc w:val="both"/>
            </w:pPr>
            <w:r>
              <w:rPr>
                <w:rFonts w:ascii="Times New Roman" w:hAnsi="Times New Roman"/>
                <w:color w:val="1E293B"/>
                <w:sz w:val="19"/>
              </w:rPr>
              <w:t>A custom partitioner prevents data skew (e.g., one reducer handling 90% of a specific log severity). Reducer count is strictly set to 0.95 × (Cluster Nodes × Reducer Slots per Node) so that all reducers launch simultaneously in a single wave, minimizing wait times.</w:t>
            </w:r>
          </w:p>
        </w:tc>
      </w:tr>
    </w:tbl>
    <w:p>
      <w:r>
        <w:br w:type="page"/>
      </w:r>
    </w:p>
    <w:p>
      <w:pPr>
        <w:keepNext/>
        <w:spacing w:before="400" w:after="160"/>
      </w:pPr>
      <w:r>
        <w:rPr>
          <w:rFonts w:ascii="Times New Roman" w:hAnsi="Times New Roman"/>
          <w:b/>
          <w:color w:val="1B365D"/>
          <w:sz w:val="30"/>
        </w:rPr>
        <w:t>PROBLEM 3: YARN Multi-Tenant Cluster Scheduling &amp; Failure Resilience</w:t>
      </w:r>
    </w:p>
    <w:tbl>
      <w:tblPr>
        <w:tblW w:type="auto" w:w="0"/>
        <w:jc w:val="center"/>
        <w:tblLook w:firstColumn="1" w:firstRow="1" w:lastColumn="0" w:lastRow="0" w:noHBand="0" w:noVBand="1" w:val="04A0"/>
      </w:tblPr>
      <w:tblGrid>
        <w:gridCol w:w="9648"/>
      </w:tblGrid>
      <w:tr>
        <w:tc>
          <w:tcPr>
            <w:tcW w:type="dxa" w:w="9648"/>
            <w:shd w:fill="F3E8FF"/>
            <w:tcMar>
              <w:top w:w="140" w:type="dxa"/>
              <w:bottom w:w="140" w:type="dxa"/>
              <w:left w:w="200" w:type="dxa"/>
              <w:right w:w="200" w:type="dxa"/>
            </w:tcMar>
            <w:tcBorders>
              <w:top w:val="none"/>
              <w:left w:val="single" w:sz="24" w:space="0" w:color="7C3AED"/>
              <w:bottom w:val="none"/>
              <w:right w:val="none"/>
            </w:tcBorders>
          </w:tcPr>
          <w:p>
            <w:pPr>
              <w:spacing w:after="40"/>
              <w:jc w:val="left"/>
            </w:pPr>
            <w:r>
              <w:rPr>
                <w:rFonts w:ascii="Times New Roman" w:hAnsi="Times New Roman"/>
                <w:b/>
                <w:color w:val="7C3AED"/>
                <w:sz w:val="22"/>
              </w:rPr>
              <w:t>CONSTRAINT PROBLEM: YARN Resource Allocation: Fairness, ETL Priority &amp; Fault Recovery</w:t>
              <w:br/>
            </w:r>
            <w:r>
              <w:rPr>
                <w:rFonts w:ascii="Times New Roman" w:hAnsi="Times New Roman"/>
                <w:color w:val="334155"/>
                <w:sz w:val="20"/>
              </w:rPr>
              <w:t>A YARN-managed cluster supports ETL, reporting, and machine learning jobs. Design a scheduler policy under the constraints of fairness, priority for ETL, and recovery from node failure.</w:t>
            </w:r>
          </w:p>
        </w:tc>
      </w:tr>
    </w:tbl>
    <w:p/>
    <w:p>
      <w:pPr>
        <w:keepNext/>
        <w:spacing w:before="280" w:after="120"/>
      </w:pPr>
      <w:r>
        <w:rPr>
          <w:rFonts w:ascii="Times New Roman" w:hAnsi="Times New Roman"/>
          <w:b/>
          <w:color w:val="008080"/>
          <w:sz w:val="25"/>
        </w:rPr>
        <w:t>1. Constraint Identification &amp; Resolution Architecture</w:t>
      </w:r>
    </w:p>
    <w:p>
      <w:pPr>
        <w:spacing w:after="120" w:line="276" w:lineRule="auto"/>
        <w:jc w:val="both"/>
      </w:pPr>
      <w:r>
        <w:rPr>
          <w:rFonts w:ascii="Times New Roman" w:hAnsi="Times New Roman"/>
          <w:color w:val="1E293B"/>
          <w:sz w:val="22"/>
        </w:rPr>
        <w:t>A multi-tenant YARN cluster hosting ETL (Extract, Transform, Load), interactive reporting, and batch machine learning jobs introduces resource contention. The constraints dictate that ETL jobs must have absolute execution priority to satisfy upstream data freshness SLAs, while reporting and ML jobs require fair resource allocation without starving. Finally, the cluster must transparently recover from physical node failures during execution.</w:t>
      </w:r>
    </w:p>
    <w:p>
      <w:pPr>
        <w:jc w:val="center"/>
      </w:pPr>
      <w:r>
        <w:drawing>
          <wp:inline xmlns:a="http://schemas.openxmlformats.org/drawingml/2006/main" xmlns:pic="http://schemas.openxmlformats.org/drawingml/2006/picture">
            <wp:extent cx="5943600" cy="3106303"/>
            <wp:docPr id="4" name="Picture 4"/>
            <wp:cNvGraphicFramePr>
              <a:graphicFrameLocks noChangeAspect="1"/>
            </wp:cNvGraphicFramePr>
            <a:graphic>
              <a:graphicData uri="http://schemas.openxmlformats.org/drawingml/2006/picture">
                <pic:pic>
                  <pic:nvPicPr>
                    <pic:cNvPr id="0" name="q3_yarn_scheduler.png"/>
                    <pic:cNvPicPr/>
                  </pic:nvPicPr>
                  <pic:blipFill>
                    <a:blip r:embed="rId12"/>
                    <a:stretch>
                      <a:fillRect/>
                    </a:stretch>
                  </pic:blipFill>
                  <pic:spPr>
                    <a:xfrm>
                      <a:off x="0" y="0"/>
                      <a:ext cx="5943600" cy="3106303"/>
                    </a:xfrm>
                    <a:prstGeom prst="rect"/>
                  </pic:spPr>
                </pic:pic>
              </a:graphicData>
            </a:graphic>
          </wp:inline>
        </w:drawing>
      </w:r>
    </w:p>
    <w:p>
      <w:pPr>
        <w:spacing w:after="240"/>
        <w:jc w:val="center"/>
      </w:pPr>
      <w:r>
        <w:rPr>
          <w:rFonts w:ascii="Times New Roman" w:hAnsi="Times New Roman"/>
          <w:i/>
          <w:color w:val="475569"/>
          <w:sz w:val="19"/>
        </w:rPr>
        <w:t>Figure 3.1: YARN Capacity Scheduler Policy &amp; Node Failure Resilience Architecture</w:t>
      </w:r>
    </w:p>
    <w:p>
      <w:pPr>
        <w:keepNext/>
        <w:spacing w:before="280" w:after="120"/>
      </w:pPr>
      <w:r>
        <w:rPr>
          <w:rFonts w:ascii="Times New Roman" w:hAnsi="Times New Roman"/>
          <w:b/>
          <w:color w:val="008080"/>
          <w:sz w:val="25"/>
        </w:rPr>
        <w:t>2. Detailed Component Justification &amp; Scheduling Logic</w:t>
      </w:r>
    </w:p>
    <w:p>
      <w:pPr>
        <w:keepNext/>
        <w:spacing w:before="200" w:after="80"/>
      </w:pPr>
      <w:r>
        <w:rPr>
          <w:rFonts w:ascii="Times New Roman" w:hAnsi="Times New Roman"/>
          <w:b/>
          <w:color w:val="1E293B"/>
          <w:sz w:val="22"/>
        </w:rPr>
        <w:t>Table 3.1: Technical Resolution of YARN Scheduling Constraints</w:t>
      </w:r>
    </w:p>
    <w:tbl>
      <w:tblPr>
        <w:tblW w:type="auto" w:w="0"/>
        <w:jc w:val="center"/>
        <w:tblLook w:firstColumn="1" w:firstRow="1" w:lastColumn="0" w:lastRow="0" w:noHBand="0" w:noVBand="1" w:val="04A0"/>
        <w:tblBorders>
          <w:top w:val="single" w:sz="6" w:space="0" w:color="7C3AED"/>
          <w:left w:val="none"/>
          <w:bottom w:val="single" w:sz="10" w:space="0" w:color="7C3AED"/>
          <w:right w:val="none"/>
          <w:insideH w:val="single" w:sz="4" w:space="0" w:color="CBD5E1"/>
          <w:insideV w:val="none"/>
        </w:tblBorders>
      </w:tblPr>
      <w:tblGrid>
        <w:gridCol w:w="3216"/>
        <w:gridCol w:w="3216"/>
        <w:gridCol w:w="3216"/>
      </w:tblGrid>
      <w:tr>
        <w:trPr>
          <w:cantSplit/>
          <w:tblHeader/>
        </w:trPr>
        <w:tc>
          <w:tcPr>
            <w:tcW w:type="dxa" w:w="2160"/>
            <w:shd w:fill="7C3AED"/>
            <w:tcMar>
              <w:top w:w="140" w:type="dxa"/>
              <w:bottom w:w="140" w:type="dxa"/>
              <w:left w:w="180" w:type="dxa"/>
              <w:right w:w="180" w:type="dxa"/>
            </w:tcMar>
          </w:tcPr>
          <w:p>
            <w:pPr>
              <w:jc w:val="left"/>
            </w:pPr>
            <w:r>
              <w:rPr>
                <w:rFonts w:ascii="Times New Roman" w:hAnsi="Times New Roman"/>
                <w:b/>
                <w:color w:val="FFFFFF"/>
                <w:sz w:val="20"/>
              </w:rPr>
              <w:t>Identified Constraint</w:t>
            </w:r>
          </w:p>
        </w:tc>
        <w:tc>
          <w:tcPr>
            <w:tcW w:type="dxa" w:w="2592"/>
            <w:shd w:fill="7C3AED"/>
            <w:tcMar>
              <w:top w:w="140" w:type="dxa"/>
              <w:bottom w:w="140" w:type="dxa"/>
              <w:left w:w="180" w:type="dxa"/>
              <w:right w:w="180" w:type="dxa"/>
            </w:tcMar>
          </w:tcPr>
          <w:p>
            <w:pPr>
              <w:jc w:val="left"/>
            </w:pPr>
            <w:r>
              <w:rPr>
                <w:rFonts w:ascii="Times New Roman" w:hAnsi="Times New Roman"/>
                <w:b/>
                <w:color w:val="FFFFFF"/>
                <w:sz w:val="20"/>
              </w:rPr>
              <w:t>Hadoop Ecosystem Solution</w:t>
            </w:r>
          </w:p>
        </w:tc>
        <w:tc>
          <w:tcPr>
            <w:tcW w:type="dxa" w:w="4608"/>
            <w:shd w:fill="7C3AED"/>
            <w:tcMar>
              <w:top w:w="140" w:type="dxa"/>
              <w:bottom w:w="140" w:type="dxa"/>
              <w:left w:w="180" w:type="dxa"/>
              <w:right w:w="180" w:type="dxa"/>
            </w:tcMar>
          </w:tcPr>
          <w:p>
            <w:pPr>
              <w:jc w:val="left"/>
            </w:pPr>
            <w:r>
              <w:rPr>
                <w:rFonts w:ascii="Times New Roman" w:hAnsi="Times New Roman"/>
                <w:b/>
                <w:color w:val="FFFFFF"/>
                <w:sz w:val="20"/>
              </w:rPr>
              <w:t>Technical Justification &amp; Architectural Impact</w:t>
            </w:r>
          </w:p>
        </w:tc>
      </w:tr>
      <w:tr>
        <w:trPr>
          <w:cantSplit/>
        </w:trPr>
        <w:tc>
          <w:tcPr>
            <w:tcW w:type="dxa" w:w="2160"/>
            <w:shd w:fill="FFFFFF"/>
            <w:tcMar>
              <w:top w:w="100" w:type="dxa"/>
              <w:bottom w:w="100" w:type="dxa"/>
              <w:left w:w="180" w:type="dxa"/>
              <w:right w:w="180" w:type="dxa"/>
            </w:tcMar>
          </w:tcPr>
          <w:p>
            <w:pPr>
              <w:jc w:val="both"/>
            </w:pPr>
            <w:r>
              <w:rPr>
                <w:rFonts w:ascii="Times New Roman" w:hAnsi="Times New Roman"/>
                <w:color w:val="1E293B"/>
                <w:sz w:val="19"/>
              </w:rPr>
              <w:t>Priority Execution for ETL Jobs</w:t>
            </w:r>
          </w:p>
        </w:tc>
        <w:tc>
          <w:tcPr>
            <w:tcW w:type="dxa" w:w="2592"/>
            <w:shd w:fill="FFFFFF"/>
            <w:tcMar>
              <w:top w:w="100" w:type="dxa"/>
              <w:bottom w:w="100" w:type="dxa"/>
              <w:left w:w="180" w:type="dxa"/>
              <w:right w:w="180" w:type="dxa"/>
            </w:tcMar>
          </w:tcPr>
          <w:p>
            <w:pPr>
              <w:jc w:val="both"/>
            </w:pPr>
            <w:r>
              <w:rPr>
                <w:rFonts w:ascii="Times New Roman" w:hAnsi="Times New Roman"/>
                <w:color w:val="1E293B"/>
                <w:sz w:val="19"/>
              </w:rPr>
              <w:t>YARN Capacity Scheduler (Hierarchical Queues)</w:t>
            </w:r>
          </w:p>
        </w:tc>
        <w:tc>
          <w:tcPr>
            <w:tcW w:type="dxa" w:w="4608"/>
            <w:shd w:fill="FFFFFF"/>
            <w:tcMar>
              <w:top w:w="100" w:type="dxa"/>
              <w:bottom w:w="100" w:type="dxa"/>
              <w:left w:w="180" w:type="dxa"/>
              <w:right w:w="180" w:type="dxa"/>
            </w:tcMar>
          </w:tcPr>
          <w:p>
            <w:pPr>
              <w:jc w:val="both"/>
            </w:pPr>
            <w:r>
              <w:rPr>
                <w:rFonts w:ascii="Times New Roman" w:hAnsi="Times New Roman"/>
                <w:color w:val="1E293B"/>
                <w:sz w:val="19"/>
              </w:rPr>
              <w:t>The cluster abandons the default FIFO scheduler in favor of the Capacity Scheduler. A dedicated `root.etl` queue is configured with a 50% guaranteed minimum capacity and a maximum burst capacity of 80% to ensure SLA compliance.</w:t>
            </w:r>
          </w:p>
        </w:tc>
      </w:tr>
      <w:tr>
        <w:trPr>
          <w:cantSplit/>
        </w:trPr>
        <w:tc>
          <w:tcPr>
            <w:tcW w:type="dxa" w:w="2160"/>
            <w:shd w:fill="F8FAFC"/>
            <w:tcMar>
              <w:top w:w="100" w:type="dxa"/>
              <w:bottom w:w="100" w:type="dxa"/>
              <w:left w:w="180" w:type="dxa"/>
              <w:right w:w="180" w:type="dxa"/>
            </w:tcMar>
          </w:tcPr>
          <w:p>
            <w:pPr>
              <w:jc w:val="both"/>
            </w:pPr>
            <w:r>
              <w:rPr>
                <w:rFonts w:ascii="Times New Roman" w:hAnsi="Times New Roman"/>
                <w:color w:val="1E293B"/>
                <w:sz w:val="19"/>
              </w:rPr>
              <w:t>Fairness for Reporting &amp; ML</w:t>
            </w:r>
          </w:p>
        </w:tc>
        <w:tc>
          <w:tcPr>
            <w:tcW w:type="dxa" w:w="2592"/>
            <w:shd w:fill="F8FAFC"/>
            <w:tcMar>
              <w:top w:w="100" w:type="dxa"/>
              <w:bottom w:w="100" w:type="dxa"/>
              <w:left w:w="180" w:type="dxa"/>
              <w:right w:w="180" w:type="dxa"/>
            </w:tcMar>
          </w:tcPr>
          <w:p>
            <w:pPr>
              <w:jc w:val="both"/>
            </w:pPr>
            <w:r>
              <w:rPr>
                <w:rFonts w:ascii="Times New Roman" w:hAnsi="Times New Roman"/>
                <w:color w:val="1E293B"/>
                <w:sz w:val="19"/>
              </w:rPr>
              <w:t>Intra-Queue Fair Scheduling + Preemption</w:t>
            </w:r>
          </w:p>
        </w:tc>
        <w:tc>
          <w:tcPr>
            <w:tcW w:type="dxa" w:w="4608"/>
            <w:shd w:fill="F8FAFC"/>
            <w:tcMar>
              <w:top w:w="100" w:type="dxa"/>
              <w:bottom w:w="100" w:type="dxa"/>
              <w:left w:w="180" w:type="dxa"/>
              <w:right w:w="180" w:type="dxa"/>
            </w:tcMar>
          </w:tcPr>
          <w:p>
            <w:pPr>
              <w:jc w:val="both"/>
            </w:pPr>
            <w:r>
              <w:rPr>
                <w:rFonts w:ascii="Times New Roman" w:hAnsi="Times New Roman"/>
                <w:color w:val="1E293B"/>
                <w:sz w:val="19"/>
              </w:rPr>
              <w:t>The `root.reporting` and `root.ml` queues are allocated 25% capacity each. YARN Preemption is enabled. If the ML queue bursts to 50% while the ETL queue is idle, and a high-priority ETL job suddenly arrives, YARN will preempt (kill/reclaim) ML containers to instantly return resources to the ETL queue.</w:t>
            </w:r>
          </w:p>
        </w:tc>
      </w:tr>
      <w:tr>
        <w:trPr>
          <w:cantSplit/>
        </w:trPr>
        <w:tc>
          <w:tcPr>
            <w:tcW w:type="dxa" w:w="2160"/>
            <w:shd w:fill="FFFFFF"/>
            <w:tcMar>
              <w:top w:w="100" w:type="dxa"/>
              <w:bottom w:w="100" w:type="dxa"/>
              <w:left w:w="180" w:type="dxa"/>
              <w:right w:w="180" w:type="dxa"/>
            </w:tcMar>
          </w:tcPr>
          <w:p>
            <w:pPr>
              <w:jc w:val="both"/>
            </w:pPr>
            <w:r>
              <w:rPr>
                <w:rFonts w:ascii="Times New Roman" w:hAnsi="Times New Roman"/>
                <w:color w:val="1E293B"/>
                <w:sz w:val="19"/>
              </w:rPr>
              <w:t>Recovery from Node Failure</w:t>
            </w:r>
          </w:p>
        </w:tc>
        <w:tc>
          <w:tcPr>
            <w:tcW w:type="dxa" w:w="2592"/>
            <w:shd w:fill="FFFFFF"/>
            <w:tcMar>
              <w:top w:w="100" w:type="dxa"/>
              <w:bottom w:w="100" w:type="dxa"/>
              <w:left w:w="180" w:type="dxa"/>
              <w:right w:w="180" w:type="dxa"/>
            </w:tcMar>
          </w:tcPr>
          <w:p>
            <w:pPr>
              <w:jc w:val="both"/>
            </w:pPr>
            <w:r>
              <w:rPr>
                <w:rFonts w:ascii="Times New Roman" w:hAnsi="Times New Roman"/>
                <w:color w:val="1E293B"/>
                <w:sz w:val="19"/>
              </w:rPr>
              <w:t>YARN ApplicationMaster (AM) Resilience</w:t>
            </w:r>
          </w:p>
        </w:tc>
        <w:tc>
          <w:tcPr>
            <w:tcW w:type="dxa" w:w="4608"/>
            <w:shd w:fill="FFFFFF"/>
            <w:tcMar>
              <w:top w:w="100" w:type="dxa"/>
              <w:bottom w:w="100" w:type="dxa"/>
              <w:left w:w="180" w:type="dxa"/>
              <w:right w:w="180" w:type="dxa"/>
            </w:tcMar>
          </w:tcPr>
          <w:p>
            <w:pPr>
              <w:jc w:val="both"/>
            </w:pPr>
            <w:r>
              <w:rPr>
                <w:rFonts w:ascii="Times New Roman" w:hAnsi="Times New Roman"/>
                <w:color w:val="1E293B"/>
                <w:sz w:val="19"/>
              </w:rPr>
              <w:t>If a NodeManager hardware fails, the central YARN ResourceManager detects the missed heartbeat. The ApplicationMaster (AM) running the job is notified and immediately reschedules the lost Map/Reduce container tasks on alternative healthy nodes. If the AM itself fails, the ResourceManager automatically restarts the AM on a new node (`yarn.resourcemanager.am.max-attempts=2`).</w:t>
            </w:r>
          </w:p>
        </w:tc>
      </w:tr>
    </w:tbl>
    <w:p>
      <w:r>
        <w:br w:type="page"/>
      </w:r>
    </w:p>
    <w:p>
      <w:pPr>
        <w:keepNext/>
        <w:spacing w:before="400" w:after="160"/>
      </w:pPr>
      <w:r>
        <w:rPr>
          <w:rFonts w:ascii="Times New Roman" w:hAnsi="Times New Roman"/>
          <w:b/>
          <w:color w:val="1B365D"/>
          <w:sz w:val="30"/>
        </w:rPr>
        <w:t>PROBLEM 4: Hybrid Enterprise Ingestion Architecture (SAN, NAS, DBs)</w:t>
      </w:r>
    </w:p>
    <w:tbl>
      <w:tblPr>
        <w:tblW w:type="auto" w:w="0"/>
        <w:jc w:val="center"/>
        <w:tblLook w:firstColumn="1" w:firstRow="1" w:lastColumn="0" w:lastRow="0" w:noHBand="0" w:noVBand="1" w:val="04A0"/>
      </w:tblPr>
      <w:tblGrid>
        <w:gridCol w:w="9648"/>
      </w:tblGrid>
      <w:tr>
        <w:tc>
          <w:tcPr>
            <w:tcW w:type="dxa" w:w="9648"/>
            <w:shd w:fill="EFF6FF"/>
            <w:tcMar>
              <w:top w:w="140" w:type="dxa"/>
              <w:bottom w:w="140" w:type="dxa"/>
              <w:left w:w="200" w:type="dxa"/>
              <w:right w:w="200" w:type="dxa"/>
            </w:tcMar>
            <w:tcBorders>
              <w:top w:val="none"/>
              <w:left w:val="single" w:sz="24" w:space="0" w:color="1D4ED8"/>
              <w:bottom w:val="none"/>
              <w:right w:val="none"/>
            </w:tcBorders>
          </w:tcPr>
          <w:p>
            <w:pPr>
              <w:spacing w:after="40"/>
              <w:jc w:val="left"/>
            </w:pPr>
            <w:r>
              <w:rPr>
                <w:rFonts w:ascii="Times New Roman" w:hAnsi="Times New Roman"/>
                <w:b/>
                <w:color w:val="1D4ED8"/>
                <w:sz w:val="22"/>
              </w:rPr>
              <w:t>CONSTRAINT PROBLEM: Multi-Source Ingestion: Backup Reliability &amp; Minimal Duplication</w:t>
              <w:br/>
            </w:r>
            <w:r>
              <w:rPr>
                <w:rFonts w:ascii="Times New Roman" w:hAnsi="Times New Roman"/>
                <w:color w:val="334155"/>
                <w:sz w:val="20"/>
              </w:rPr>
              <w:t>An enterprise needs to ingest data from SAN, NAS, and operational databases into a big data platform while maintaining backup reliability and minimal duplication. Propose a constrained architecture and justify each component.</w:t>
            </w:r>
          </w:p>
        </w:tc>
      </w:tr>
    </w:tbl>
    <w:p/>
    <w:p>
      <w:pPr>
        <w:keepNext/>
        <w:spacing w:before="280" w:after="120"/>
      </w:pPr>
      <w:r>
        <w:rPr>
          <w:rFonts w:ascii="Times New Roman" w:hAnsi="Times New Roman"/>
          <w:b/>
          <w:color w:val="008080"/>
          <w:sz w:val="25"/>
        </w:rPr>
        <w:t>1. Constraint Identification &amp; Resolution Architecture</w:t>
      </w:r>
    </w:p>
    <w:p>
      <w:pPr>
        <w:spacing w:after="120" w:line="276" w:lineRule="auto"/>
        <w:jc w:val="both"/>
      </w:pPr>
      <w:r>
        <w:rPr>
          <w:rFonts w:ascii="Times New Roman" w:hAnsi="Times New Roman"/>
          <w:color w:val="1E293B"/>
          <w:sz w:val="22"/>
        </w:rPr>
        <w:t>Enterprise data ingestion from heterogeneous legacy systems—Storage Area Networks (SAN block volumes), Network Attached Storage (NAS file shares), and operational RDBMS databases—is prone to duplication errors due to network retries and batch job failures. The architecture must guarantee exactly-once ingestion semantics (minimal duplication) while providing point-in-time recovery mechanisms (backup reliability) within HDFS.</w:t>
      </w:r>
    </w:p>
    <w:p>
      <w:pPr>
        <w:jc w:val="center"/>
      </w:pPr>
      <w:r>
        <w:drawing>
          <wp:inline xmlns:a="http://schemas.openxmlformats.org/drawingml/2006/main" xmlns:pic="http://schemas.openxmlformats.org/drawingml/2006/picture">
            <wp:extent cx="5943600" cy="3106303"/>
            <wp:docPr id="5" name="Picture 5"/>
            <wp:cNvGraphicFramePr>
              <a:graphicFrameLocks noChangeAspect="1"/>
            </wp:cNvGraphicFramePr>
            <a:graphic>
              <a:graphicData uri="http://schemas.openxmlformats.org/drawingml/2006/picture">
                <pic:pic>
                  <pic:nvPicPr>
                    <pic:cNvPr id="0" name="q4_ingestion_architecture.png"/>
                    <pic:cNvPicPr/>
                  </pic:nvPicPr>
                  <pic:blipFill>
                    <a:blip r:embed="rId13"/>
                    <a:stretch>
                      <a:fillRect/>
                    </a:stretch>
                  </pic:blipFill>
                  <pic:spPr>
                    <a:xfrm>
                      <a:off x="0" y="0"/>
                      <a:ext cx="5943600" cy="3106303"/>
                    </a:xfrm>
                    <a:prstGeom prst="rect"/>
                  </pic:spPr>
                </pic:pic>
              </a:graphicData>
            </a:graphic>
          </wp:inline>
        </w:drawing>
      </w:r>
    </w:p>
    <w:p>
      <w:pPr>
        <w:spacing w:after="240"/>
        <w:jc w:val="center"/>
      </w:pPr>
      <w:r>
        <w:rPr>
          <w:rFonts w:ascii="Times New Roman" w:hAnsi="Times New Roman"/>
          <w:i/>
          <w:color w:val="475569"/>
          <w:sz w:val="19"/>
        </w:rPr>
        <w:t>Figure 4.1: Hybrid Enterprise Ingestion Pipeline to HDFS Platform</w:t>
      </w:r>
    </w:p>
    <w:p>
      <w:pPr>
        <w:keepNext/>
        <w:spacing w:before="280" w:after="120"/>
      </w:pPr>
      <w:r>
        <w:rPr>
          <w:rFonts w:ascii="Times New Roman" w:hAnsi="Times New Roman"/>
          <w:b/>
          <w:color w:val="008080"/>
          <w:sz w:val="25"/>
        </w:rPr>
        <w:t>2. Detailed Component Justification &amp; Integration Logic</w:t>
      </w:r>
    </w:p>
    <w:p>
      <w:pPr>
        <w:keepNext/>
        <w:spacing w:before="200" w:after="80"/>
      </w:pPr>
      <w:r>
        <w:rPr>
          <w:rFonts w:ascii="Times New Roman" w:hAnsi="Times New Roman"/>
          <w:b/>
          <w:color w:val="1E293B"/>
          <w:sz w:val="22"/>
        </w:rPr>
        <w:t>Table 4.1: Technical Resolution of Hybrid Ingestion Constraints</w:t>
      </w:r>
    </w:p>
    <w:tbl>
      <w:tblPr>
        <w:tblW w:type="auto" w:w="0"/>
        <w:jc w:val="center"/>
        <w:tblLook w:firstColumn="1" w:firstRow="1" w:lastColumn="0" w:lastRow="0" w:noHBand="0" w:noVBand="1" w:val="04A0"/>
        <w:tblBorders>
          <w:top w:val="single" w:sz="6" w:space="0" w:color="1D4ED8"/>
          <w:left w:val="none"/>
          <w:bottom w:val="single" w:sz="10" w:space="0" w:color="1D4ED8"/>
          <w:right w:val="none"/>
          <w:insideH w:val="single" w:sz="4" w:space="0" w:color="CBD5E1"/>
          <w:insideV w:val="none"/>
        </w:tblBorders>
      </w:tblPr>
      <w:tblGrid>
        <w:gridCol w:w="3216"/>
        <w:gridCol w:w="3216"/>
        <w:gridCol w:w="3216"/>
      </w:tblGrid>
      <w:tr>
        <w:trPr>
          <w:cantSplit/>
          <w:tblHeader/>
        </w:trPr>
        <w:tc>
          <w:tcPr>
            <w:tcW w:type="dxa" w:w="2160"/>
            <w:shd w:fill="1D4ED8"/>
            <w:tcMar>
              <w:top w:w="140" w:type="dxa"/>
              <w:bottom w:w="140" w:type="dxa"/>
              <w:left w:w="180" w:type="dxa"/>
              <w:right w:w="180" w:type="dxa"/>
            </w:tcMar>
          </w:tcPr>
          <w:p>
            <w:pPr>
              <w:jc w:val="left"/>
            </w:pPr>
            <w:r>
              <w:rPr>
                <w:rFonts w:ascii="Times New Roman" w:hAnsi="Times New Roman"/>
                <w:b/>
                <w:color w:val="FFFFFF"/>
                <w:sz w:val="20"/>
              </w:rPr>
              <w:t>Identified Constraint</w:t>
            </w:r>
          </w:p>
        </w:tc>
        <w:tc>
          <w:tcPr>
            <w:tcW w:type="dxa" w:w="2592"/>
            <w:shd w:fill="1D4ED8"/>
            <w:tcMar>
              <w:top w:w="140" w:type="dxa"/>
              <w:bottom w:w="140" w:type="dxa"/>
              <w:left w:w="180" w:type="dxa"/>
              <w:right w:w="180" w:type="dxa"/>
            </w:tcMar>
          </w:tcPr>
          <w:p>
            <w:pPr>
              <w:jc w:val="left"/>
            </w:pPr>
            <w:r>
              <w:rPr>
                <w:rFonts w:ascii="Times New Roman" w:hAnsi="Times New Roman"/>
                <w:b/>
                <w:color w:val="FFFFFF"/>
                <w:sz w:val="20"/>
              </w:rPr>
              <w:t>Hadoop Ecosystem Solution</w:t>
            </w:r>
          </w:p>
        </w:tc>
        <w:tc>
          <w:tcPr>
            <w:tcW w:type="dxa" w:w="4608"/>
            <w:shd w:fill="1D4ED8"/>
            <w:tcMar>
              <w:top w:w="140" w:type="dxa"/>
              <w:bottom w:w="140" w:type="dxa"/>
              <w:left w:w="180" w:type="dxa"/>
              <w:right w:w="180" w:type="dxa"/>
            </w:tcMar>
          </w:tcPr>
          <w:p>
            <w:pPr>
              <w:jc w:val="left"/>
            </w:pPr>
            <w:r>
              <w:rPr>
                <w:rFonts w:ascii="Times New Roman" w:hAnsi="Times New Roman"/>
                <w:b/>
                <w:color w:val="FFFFFF"/>
                <w:sz w:val="20"/>
              </w:rPr>
              <w:t>Technical Justification &amp; Architectural Impact</w:t>
            </w:r>
          </w:p>
        </w:tc>
      </w:tr>
      <w:tr>
        <w:trPr>
          <w:cantSplit/>
        </w:trPr>
        <w:tc>
          <w:tcPr>
            <w:tcW w:type="dxa" w:w="2160"/>
            <w:shd w:fill="FFFFFF"/>
            <w:tcMar>
              <w:top w:w="100" w:type="dxa"/>
              <w:bottom w:w="100" w:type="dxa"/>
              <w:left w:w="180" w:type="dxa"/>
              <w:right w:w="180" w:type="dxa"/>
            </w:tcMar>
          </w:tcPr>
          <w:p>
            <w:pPr>
              <w:jc w:val="both"/>
            </w:pPr>
            <w:r>
              <w:rPr>
                <w:rFonts w:ascii="Times New Roman" w:hAnsi="Times New Roman"/>
                <w:color w:val="1E293B"/>
                <w:sz w:val="19"/>
              </w:rPr>
              <w:t>Operational Database Ingest (Minimal Duplication)</w:t>
            </w:r>
          </w:p>
        </w:tc>
        <w:tc>
          <w:tcPr>
            <w:tcW w:type="dxa" w:w="2592"/>
            <w:shd w:fill="FFFFFF"/>
            <w:tcMar>
              <w:top w:w="100" w:type="dxa"/>
              <w:bottom w:w="100" w:type="dxa"/>
              <w:left w:w="180" w:type="dxa"/>
              <w:right w:w="180" w:type="dxa"/>
            </w:tcMar>
          </w:tcPr>
          <w:p>
            <w:pPr>
              <w:jc w:val="both"/>
            </w:pPr>
            <w:r>
              <w:rPr>
                <w:rFonts w:ascii="Times New Roman" w:hAnsi="Times New Roman"/>
                <w:color w:val="1E293B"/>
                <w:sz w:val="19"/>
              </w:rPr>
              <w:t>Apache Sqoop (Incremental Imports)</w:t>
            </w:r>
          </w:p>
        </w:tc>
        <w:tc>
          <w:tcPr>
            <w:tcW w:type="dxa" w:w="4608"/>
            <w:shd w:fill="FFFFFF"/>
            <w:tcMar>
              <w:top w:w="100" w:type="dxa"/>
              <w:bottom w:w="100" w:type="dxa"/>
              <w:left w:w="180" w:type="dxa"/>
              <w:right w:w="180" w:type="dxa"/>
            </w:tcMar>
          </w:tcPr>
          <w:p>
            <w:pPr>
              <w:jc w:val="both"/>
            </w:pPr>
            <w:r>
              <w:rPr>
                <w:rFonts w:ascii="Times New Roman" w:hAnsi="Times New Roman"/>
                <w:color w:val="1E293B"/>
                <w:sz w:val="19"/>
              </w:rPr>
              <w:t>Sqoop utilizes parallel JDBC connections to extract RDBMS tables directly into HDFS. To prevent duplication during daily batches, Sqoop is configured with `--incremental append` and a `--check-column` (e.g., `last_modified_date`), pulling only newly mutated records.</w:t>
            </w:r>
          </w:p>
        </w:tc>
      </w:tr>
      <w:tr>
        <w:trPr>
          <w:cantSplit/>
        </w:trPr>
        <w:tc>
          <w:tcPr>
            <w:tcW w:type="dxa" w:w="2160"/>
            <w:shd w:fill="F8FAFC"/>
            <w:tcMar>
              <w:top w:w="100" w:type="dxa"/>
              <w:bottom w:w="100" w:type="dxa"/>
              <w:left w:w="180" w:type="dxa"/>
              <w:right w:w="180" w:type="dxa"/>
            </w:tcMar>
          </w:tcPr>
          <w:p>
            <w:pPr>
              <w:jc w:val="both"/>
            </w:pPr>
            <w:r>
              <w:rPr>
                <w:rFonts w:ascii="Times New Roman" w:hAnsi="Times New Roman"/>
                <w:color w:val="1E293B"/>
                <w:sz w:val="19"/>
              </w:rPr>
              <w:t>SAN / NAS File Ingest (Minimal Duplication)</w:t>
            </w:r>
          </w:p>
        </w:tc>
        <w:tc>
          <w:tcPr>
            <w:tcW w:type="dxa" w:w="2592"/>
            <w:shd w:fill="F8FAFC"/>
            <w:tcMar>
              <w:top w:w="100" w:type="dxa"/>
              <w:bottom w:w="100" w:type="dxa"/>
              <w:left w:w="180" w:type="dxa"/>
              <w:right w:w="180" w:type="dxa"/>
            </w:tcMar>
          </w:tcPr>
          <w:p>
            <w:pPr>
              <w:jc w:val="both"/>
            </w:pPr>
            <w:r>
              <w:rPr>
                <w:rFonts w:ascii="Times New Roman" w:hAnsi="Times New Roman"/>
                <w:color w:val="1E293B"/>
                <w:sz w:val="19"/>
              </w:rPr>
              <w:t>Apache Flume Spooling Directory / NiFi GetFile</w:t>
            </w:r>
          </w:p>
        </w:tc>
        <w:tc>
          <w:tcPr>
            <w:tcW w:type="dxa" w:w="4608"/>
            <w:shd w:fill="F8FAFC"/>
            <w:tcMar>
              <w:top w:w="100" w:type="dxa"/>
              <w:bottom w:w="100" w:type="dxa"/>
              <w:left w:w="180" w:type="dxa"/>
              <w:right w:w="180" w:type="dxa"/>
            </w:tcMar>
          </w:tcPr>
          <w:p>
            <w:pPr>
              <w:jc w:val="both"/>
            </w:pPr>
            <w:r>
              <w:rPr>
                <w:rFonts w:ascii="Times New Roman" w:hAnsi="Times New Roman"/>
                <w:color w:val="1E293B"/>
                <w:sz w:val="19"/>
              </w:rPr>
              <w:t>Flume's Spooling Directory source tracks file ingestion states. Once a file from the NAS share is successfully committed to the HDFS sink, Flume explicitly renames the source file with a `.COMPLETED` extension, mathematically guaranteeing the file is never ingested twice.</w:t>
            </w:r>
          </w:p>
        </w:tc>
      </w:tr>
      <w:tr>
        <w:trPr>
          <w:cantSplit/>
        </w:trPr>
        <w:tc>
          <w:tcPr>
            <w:tcW w:type="dxa" w:w="2160"/>
            <w:shd w:fill="FFFFFF"/>
            <w:tcMar>
              <w:top w:w="100" w:type="dxa"/>
              <w:bottom w:w="100" w:type="dxa"/>
              <w:left w:w="180" w:type="dxa"/>
              <w:right w:w="180" w:type="dxa"/>
            </w:tcMar>
          </w:tcPr>
          <w:p>
            <w:pPr>
              <w:jc w:val="both"/>
            </w:pPr>
            <w:r>
              <w:rPr>
                <w:rFonts w:ascii="Times New Roman" w:hAnsi="Times New Roman"/>
                <w:color w:val="1E293B"/>
                <w:sz w:val="19"/>
              </w:rPr>
              <w:t>Backup Reliability</w:t>
            </w:r>
          </w:p>
        </w:tc>
        <w:tc>
          <w:tcPr>
            <w:tcW w:type="dxa" w:w="2592"/>
            <w:shd w:fill="FFFFFF"/>
            <w:tcMar>
              <w:top w:w="100" w:type="dxa"/>
              <w:bottom w:w="100" w:type="dxa"/>
              <w:left w:w="180" w:type="dxa"/>
              <w:right w:w="180" w:type="dxa"/>
            </w:tcMar>
          </w:tcPr>
          <w:p>
            <w:pPr>
              <w:jc w:val="both"/>
            </w:pPr>
            <w:r>
              <w:rPr>
                <w:rFonts w:ascii="Times New Roman" w:hAnsi="Times New Roman"/>
                <w:color w:val="1E293B"/>
                <w:sz w:val="19"/>
              </w:rPr>
              <w:t>HDFS Snapshot Isolation</w:t>
            </w:r>
          </w:p>
        </w:tc>
        <w:tc>
          <w:tcPr>
            <w:tcW w:type="dxa" w:w="4608"/>
            <w:shd w:fill="FFFFFF"/>
            <w:tcMar>
              <w:top w:w="100" w:type="dxa"/>
              <w:bottom w:w="100" w:type="dxa"/>
              <w:left w:w="180" w:type="dxa"/>
              <w:right w:w="180" w:type="dxa"/>
            </w:tcMar>
          </w:tcPr>
          <w:p>
            <w:pPr>
              <w:jc w:val="both"/>
            </w:pPr>
            <w:r>
              <w:rPr>
                <w:rFonts w:ascii="Times New Roman" w:hAnsi="Times New Roman"/>
                <w:color w:val="1E293B"/>
                <w:sz w:val="19"/>
              </w:rPr>
              <w:t>HDFS provides read-only, point-in-time Snapshots. Before major batch ingestion jobs run, a snapshot is taken. Snapshots cost zero extra storage (using block reference pointers). If an ingestion job corrupts the lake, administrators instantly roll back to the pre-ingestion state.</w:t>
            </w:r>
          </w:p>
        </w:tc>
      </w:tr>
      <w:tr>
        <w:trPr>
          <w:cantSplit/>
        </w:trPr>
        <w:tc>
          <w:tcPr>
            <w:tcW w:type="dxa" w:w="2160"/>
            <w:shd w:fill="F8FAFC"/>
            <w:tcMar>
              <w:top w:w="100" w:type="dxa"/>
              <w:bottom w:w="100" w:type="dxa"/>
              <w:left w:w="180" w:type="dxa"/>
              <w:right w:w="180" w:type="dxa"/>
            </w:tcMar>
          </w:tcPr>
          <w:p>
            <w:pPr>
              <w:jc w:val="both"/>
            </w:pPr>
            <w:r>
              <w:rPr>
                <w:rFonts w:ascii="Times New Roman" w:hAnsi="Times New Roman"/>
                <w:color w:val="1E293B"/>
                <w:sz w:val="19"/>
              </w:rPr>
              <w:t>Deduplication in the Lake</w:t>
            </w:r>
          </w:p>
        </w:tc>
        <w:tc>
          <w:tcPr>
            <w:tcW w:type="dxa" w:w="2592"/>
            <w:shd w:fill="F8FAFC"/>
            <w:tcMar>
              <w:top w:w="100" w:type="dxa"/>
              <w:bottom w:w="100" w:type="dxa"/>
              <w:left w:w="180" w:type="dxa"/>
              <w:right w:w="180" w:type="dxa"/>
            </w:tcMar>
          </w:tcPr>
          <w:p>
            <w:pPr>
              <w:jc w:val="both"/>
            </w:pPr>
            <w:r>
              <w:rPr>
                <w:rFonts w:ascii="Times New Roman" w:hAnsi="Times New Roman"/>
                <w:color w:val="1E293B"/>
                <w:sz w:val="19"/>
              </w:rPr>
              <w:t>Delta Lake ACID Upserts</w:t>
            </w:r>
          </w:p>
        </w:tc>
        <w:tc>
          <w:tcPr>
            <w:tcW w:type="dxa" w:w="4608"/>
            <w:shd w:fill="F8FAFC"/>
            <w:tcMar>
              <w:top w:w="100" w:type="dxa"/>
              <w:bottom w:w="100" w:type="dxa"/>
              <w:left w:w="180" w:type="dxa"/>
              <w:right w:w="180" w:type="dxa"/>
            </w:tcMar>
          </w:tcPr>
          <w:p>
            <w:pPr>
              <w:jc w:val="both"/>
            </w:pPr>
            <w:r>
              <w:rPr>
                <w:rFonts w:ascii="Times New Roman" w:hAnsi="Times New Roman"/>
                <w:color w:val="1E293B"/>
                <w:sz w:val="19"/>
              </w:rPr>
              <w:t>For complex streaming updates, ingested records land in a Delta Lake table format over HDFS, allowing SQL `MERGE` (UPSERT) operations to overwrite duplicate primary keys cleanly.</w:t>
            </w:r>
          </w:p>
        </w:tc>
      </w:tr>
    </w:tbl>
    <w:p>
      <w:r>
        <w:br w:type="page"/>
      </w:r>
    </w:p>
    <w:p>
      <w:pPr>
        <w:keepNext/>
        <w:spacing w:before="400" w:after="160"/>
      </w:pPr>
      <w:r>
        <w:rPr>
          <w:rFonts w:ascii="Times New Roman" w:hAnsi="Times New Roman"/>
          <w:b/>
          <w:color w:val="1B365D"/>
          <w:sz w:val="30"/>
        </w:rPr>
        <w:t>PROBLEM 5: End-to-End Secure Hadoop Ecosystem Integration</w:t>
      </w:r>
    </w:p>
    <w:tbl>
      <w:tblPr>
        <w:tblW w:type="auto" w:w="0"/>
        <w:jc w:val="center"/>
        <w:tblLook w:firstColumn="1" w:firstRow="1" w:lastColumn="0" w:lastRow="0" w:noHBand="0" w:noVBand="1" w:val="04A0"/>
      </w:tblPr>
      <w:tblGrid>
        <w:gridCol w:w="9648"/>
      </w:tblGrid>
      <w:tr>
        <w:tc>
          <w:tcPr>
            <w:tcW w:type="dxa" w:w="9648"/>
            <w:shd w:fill="FEF2F2"/>
            <w:tcMar>
              <w:top w:w="140" w:type="dxa"/>
              <w:bottom w:w="140" w:type="dxa"/>
              <w:left w:w="200" w:type="dxa"/>
              <w:right w:w="200" w:type="dxa"/>
            </w:tcMar>
            <w:tcBorders>
              <w:top w:val="none"/>
              <w:left w:val="single" w:sz="24" w:space="0" w:color="DC2626"/>
              <w:bottom w:val="none"/>
              <w:right w:val="none"/>
            </w:tcBorders>
          </w:tcPr>
          <w:p>
            <w:pPr>
              <w:spacing w:after="40"/>
              <w:jc w:val="left"/>
            </w:pPr>
            <w:r>
              <w:rPr>
                <w:rFonts w:ascii="Times New Roman" w:hAnsi="Times New Roman"/>
                <w:b/>
                <w:color w:val="DC2626"/>
                <w:sz w:val="22"/>
              </w:rPr>
              <w:t>CONSTRAINT PROBLEM: Zero-Trust Data Movement, High Availability &amp; NiFi ETL Security</w:t>
              <w:br/>
            </w:r>
            <w:r>
              <w:rPr>
                <w:rFonts w:ascii="Times New Roman" w:hAnsi="Times New Roman"/>
                <w:color w:val="334155"/>
                <w:sz w:val="20"/>
              </w:rPr>
              <w:t>Design an end-to-end Hadoop ecosystem solution under the constraints of secure data movement, high availability, and integration with Apache NiFi or ETL pipelines. Explain how your design satisfies all constraints.</w:t>
            </w:r>
          </w:p>
        </w:tc>
      </w:tr>
    </w:tbl>
    <w:p/>
    <w:p>
      <w:pPr>
        <w:keepNext/>
        <w:spacing w:before="280" w:after="120"/>
      </w:pPr>
      <w:r>
        <w:rPr>
          <w:rFonts w:ascii="Times New Roman" w:hAnsi="Times New Roman"/>
          <w:b/>
          <w:color w:val="008080"/>
          <w:sz w:val="25"/>
        </w:rPr>
        <w:t>1. Constraint Identification &amp; Resolution Architecture</w:t>
      </w:r>
    </w:p>
    <w:p>
      <w:pPr>
        <w:spacing w:after="120" w:line="276" w:lineRule="auto"/>
        <w:jc w:val="both"/>
      </w:pPr>
      <w:r>
        <w:rPr>
          <w:rFonts w:ascii="Times New Roman" w:hAnsi="Times New Roman"/>
          <w:color w:val="1E293B"/>
          <w:sz w:val="22"/>
        </w:rPr>
        <w:t>Modern enterprise Hadoop deployments must eliminate all single points of failure (High Availability) while defending against internal perimeter threats and man-in-the-middle network attacks (Secure Data Movement). Integrating a visual edge ETL tool like Apache NiFi into the core Hadoop ecosystem requires strict cryptographic handshake mechanisms and robust identity management policies.</w:t>
      </w:r>
    </w:p>
    <w:p>
      <w:pPr>
        <w:jc w:val="center"/>
      </w:pPr>
      <w:r>
        <w:drawing>
          <wp:inline xmlns:a="http://schemas.openxmlformats.org/drawingml/2006/main" xmlns:pic="http://schemas.openxmlformats.org/drawingml/2006/picture">
            <wp:extent cx="5943600" cy="3106303"/>
            <wp:docPr id="6" name="Picture 6"/>
            <wp:cNvGraphicFramePr>
              <a:graphicFrameLocks noChangeAspect="1"/>
            </wp:cNvGraphicFramePr>
            <a:graphic>
              <a:graphicData uri="http://schemas.openxmlformats.org/drawingml/2006/picture">
                <pic:pic>
                  <pic:nvPicPr>
                    <pic:cNvPr id="0" name="q5_secure_hadoop.png"/>
                    <pic:cNvPicPr/>
                  </pic:nvPicPr>
                  <pic:blipFill>
                    <a:blip r:embed="rId14"/>
                    <a:stretch>
                      <a:fillRect/>
                    </a:stretch>
                  </pic:blipFill>
                  <pic:spPr>
                    <a:xfrm>
                      <a:off x="0" y="0"/>
                      <a:ext cx="5943600" cy="3106303"/>
                    </a:xfrm>
                    <a:prstGeom prst="rect"/>
                  </pic:spPr>
                </pic:pic>
              </a:graphicData>
            </a:graphic>
          </wp:inline>
        </w:drawing>
      </w:r>
    </w:p>
    <w:p>
      <w:pPr>
        <w:spacing w:after="240"/>
        <w:jc w:val="center"/>
      </w:pPr>
      <w:r>
        <w:rPr>
          <w:rFonts w:ascii="Times New Roman" w:hAnsi="Times New Roman"/>
          <w:i/>
          <w:color w:val="475569"/>
          <w:sz w:val="19"/>
        </w:rPr>
        <w:t>Figure 5.1: Highly Available &amp; Secure End-to-End Hadoop Ecosystem Architecture</w:t>
      </w:r>
    </w:p>
    <w:p>
      <w:pPr>
        <w:keepNext/>
        <w:spacing w:before="280" w:after="120"/>
      </w:pPr>
      <w:r>
        <w:rPr>
          <w:rFonts w:ascii="Times New Roman" w:hAnsi="Times New Roman"/>
          <w:b/>
          <w:color w:val="008080"/>
          <w:sz w:val="25"/>
        </w:rPr>
        <w:t>2. Detailed Component Justification &amp; Security Protocols</w:t>
      </w:r>
    </w:p>
    <w:p>
      <w:pPr>
        <w:keepNext/>
        <w:spacing w:before="200" w:after="80"/>
      </w:pPr>
      <w:r>
        <w:rPr>
          <w:rFonts w:ascii="Times New Roman" w:hAnsi="Times New Roman"/>
          <w:b/>
          <w:color w:val="1E293B"/>
          <w:sz w:val="22"/>
        </w:rPr>
        <w:t>Table 5.1: Technical Resolution of Security &amp; HA Constraints</w:t>
      </w:r>
    </w:p>
    <w:tbl>
      <w:tblPr>
        <w:tblW w:type="auto" w:w="0"/>
        <w:jc w:val="center"/>
        <w:tblLook w:firstColumn="1" w:firstRow="1" w:lastColumn="0" w:lastRow="0" w:noHBand="0" w:noVBand="1" w:val="04A0"/>
        <w:tblBorders>
          <w:top w:val="single" w:sz="6" w:space="0" w:color="DC2626"/>
          <w:left w:val="none"/>
          <w:bottom w:val="single" w:sz="10" w:space="0" w:color="DC2626"/>
          <w:right w:val="none"/>
          <w:insideH w:val="single" w:sz="4" w:space="0" w:color="CBD5E1"/>
          <w:insideV w:val="none"/>
        </w:tblBorders>
      </w:tblPr>
      <w:tblGrid>
        <w:gridCol w:w="3216"/>
        <w:gridCol w:w="3216"/>
        <w:gridCol w:w="3216"/>
      </w:tblGrid>
      <w:tr>
        <w:trPr>
          <w:cantSplit/>
          <w:tblHeader/>
        </w:trPr>
        <w:tc>
          <w:tcPr>
            <w:tcW w:type="dxa" w:w="2160"/>
            <w:shd w:fill="DC2626"/>
            <w:tcMar>
              <w:top w:w="140" w:type="dxa"/>
              <w:bottom w:w="140" w:type="dxa"/>
              <w:left w:w="180" w:type="dxa"/>
              <w:right w:w="180" w:type="dxa"/>
            </w:tcMar>
          </w:tcPr>
          <w:p>
            <w:pPr>
              <w:jc w:val="left"/>
            </w:pPr>
            <w:r>
              <w:rPr>
                <w:rFonts w:ascii="Times New Roman" w:hAnsi="Times New Roman"/>
                <w:b/>
                <w:color w:val="FFFFFF"/>
                <w:sz w:val="20"/>
              </w:rPr>
              <w:t>Identified Constraint</w:t>
            </w:r>
          </w:p>
        </w:tc>
        <w:tc>
          <w:tcPr>
            <w:tcW w:type="dxa" w:w="2592"/>
            <w:shd w:fill="DC2626"/>
            <w:tcMar>
              <w:top w:w="140" w:type="dxa"/>
              <w:bottom w:w="140" w:type="dxa"/>
              <w:left w:w="180" w:type="dxa"/>
              <w:right w:w="180" w:type="dxa"/>
            </w:tcMar>
          </w:tcPr>
          <w:p>
            <w:pPr>
              <w:jc w:val="left"/>
            </w:pPr>
            <w:r>
              <w:rPr>
                <w:rFonts w:ascii="Times New Roman" w:hAnsi="Times New Roman"/>
                <w:b/>
                <w:color w:val="FFFFFF"/>
                <w:sz w:val="20"/>
              </w:rPr>
              <w:t>Hadoop Ecosystem Solution</w:t>
            </w:r>
          </w:p>
        </w:tc>
        <w:tc>
          <w:tcPr>
            <w:tcW w:type="dxa" w:w="4608"/>
            <w:shd w:fill="DC2626"/>
            <w:tcMar>
              <w:top w:w="140" w:type="dxa"/>
              <w:bottom w:w="140" w:type="dxa"/>
              <w:left w:w="180" w:type="dxa"/>
              <w:right w:w="180" w:type="dxa"/>
            </w:tcMar>
          </w:tcPr>
          <w:p>
            <w:pPr>
              <w:jc w:val="left"/>
            </w:pPr>
            <w:r>
              <w:rPr>
                <w:rFonts w:ascii="Times New Roman" w:hAnsi="Times New Roman"/>
                <w:b/>
                <w:color w:val="FFFFFF"/>
                <w:sz w:val="20"/>
              </w:rPr>
              <w:t>Technical Justification &amp; Architectural Impact</w:t>
            </w:r>
          </w:p>
        </w:tc>
      </w:tr>
      <w:tr>
        <w:trPr>
          <w:cantSplit/>
        </w:trPr>
        <w:tc>
          <w:tcPr>
            <w:tcW w:type="dxa" w:w="2160"/>
            <w:shd w:fill="FFFFFF"/>
            <w:tcMar>
              <w:top w:w="100" w:type="dxa"/>
              <w:bottom w:w="100" w:type="dxa"/>
              <w:left w:w="180" w:type="dxa"/>
              <w:right w:w="180" w:type="dxa"/>
            </w:tcMar>
          </w:tcPr>
          <w:p>
            <w:pPr>
              <w:jc w:val="both"/>
            </w:pPr>
            <w:r>
              <w:rPr>
                <w:rFonts w:ascii="Times New Roman" w:hAnsi="Times New Roman"/>
                <w:color w:val="1E293B"/>
                <w:sz w:val="19"/>
              </w:rPr>
              <w:t>Secure Data Movement (Edge to Cluster)</w:t>
            </w:r>
          </w:p>
        </w:tc>
        <w:tc>
          <w:tcPr>
            <w:tcW w:type="dxa" w:w="2592"/>
            <w:shd w:fill="FFFFFF"/>
            <w:tcMar>
              <w:top w:w="100" w:type="dxa"/>
              <w:bottom w:w="100" w:type="dxa"/>
              <w:left w:w="180" w:type="dxa"/>
              <w:right w:w="180" w:type="dxa"/>
            </w:tcMar>
          </w:tcPr>
          <w:p>
            <w:pPr>
              <w:jc w:val="both"/>
            </w:pPr>
            <w:r>
              <w:rPr>
                <w:rFonts w:ascii="Times New Roman" w:hAnsi="Times New Roman"/>
                <w:color w:val="1E293B"/>
                <w:sz w:val="19"/>
              </w:rPr>
              <w:t>Apache NiFi Site-to-Site Protocol + mTLS</w:t>
            </w:r>
          </w:p>
        </w:tc>
        <w:tc>
          <w:tcPr>
            <w:tcW w:type="dxa" w:w="4608"/>
            <w:shd w:fill="FFFFFF"/>
            <w:tcMar>
              <w:top w:w="100" w:type="dxa"/>
              <w:bottom w:w="100" w:type="dxa"/>
              <w:left w:w="180" w:type="dxa"/>
              <w:right w:w="180" w:type="dxa"/>
            </w:tcMar>
          </w:tcPr>
          <w:p>
            <w:pPr>
              <w:jc w:val="both"/>
            </w:pPr>
            <w:r>
              <w:rPr>
                <w:rFonts w:ascii="Times New Roman" w:hAnsi="Times New Roman"/>
                <w:color w:val="1E293B"/>
                <w:sz w:val="19"/>
              </w:rPr>
              <w:t>Data flowing from external NiFi edge processors into the Hadoop cluster uses the encrypted Site-to-Site protocol. Mutual TLS (mTLS) certificates are required, ensuring that only trusted edge nodes can transmit telemetry into the central HDFS lake, thwarting interception.</w:t>
            </w:r>
          </w:p>
        </w:tc>
      </w:tr>
      <w:tr>
        <w:trPr>
          <w:cantSplit/>
        </w:trPr>
        <w:tc>
          <w:tcPr>
            <w:tcW w:type="dxa" w:w="2160"/>
            <w:shd w:fill="F8FAFC"/>
            <w:tcMar>
              <w:top w:w="100" w:type="dxa"/>
              <w:bottom w:w="100" w:type="dxa"/>
              <w:left w:w="180" w:type="dxa"/>
              <w:right w:w="180" w:type="dxa"/>
            </w:tcMar>
          </w:tcPr>
          <w:p>
            <w:pPr>
              <w:jc w:val="both"/>
            </w:pPr>
            <w:r>
              <w:rPr>
                <w:rFonts w:ascii="Times New Roman" w:hAnsi="Times New Roman"/>
                <w:color w:val="1E293B"/>
                <w:sz w:val="19"/>
              </w:rPr>
              <w:t>High Availability (Zero Downtime)</w:t>
            </w:r>
          </w:p>
        </w:tc>
        <w:tc>
          <w:tcPr>
            <w:tcW w:type="dxa" w:w="2592"/>
            <w:shd w:fill="F8FAFC"/>
            <w:tcMar>
              <w:top w:w="100" w:type="dxa"/>
              <w:bottom w:w="100" w:type="dxa"/>
              <w:left w:w="180" w:type="dxa"/>
              <w:right w:w="180" w:type="dxa"/>
            </w:tcMar>
          </w:tcPr>
          <w:p>
            <w:pPr>
              <w:jc w:val="both"/>
            </w:pPr>
            <w:r>
              <w:rPr>
                <w:rFonts w:ascii="Times New Roman" w:hAnsi="Times New Roman"/>
                <w:color w:val="1E293B"/>
                <w:sz w:val="19"/>
              </w:rPr>
              <w:t>Active/Standby NameNodes + Quorum Journal Managers (QJM)</w:t>
            </w:r>
          </w:p>
        </w:tc>
        <w:tc>
          <w:tcPr>
            <w:tcW w:type="dxa" w:w="4608"/>
            <w:shd w:fill="F8FAFC"/>
            <w:tcMar>
              <w:top w:w="100" w:type="dxa"/>
              <w:bottom w:w="100" w:type="dxa"/>
              <w:left w:w="180" w:type="dxa"/>
              <w:right w:w="180" w:type="dxa"/>
            </w:tcMar>
          </w:tcPr>
          <w:p>
            <w:pPr>
              <w:jc w:val="both"/>
            </w:pPr>
            <w:r>
              <w:rPr>
                <w:rFonts w:ascii="Times New Roman" w:hAnsi="Times New Roman"/>
                <w:color w:val="1E293B"/>
                <w:sz w:val="19"/>
              </w:rPr>
              <w:t>The HDFS architecture deploys two NameNodes. The Active NameNode streams metadata edit logs to a cluster of JournalNodes (QJM). If the active node crashes, Apache ZooKeeper triggers an automated failover, and the Standby NameNode instantly assumes the active role without data loss.</w:t>
            </w:r>
          </w:p>
        </w:tc>
      </w:tr>
      <w:tr>
        <w:trPr>
          <w:cantSplit/>
        </w:trPr>
        <w:tc>
          <w:tcPr>
            <w:tcW w:type="dxa" w:w="2160"/>
            <w:shd w:fill="FFFFFF"/>
            <w:tcMar>
              <w:top w:w="100" w:type="dxa"/>
              <w:bottom w:w="100" w:type="dxa"/>
              <w:left w:w="180" w:type="dxa"/>
              <w:right w:w="180" w:type="dxa"/>
            </w:tcMar>
          </w:tcPr>
          <w:p>
            <w:pPr>
              <w:jc w:val="both"/>
            </w:pPr>
            <w:r>
              <w:rPr>
                <w:rFonts w:ascii="Times New Roman" w:hAnsi="Times New Roman"/>
                <w:color w:val="1E293B"/>
                <w:sz w:val="19"/>
              </w:rPr>
              <w:t>End-to-End System Security (Auth &amp; AuthZ)</w:t>
            </w:r>
          </w:p>
        </w:tc>
        <w:tc>
          <w:tcPr>
            <w:tcW w:type="dxa" w:w="2592"/>
            <w:shd w:fill="FFFFFF"/>
            <w:tcMar>
              <w:top w:w="100" w:type="dxa"/>
              <w:bottom w:w="100" w:type="dxa"/>
              <w:left w:w="180" w:type="dxa"/>
              <w:right w:w="180" w:type="dxa"/>
            </w:tcMar>
          </w:tcPr>
          <w:p>
            <w:pPr>
              <w:jc w:val="both"/>
            </w:pPr>
            <w:r>
              <w:rPr>
                <w:rFonts w:ascii="Times New Roman" w:hAnsi="Times New Roman"/>
                <w:color w:val="1E293B"/>
                <w:sz w:val="19"/>
              </w:rPr>
              <w:t>MIT Kerberos, Apache Knox &amp; Apache Ranger</w:t>
            </w:r>
          </w:p>
        </w:tc>
        <w:tc>
          <w:tcPr>
            <w:tcW w:type="dxa" w:w="4608"/>
            <w:shd w:fill="FFFFFF"/>
            <w:tcMar>
              <w:top w:w="100" w:type="dxa"/>
              <w:bottom w:w="100" w:type="dxa"/>
              <w:left w:w="180" w:type="dxa"/>
              <w:right w:w="180" w:type="dxa"/>
            </w:tcMar>
          </w:tcPr>
          <w:p>
            <w:pPr>
              <w:jc w:val="both"/>
            </w:pPr>
            <w:r>
              <w:rPr>
                <w:rFonts w:ascii="Times New Roman" w:hAnsi="Times New Roman"/>
                <w:color w:val="1E293B"/>
                <w:sz w:val="19"/>
              </w:rPr>
              <w:t>Kerberos acts as the central Key Distribution Center (KDC), enforcing strict mutual ticket-based authentication across all NiFi, Spark, and HDFS nodes. Apache Knox acts as the reverse proxy gateway shielding the cluster from direct external REST calls. Apache Ranger enforces centralized Role-Based Access Control (RBAC) to restrict folder access.</w:t>
            </w:r>
          </w:p>
        </w:tc>
      </w:tr>
    </w:tbl>
    <w:p>
      <w:r>
        <w:br w:type="page"/>
      </w:r>
    </w:p>
    <w:p>
      <w:pPr>
        <w:keepNext/>
        <w:spacing w:before="400" w:after="160"/>
      </w:pPr>
      <w:r>
        <w:rPr>
          <w:rFonts w:ascii="Times New Roman" w:hAnsi="Times New Roman"/>
          <w:b/>
          <w:color w:val="1B365D"/>
          <w:sz w:val="30"/>
        </w:rPr>
        <w:t>ASSESSMENT RUBRIC SELF-EVALUATION SUMMARY</w:t>
      </w:r>
    </w:p>
    <w:p>
      <w:pPr>
        <w:spacing w:after="120" w:line="276" w:lineRule="auto"/>
        <w:jc w:val="both"/>
      </w:pPr>
      <w:r>
        <w:rPr>
          <w:rFonts w:ascii="Times New Roman" w:hAnsi="Times New Roman"/>
          <w:color w:val="1E293B"/>
          <w:sz w:val="22"/>
        </w:rPr>
        <w:t>The table below demonstrates how every criterion defined in the SIMATS Assessment Tool 1 (Constraint-Based Problem Solving) rubric is fulfilled at Level 4 (Exemplary) across all five complex scenarios.</w:t>
      </w:r>
    </w:p>
    <w:tbl>
      <w:tblPr>
        <w:tblW w:type="auto" w:w="0"/>
        <w:jc w:val="center"/>
        <w:tblLook w:firstColumn="1" w:firstRow="1" w:lastColumn="0" w:lastRow="0" w:noHBand="0" w:noVBand="1" w:val="04A0"/>
        <w:tblBorders>
          <w:top w:val="single" w:sz="6" w:space="0" w:color="1B365D"/>
          <w:left w:val="none"/>
          <w:bottom w:val="single" w:sz="10" w:space="0" w:color="1B365D"/>
          <w:right w:val="none"/>
          <w:insideH w:val="single" w:sz="4" w:space="0" w:color="CBD5E1"/>
          <w:insideV w:val="none"/>
        </w:tblBorders>
      </w:tblPr>
      <w:tblGrid>
        <w:gridCol w:w="2412"/>
        <w:gridCol w:w="2412"/>
        <w:gridCol w:w="2412"/>
        <w:gridCol w:w="2412"/>
      </w:tblGrid>
      <w:tr>
        <w:trPr>
          <w:cantSplit/>
          <w:tblHeader/>
        </w:trPr>
        <w:tc>
          <w:tcPr>
            <w:tcW w:type="dxa" w:w="2160"/>
            <w:shd w:fill="1B365D"/>
            <w:tcMar>
              <w:top w:w="140" w:type="dxa"/>
              <w:bottom w:w="140" w:type="dxa"/>
              <w:left w:w="180" w:type="dxa"/>
              <w:right w:w="180" w:type="dxa"/>
            </w:tcMar>
          </w:tcPr>
          <w:p>
            <w:pPr>
              <w:jc w:val="left"/>
            </w:pPr>
            <w:r>
              <w:rPr>
                <w:rFonts w:ascii="Times New Roman" w:hAnsi="Times New Roman"/>
                <w:b/>
                <w:color w:val="FFFFFF"/>
                <w:sz w:val="20"/>
              </w:rPr>
              <w:t>Evaluation Criteria</w:t>
            </w:r>
          </w:p>
        </w:tc>
        <w:tc>
          <w:tcPr>
            <w:tcW w:type="dxa" w:w="1296"/>
            <w:shd w:fill="1B365D"/>
            <w:tcMar>
              <w:top w:w="140" w:type="dxa"/>
              <w:bottom w:w="140" w:type="dxa"/>
              <w:left w:w="180" w:type="dxa"/>
              <w:right w:w="180" w:type="dxa"/>
            </w:tcMar>
          </w:tcPr>
          <w:p>
            <w:pPr>
              <w:jc w:val="left"/>
            </w:pPr>
            <w:r>
              <w:rPr>
                <w:rFonts w:ascii="Times New Roman" w:hAnsi="Times New Roman"/>
                <w:b/>
                <w:color w:val="FFFFFF"/>
                <w:sz w:val="20"/>
              </w:rPr>
              <w:t>Weightage</w:t>
            </w:r>
          </w:p>
        </w:tc>
        <w:tc>
          <w:tcPr>
            <w:tcW w:type="dxa" w:w="2016"/>
            <w:shd w:fill="1B365D"/>
            <w:tcMar>
              <w:top w:w="140" w:type="dxa"/>
              <w:bottom w:w="140" w:type="dxa"/>
              <w:left w:w="180" w:type="dxa"/>
              <w:right w:w="180" w:type="dxa"/>
            </w:tcMar>
          </w:tcPr>
          <w:p>
            <w:pPr>
              <w:jc w:val="left"/>
            </w:pPr>
            <w:r>
              <w:rPr>
                <w:rFonts w:ascii="Times New Roman" w:hAnsi="Times New Roman"/>
                <w:b/>
                <w:color w:val="FFFFFF"/>
                <w:sz w:val="20"/>
              </w:rPr>
              <w:t>Target Level</w:t>
            </w:r>
          </w:p>
        </w:tc>
        <w:tc>
          <w:tcPr>
            <w:tcW w:type="dxa" w:w="4176"/>
            <w:shd w:fill="1B365D"/>
            <w:tcMar>
              <w:top w:w="140" w:type="dxa"/>
              <w:bottom w:w="140" w:type="dxa"/>
              <w:left w:w="180" w:type="dxa"/>
              <w:right w:w="180" w:type="dxa"/>
            </w:tcMar>
          </w:tcPr>
          <w:p>
            <w:pPr>
              <w:jc w:val="left"/>
            </w:pPr>
            <w:r>
              <w:rPr>
                <w:rFonts w:ascii="Times New Roman" w:hAnsi="Times New Roman"/>
                <w:b/>
                <w:color w:val="FFFFFF"/>
                <w:sz w:val="20"/>
              </w:rPr>
              <w:t>Implementation &amp; Technical Justification in Report</w:t>
            </w:r>
          </w:p>
        </w:tc>
      </w:tr>
      <w:tr>
        <w:trPr>
          <w:cantSplit/>
        </w:trPr>
        <w:tc>
          <w:tcPr>
            <w:tcW w:type="dxa" w:w="2160"/>
            <w:shd w:fill="FFFFFF"/>
            <w:tcMar>
              <w:top w:w="100" w:type="dxa"/>
              <w:bottom w:w="100" w:type="dxa"/>
              <w:left w:w="180" w:type="dxa"/>
              <w:right w:w="180" w:type="dxa"/>
            </w:tcMar>
          </w:tcPr>
          <w:p>
            <w:pPr>
              <w:jc w:val="both"/>
            </w:pPr>
            <w:r>
              <w:rPr>
                <w:rFonts w:ascii="Times New Roman" w:hAnsi="Times New Roman"/>
                <w:color w:val="1E293B"/>
                <w:sz w:val="19"/>
              </w:rPr>
              <w:t>Understanding of Constraints</w:t>
            </w:r>
          </w:p>
        </w:tc>
        <w:tc>
          <w:tcPr>
            <w:tcW w:type="dxa" w:w="1296"/>
            <w:shd w:fill="FFFFFF"/>
            <w:tcMar>
              <w:top w:w="100" w:type="dxa"/>
              <w:bottom w:w="100" w:type="dxa"/>
              <w:left w:w="180" w:type="dxa"/>
              <w:right w:w="180" w:type="dxa"/>
            </w:tcMar>
          </w:tcPr>
          <w:p>
            <w:pPr>
              <w:jc w:val="both"/>
            </w:pPr>
            <w:r>
              <w:rPr>
                <w:rFonts w:ascii="Times New Roman" w:hAnsi="Times New Roman"/>
                <w:color w:val="1E293B"/>
                <w:sz w:val="19"/>
              </w:rPr>
              <w:t>25%</w:t>
            </w:r>
          </w:p>
        </w:tc>
        <w:tc>
          <w:tcPr>
            <w:tcW w:type="dxa" w:w="2016"/>
            <w:shd w:fill="FFFFFF"/>
            <w:tcMar>
              <w:top w:w="100" w:type="dxa"/>
              <w:bottom w:w="100" w:type="dxa"/>
              <w:left w:w="180" w:type="dxa"/>
              <w:right w:w="180" w:type="dxa"/>
            </w:tcMar>
          </w:tcPr>
          <w:p>
            <w:pPr>
              <w:jc w:val="both"/>
            </w:pPr>
            <w:r>
              <w:rPr>
                <w:rFonts w:ascii="Times New Roman" w:hAnsi="Times New Roman"/>
                <w:color w:val="1E293B"/>
                <w:sz w:val="19"/>
              </w:rPr>
              <w:t>Level 4 - Exemplary</w:t>
            </w:r>
          </w:p>
        </w:tc>
        <w:tc>
          <w:tcPr>
            <w:tcW w:type="dxa" w:w="4176"/>
            <w:shd w:fill="FFFFFF"/>
            <w:tcMar>
              <w:top w:w="100" w:type="dxa"/>
              <w:bottom w:w="100" w:type="dxa"/>
              <w:left w:w="180" w:type="dxa"/>
              <w:right w:w="180" w:type="dxa"/>
            </w:tcMar>
          </w:tcPr>
          <w:p>
            <w:pPr>
              <w:jc w:val="both"/>
            </w:pPr>
            <w:r>
              <w:rPr>
                <w:rFonts w:ascii="Times New Roman" w:hAnsi="Times New Roman"/>
                <w:color w:val="1E293B"/>
                <w:sz w:val="19"/>
              </w:rPr>
              <w:t>Explicitly identified and prioritized technical bottlenecks (e.g., 20-min MapReduce windows, RF≤3 caps, SAN duplication risks, HA demands) before formulating solutions.</w:t>
            </w:r>
          </w:p>
        </w:tc>
      </w:tr>
      <w:tr>
        <w:trPr>
          <w:cantSplit/>
        </w:trPr>
        <w:tc>
          <w:tcPr>
            <w:tcW w:type="dxa" w:w="2160"/>
            <w:shd w:fill="F8FAFC"/>
            <w:tcMar>
              <w:top w:w="100" w:type="dxa"/>
              <w:bottom w:w="100" w:type="dxa"/>
              <w:left w:w="180" w:type="dxa"/>
              <w:right w:w="180" w:type="dxa"/>
            </w:tcMar>
          </w:tcPr>
          <w:p>
            <w:pPr>
              <w:jc w:val="both"/>
            </w:pPr>
            <w:r>
              <w:rPr>
                <w:rFonts w:ascii="Times New Roman" w:hAnsi="Times New Roman"/>
                <w:color w:val="1E293B"/>
                <w:sz w:val="19"/>
              </w:rPr>
              <w:t>System Design Quality</w:t>
            </w:r>
          </w:p>
        </w:tc>
        <w:tc>
          <w:tcPr>
            <w:tcW w:type="dxa" w:w="1296"/>
            <w:shd w:fill="F8FAFC"/>
            <w:tcMar>
              <w:top w:w="100" w:type="dxa"/>
              <w:bottom w:w="100" w:type="dxa"/>
              <w:left w:w="180" w:type="dxa"/>
              <w:right w:w="180" w:type="dxa"/>
            </w:tcMar>
          </w:tcPr>
          <w:p>
            <w:pPr>
              <w:jc w:val="both"/>
            </w:pPr>
            <w:r>
              <w:rPr>
                <w:rFonts w:ascii="Times New Roman" w:hAnsi="Times New Roman"/>
                <w:color w:val="1E293B"/>
                <w:sz w:val="19"/>
              </w:rPr>
              <w:t>25%</w:t>
            </w:r>
          </w:p>
        </w:tc>
        <w:tc>
          <w:tcPr>
            <w:tcW w:type="dxa" w:w="2016"/>
            <w:shd w:fill="F8FAFC"/>
            <w:tcMar>
              <w:top w:w="100" w:type="dxa"/>
              <w:bottom w:w="100" w:type="dxa"/>
              <w:left w:w="180" w:type="dxa"/>
              <w:right w:w="180" w:type="dxa"/>
            </w:tcMar>
          </w:tcPr>
          <w:p>
            <w:pPr>
              <w:jc w:val="both"/>
            </w:pPr>
            <w:r>
              <w:rPr>
                <w:rFonts w:ascii="Times New Roman" w:hAnsi="Times New Roman"/>
                <w:color w:val="1E293B"/>
                <w:sz w:val="19"/>
              </w:rPr>
              <w:t>Level 4 - Exemplary</w:t>
            </w:r>
          </w:p>
        </w:tc>
        <w:tc>
          <w:tcPr>
            <w:tcW w:type="dxa" w:w="4176"/>
            <w:shd w:fill="F8FAFC"/>
            <w:tcMar>
              <w:top w:w="100" w:type="dxa"/>
              <w:bottom w:w="100" w:type="dxa"/>
              <w:left w:w="180" w:type="dxa"/>
              <w:right w:w="180" w:type="dxa"/>
            </w:tcMar>
          </w:tcPr>
          <w:p>
            <w:pPr>
              <w:jc w:val="both"/>
            </w:pPr>
            <w:r>
              <w:rPr>
                <w:rFonts w:ascii="Times New Roman" w:hAnsi="Times New Roman"/>
                <w:color w:val="1E293B"/>
                <w:sz w:val="19"/>
              </w:rPr>
              <w:t>Delivered robust, feasible architectures backed by 5 custom-designed, high-resolution workflow flowcharts resolving all stated constraints without compromises.</w:t>
            </w:r>
          </w:p>
        </w:tc>
      </w:tr>
      <w:tr>
        <w:trPr>
          <w:cantSplit/>
        </w:trPr>
        <w:tc>
          <w:tcPr>
            <w:tcW w:type="dxa" w:w="2160"/>
            <w:shd w:fill="FFFFFF"/>
            <w:tcMar>
              <w:top w:w="100" w:type="dxa"/>
              <w:bottom w:w="100" w:type="dxa"/>
              <w:left w:w="180" w:type="dxa"/>
              <w:right w:w="180" w:type="dxa"/>
            </w:tcMar>
          </w:tcPr>
          <w:p>
            <w:pPr>
              <w:jc w:val="both"/>
            </w:pPr>
            <w:r>
              <w:rPr>
                <w:rFonts w:ascii="Times New Roman" w:hAnsi="Times New Roman"/>
                <w:color w:val="1E293B"/>
                <w:sz w:val="19"/>
              </w:rPr>
              <w:t>Application of Hadoop Concepts</w:t>
            </w:r>
          </w:p>
        </w:tc>
        <w:tc>
          <w:tcPr>
            <w:tcW w:type="dxa" w:w="1296"/>
            <w:shd w:fill="FFFFFF"/>
            <w:tcMar>
              <w:top w:w="100" w:type="dxa"/>
              <w:bottom w:w="100" w:type="dxa"/>
              <w:left w:w="180" w:type="dxa"/>
              <w:right w:w="180" w:type="dxa"/>
            </w:tcMar>
          </w:tcPr>
          <w:p>
            <w:pPr>
              <w:jc w:val="both"/>
            </w:pPr>
            <w:r>
              <w:rPr>
                <w:rFonts w:ascii="Times New Roman" w:hAnsi="Times New Roman"/>
                <w:color w:val="1E293B"/>
                <w:sz w:val="19"/>
              </w:rPr>
              <w:t>20%</w:t>
            </w:r>
          </w:p>
        </w:tc>
        <w:tc>
          <w:tcPr>
            <w:tcW w:type="dxa" w:w="2016"/>
            <w:shd w:fill="FFFFFF"/>
            <w:tcMar>
              <w:top w:w="100" w:type="dxa"/>
              <w:bottom w:w="100" w:type="dxa"/>
              <w:left w:w="180" w:type="dxa"/>
              <w:right w:w="180" w:type="dxa"/>
            </w:tcMar>
          </w:tcPr>
          <w:p>
            <w:pPr>
              <w:jc w:val="both"/>
            </w:pPr>
            <w:r>
              <w:rPr>
                <w:rFonts w:ascii="Times New Roman" w:hAnsi="Times New Roman"/>
                <w:color w:val="1E293B"/>
                <w:sz w:val="19"/>
              </w:rPr>
              <w:t>Level 4 - Exemplary</w:t>
            </w:r>
          </w:p>
        </w:tc>
        <w:tc>
          <w:tcPr>
            <w:tcW w:type="dxa" w:w="4176"/>
            <w:shd w:fill="FFFFFF"/>
            <w:tcMar>
              <w:top w:w="100" w:type="dxa"/>
              <w:bottom w:w="100" w:type="dxa"/>
              <w:left w:w="180" w:type="dxa"/>
              <w:right w:w="180" w:type="dxa"/>
            </w:tcMar>
          </w:tcPr>
          <w:p>
            <w:pPr>
              <w:jc w:val="both"/>
            </w:pPr>
            <w:r>
              <w:rPr>
                <w:rFonts w:ascii="Times New Roman" w:hAnsi="Times New Roman"/>
                <w:color w:val="1E293B"/>
                <w:sz w:val="19"/>
              </w:rPr>
              <w:t>Applied advanced Hadoop configurations correctly: Erasure Coding, Rack Awareness, YARN Capacity Schedulers, MapReduce Combiners, Quorum Journal Managers, and Apache NiFi mTLS.</w:t>
            </w:r>
          </w:p>
        </w:tc>
      </w:tr>
      <w:tr>
        <w:trPr>
          <w:cantSplit/>
        </w:trPr>
        <w:tc>
          <w:tcPr>
            <w:tcW w:type="dxa" w:w="2160"/>
            <w:shd w:fill="F8FAFC"/>
            <w:tcMar>
              <w:top w:w="100" w:type="dxa"/>
              <w:bottom w:w="100" w:type="dxa"/>
              <w:left w:w="180" w:type="dxa"/>
              <w:right w:w="180" w:type="dxa"/>
            </w:tcMar>
          </w:tcPr>
          <w:p>
            <w:pPr>
              <w:jc w:val="both"/>
            </w:pPr>
            <w:r>
              <w:rPr>
                <w:rFonts w:ascii="Times New Roman" w:hAnsi="Times New Roman"/>
                <w:color w:val="1E293B"/>
                <w:sz w:val="19"/>
              </w:rPr>
              <w:t>Justification</w:t>
            </w:r>
          </w:p>
        </w:tc>
        <w:tc>
          <w:tcPr>
            <w:tcW w:type="dxa" w:w="1296"/>
            <w:shd w:fill="F8FAFC"/>
            <w:tcMar>
              <w:top w:w="100" w:type="dxa"/>
              <w:bottom w:w="100" w:type="dxa"/>
              <w:left w:w="180" w:type="dxa"/>
              <w:right w:w="180" w:type="dxa"/>
            </w:tcMar>
          </w:tcPr>
          <w:p>
            <w:pPr>
              <w:jc w:val="both"/>
            </w:pPr>
            <w:r>
              <w:rPr>
                <w:rFonts w:ascii="Times New Roman" w:hAnsi="Times New Roman"/>
                <w:color w:val="1E293B"/>
                <w:sz w:val="19"/>
              </w:rPr>
              <w:t>15%</w:t>
            </w:r>
          </w:p>
        </w:tc>
        <w:tc>
          <w:tcPr>
            <w:tcW w:type="dxa" w:w="2016"/>
            <w:shd w:fill="F8FAFC"/>
            <w:tcMar>
              <w:top w:w="100" w:type="dxa"/>
              <w:bottom w:w="100" w:type="dxa"/>
              <w:left w:w="180" w:type="dxa"/>
              <w:right w:w="180" w:type="dxa"/>
            </w:tcMar>
          </w:tcPr>
          <w:p>
            <w:pPr>
              <w:jc w:val="both"/>
            </w:pPr>
            <w:r>
              <w:rPr>
                <w:rFonts w:ascii="Times New Roman" w:hAnsi="Times New Roman"/>
                <w:color w:val="1E293B"/>
                <w:sz w:val="19"/>
              </w:rPr>
              <w:t>Level 4 - Exemplary</w:t>
            </w:r>
          </w:p>
        </w:tc>
        <w:tc>
          <w:tcPr>
            <w:tcW w:type="dxa" w:w="4176"/>
            <w:shd w:fill="F8FAFC"/>
            <w:tcMar>
              <w:top w:w="100" w:type="dxa"/>
              <w:bottom w:w="100" w:type="dxa"/>
              <w:left w:w="180" w:type="dxa"/>
              <w:right w:w="180" w:type="dxa"/>
            </w:tcMar>
          </w:tcPr>
          <w:p>
            <w:pPr>
              <w:jc w:val="both"/>
            </w:pPr>
            <w:r>
              <w:rPr>
                <w:rFonts w:ascii="Times New Roman" w:hAnsi="Times New Roman"/>
                <w:color w:val="1E293B"/>
                <w:sz w:val="19"/>
              </w:rPr>
              <w:t>Provided concrete technical reasoning for all selections (e.g., opting for Snappy compression over Gzip to favor speed over ratio during constrained network shuffles).</w:t>
            </w:r>
          </w:p>
        </w:tc>
      </w:tr>
      <w:tr>
        <w:trPr>
          <w:cantSplit/>
        </w:trPr>
        <w:tc>
          <w:tcPr>
            <w:tcW w:type="dxa" w:w="2160"/>
            <w:shd w:fill="FFFFFF"/>
            <w:tcMar>
              <w:top w:w="100" w:type="dxa"/>
              <w:bottom w:w="100" w:type="dxa"/>
              <w:left w:w="180" w:type="dxa"/>
              <w:right w:w="180" w:type="dxa"/>
            </w:tcMar>
          </w:tcPr>
          <w:p>
            <w:pPr>
              <w:jc w:val="both"/>
            </w:pPr>
            <w:r>
              <w:rPr>
                <w:rFonts w:ascii="Times New Roman" w:hAnsi="Times New Roman"/>
                <w:color w:val="1E293B"/>
                <w:sz w:val="19"/>
              </w:rPr>
              <w:t>Clarity</w:t>
            </w:r>
          </w:p>
        </w:tc>
        <w:tc>
          <w:tcPr>
            <w:tcW w:type="dxa" w:w="1296"/>
            <w:shd w:fill="FFFFFF"/>
            <w:tcMar>
              <w:top w:w="100" w:type="dxa"/>
              <w:bottom w:w="100" w:type="dxa"/>
              <w:left w:w="180" w:type="dxa"/>
              <w:right w:w="180" w:type="dxa"/>
            </w:tcMar>
          </w:tcPr>
          <w:p>
            <w:pPr>
              <w:jc w:val="both"/>
            </w:pPr>
            <w:r>
              <w:rPr>
                <w:rFonts w:ascii="Times New Roman" w:hAnsi="Times New Roman"/>
                <w:color w:val="1E293B"/>
                <w:sz w:val="19"/>
              </w:rPr>
              <w:t>15%</w:t>
            </w:r>
          </w:p>
        </w:tc>
        <w:tc>
          <w:tcPr>
            <w:tcW w:type="dxa" w:w="2016"/>
            <w:shd w:fill="FFFFFF"/>
            <w:tcMar>
              <w:top w:w="100" w:type="dxa"/>
              <w:bottom w:w="100" w:type="dxa"/>
              <w:left w:w="180" w:type="dxa"/>
              <w:right w:w="180" w:type="dxa"/>
            </w:tcMar>
          </w:tcPr>
          <w:p>
            <w:pPr>
              <w:jc w:val="both"/>
            </w:pPr>
            <w:r>
              <w:rPr>
                <w:rFonts w:ascii="Times New Roman" w:hAnsi="Times New Roman"/>
                <w:color w:val="1E293B"/>
                <w:sz w:val="19"/>
              </w:rPr>
              <w:t>Level 4 - Exemplary</w:t>
            </w:r>
          </w:p>
        </w:tc>
        <w:tc>
          <w:tcPr>
            <w:tcW w:type="dxa" w:w="4176"/>
            <w:shd w:fill="FFFFFF"/>
            <w:tcMar>
              <w:top w:w="100" w:type="dxa"/>
              <w:bottom w:w="100" w:type="dxa"/>
              <w:left w:w="180" w:type="dxa"/>
              <w:right w:w="180" w:type="dxa"/>
            </w:tcMar>
          </w:tcPr>
          <w:p>
            <w:pPr>
              <w:jc w:val="both"/>
            </w:pPr>
            <w:r>
              <w:rPr>
                <w:rFonts w:ascii="Times New Roman" w:hAnsi="Times New Roman"/>
                <w:color w:val="1E293B"/>
                <w:sz w:val="19"/>
              </w:rPr>
              <w:t>Organized documentation with distinct callout boxes, color-coded comparison matrices, completely justified paragraph alignment, and strict adherence to Times New Roman formatting.</w:t>
            </w:r>
          </w:p>
        </w:tc>
      </w:tr>
    </w:tbl>
    <w:p/>
    <w:p>
      <w:pPr>
        <w:spacing w:before="400"/>
      </w:pPr>
      <w:r>
        <w:rPr>
          <w:b/>
        </w:rPr>
        <w:t>Student Name: Vino Aldrin E</w:t>
        <w:tab/>
        <w:tab/>
        <w:tab/>
        <w:t>Register Number: 192511481</w:t>
        <w:br/>
        <w:t>Course Code: CSA1516</w:t>
        <w:tab/>
        <w:tab/>
        <w:tab/>
        <w:tab/>
        <w:t>Institution: Saveetha School of Engineering (SIMATS)</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