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color w:val="595959"/>
          <w:sz w:val="20"/>
          <w:szCs w:val="20"/>
        </w:rPr>
        <w:t xml:space="preserve">SAVEETHA SCHOOL OF ENGINEERING</w:t>
      </w:r>
    </w:p>
    <w:p>
      <w:pPr>
        <w:spacing w:after="260"/>
        <w:jc w:val="center"/>
      </w:pPr>
      <w:r>
        <w:rPr>
          <w:rFonts w:ascii="Calibri" w:cs="Calibri" w:eastAsia="Calibri" w:hAnsi="Calibri"/>
          <w:b/>
          <w:bCs/>
          <w:color w:val="595959"/>
          <w:sz w:val="20"/>
          <w:szCs w:val="20"/>
        </w:rPr>
        <w:t xml:space="preserve">(SIMATS), CHENNAI</w:t>
      </w:r>
    </w:p>
    <w:p>
      <w:pPr>
        <w:spacing w:after="60" w:before="300"/>
        <w:jc w:val="center"/>
      </w:pPr>
      <w:r>
        <w:rPr>
          <w:rFonts w:ascii="Calibri" w:cs="Calibri" w:eastAsia="Calibri" w:hAnsi="Calibri"/>
          <w:b/>
          <w:bCs/>
          <w:color w:val="1F3864"/>
          <w:sz w:val="44"/>
          <w:szCs w:val="44"/>
        </w:rPr>
        <w:t xml:space="preserve">SIMATS ENGINEERING</w:t>
      </w:r>
    </w:p>
    <w:p>
      <w:pPr>
        <w:pBdr>
          <w:bottom w:val="single" w:color="0F766E" w:sz="10" w:space="10"/>
        </w:pBdr>
        <w:spacing w:after="400"/>
        <w:jc w:val="center"/>
      </w:pPr>
      <w:r>
        <w:rPr>
          <w:rFonts w:ascii="Calibri" w:cs="Calibri" w:eastAsia="Calibri" w:hAnsi="Calibri"/>
          <w:b/>
          <w:bCs/>
          <w:color w:val="0F766E"/>
          <w:sz w:val="26"/>
          <w:szCs w:val="26"/>
        </w:rPr>
        <w:t xml:space="preserve">ASSESSMENT TOOL 3 : SCENARIO-BASED QUESTIONS</w:t>
      </w:r>
    </w:p>
    <w:p>
      <w:pPr>
        <w:spacing w:after="200"/>
      </w:pPr>
    </w:p>
    <w:tbl>
      <w:tblPr>
        <w:tblW w:type="dxa" w:w="6500"/>
        <w:jc w:val="center"/>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rPr>
          <w:cantSplit/>
        </w:trPr>
        <w:tc>
          <w:tcPr>
            <w:shd w:fill="DCE6F1" w:color="auto" w:val="clear"/>
            <w:tcMar>
              <w:top w:type="dxa" w:w="120"/>
              <w:left w:type="dxa" w:w="160"/>
              <w:bottom w:type="dxa" w:w="120"/>
              <w:right w:type="dxa" w:w="160"/>
            </w:tcMar>
            <w:vAlign w:val="center"/>
          </w:tcPr>
          <w:p>
            <w:pPr>
              <w:jc w:val="center"/>
            </w:pPr>
            <w:r>
              <w:rPr>
                <w:rFonts w:ascii="Calibri" w:cs="Calibri" w:eastAsia="Calibri" w:hAnsi="Calibri"/>
                <w:b/>
                <w:bCs/>
                <w:color w:val="1F3864"/>
                <w:sz w:val="24"/>
                <w:szCs w:val="24"/>
              </w:rPr>
              <w:t xml:space="preserve">SCENARIO-BASED QUESTIONS</w:t>
            </w:r>
          </w:p>
        </w:tc>
      </w:tr>
    </w:tbl>
    <w:p>
      <w:pPr>
        <w:spacing w:after="300"/>
      </w:pPr>
    </w:p>
    <w:tbl>
      <w:tblPr>
        <w:tblW w:type="dxa" w:w="9350"/>
        <w:jc w:val="center"/>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50"/>
      </w:tblGrid>
      <w:tr>
        <w:trPr>
          <w:cantSplit/>
          <w:tblHeader/>
        </w:trPr>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Field</w:t>
            </w:r>
          </w:p>
        </w:tc>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Details</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Course Name</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Cloud Computing and Big Data Analytics</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Course Code</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CSA1516</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Course Faculty</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Dr. Santhiya Lakshmi Kumaravel</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Student Name</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Vino Aldrin E</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Registration No.</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192511481</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Assessment Type</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Scenario-Based Questions</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Question Count</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5</w:t>
            </w:r>
          </w:p>
        </w:tc>
      </w:tr>
    </w:tbl>
    <w:p>
      <w:pPr>
        <w:spacing w:after="500"/>
      </w:pPr>
    </w:p>
    <w:p>
      <w:pPr>
        <w:jc w:val="center"/>
      </w:pPr>
      <w:r>
        <w:rPr>
          <w:rFonts w:ascii="Calibri" w:cs="Calibri" w:eastAsia="Calibri" w:hAnsi="Calibri"/>
          <w:i/>
          <w:iCs/>
          <w:color w:val="595959"/>
          <w:sz w:val="20"/>
          <w:szCs w:val="20"/>
        </w:rPr>
        <w:t xml:space="preserve">Submitted as a soft copy for evaluation</w:t>
      </w:r>
    </w:p>
    <w:p>
      <w:pPr>
        <w:sectPr>
          <w:pgSz w:w="12240" w:h="15840" w:orient="portrait"/>
          <w:pgMar w:top="1100" w:right="1100" w:bottom="1100" w:left="1100" w:header="708" w:footer="708" w:gutter="0"/>
          <w:pgNumType/>
          <w:docGrid w:linePitch="360"/>
        </w:sectPr>
      </w:pPr>
    </w:p>
    <w:p>
      <w:pPr>
        <w:pStyle w:val="Heading1"/>
        <w:pageBreakBefore/>
        <w:pBdr>
          <w:bottom w:val="single" w:color="0F766E" w:sz="8" w:space="4"/>
        </w:pBdr>
        <w:spacing w:after="160" w:before="320"/>
      </w:pPr>
      <w:r>
        <w:rPr>
          <w:rFonts w:ascii="Calibri" w:cs="Calibri" w:eastAsia="Calibri" w:hAnsi="Calibri"/>
          <w:b/>
          <w:bCs/>
          <w:color w:val="1F3864"/>
          <w:sz w:val="30"/>
          <w:szCs w:val="30"/>
        </w:rPr>
        <w:t xml:space="preserve">Contents</w:t>
      </w:r>
    </w:p>
    <w:p>
      <w:pPr>
        <w:tabs>
          <w:tab w:val="right" w:pos="9350" w:leader="dot"/>
        </w:tabs>
        <w:spacing w:after="120"/>
      </w:pPr>
      <w:r>
        <w:rPr>
          <w:rFonts w:ascii="Calibri" w:cs="Calibri" w:eastAsia="Calibri" w:hAnsi="Calibri"/>
          <w:b/>
          <w:bCs/>
          <w:color w:val="1F3864"/>
          <w:sz w:val="22"/>
          <w:szCs w:val="22"/>
        </w:rPr>
        <w:t xml:space="preserve">1.  </w:t>
      </w:r>
      <w:r>
        <w:rPr>
          <w:rFonts w:ascii="Calibri" w:cs="Calibri" w:eastAsia="Calibri" w:hAnsi="Calibri"/>
          <w:color w:val="262626"/>
          <w:sz w:val="22"/>
          <w:szCs w:val="22"/>
        </w:rPr>
        <w:t xml:space="preserve">Cloud Architecture for a Global Video Streaming Platform</w:t>
      </w:r>
    </w:p>
    <w:p>
      <w:pPr>
        <w:tabs>
          <w:tab w:val="right" w:pos="9350" w:leader="dot"/>
        </w:tabs>
        <w:spacing w:after="120"/>
      </w:pPr>
      <w:r>
        <w:rPr>
          <w:rFonts w:ascii="Calibri" w:cs="Calibri" w:eastAsia="Calibri" w:hAnsi="Calibri"/>
          <w:b/>
          <w:bCs/>
          <w:color w:val="1F3864"/>
          <w:sz w:val="22"/>
          <w:szCs w:val="22"/>
        </w:rPr>
        <w:t xml:space="preserve">2.  </w:t>
      </w:r>
      <w:r>
        <w:rPr>
          <w:rFonts w:ascii="Calibri" w:cs="Calibri" w:eastAsia="Calibri" w:hAnsi="Calibri"/>
          <w:color w:val="262626"/>
          <w:sz w:val="22"/>
          <w:szCs w:val="22"/>
        </w:rPr>
        <w:t xml:space="preserve">Multi-Cloud Container Orchestration for a Fintech Startup</w:t>
      </w:r>
    </w:p>
    <w:p>
      <w:pPr>
        <w:tabs>
          <w:tab w:val="right" w:pos="9350" w:leader="dot"/>
        </w:tabs>
        <w:spacing w:after="120"/>
      </w:pPr>
      <w:r>
        <w:rPr>
          <w:rFonts w:ascii="Calibri" w:cs="Calibri" w:eastAsia="Calibri" w:hAnsi="Calibri"/>
          <w:b/>
          <w:bCs/>
          <w:color w:val="1F3864"/>
          <w:sz w:val="22"/>
          <w:szCs w:val="22"/>
        </w:rPr>
        <w:t xml:space="preserve">3.  </w:t>
      </w:r>
      <w:r>
        <w:rPr>
          <w:rFonts w:ascii="Calibri" w:cs="Calibri" w:eastAsia="Calibri" w:hAnsi="Calibri"/>
          <w:color w:val="262626"/>
          <w:sz w:val="22"/>
          <w:szCs w:val="22"/>
        </w:rPr>
        <w:t xml:space="preserve">Backup and Disaster Recovery for an E-Learning Platform</w:t>
      </w:r>
    </w:p>
    <w:p>
      <w:pPr>
        <w:tabs>
          <w:tab w:val="right" w:pos="9350" w:leader="dot"/>
        </w:tabs>
        <w:spacing w:after="120"/>
      </w:pPr>
      <w:r>
        <w:rPr>
          <w:rFonts w:ascii="Calibri" w:cs="Calibri" w:eastAsia="Calibri" w:hAnsi="Calibri"/>
          <w:b/>
          <w:bCs/>
          <w:color w:val="1F3864"/>
          <w:sz w:val="22"/>
          <w:szCs w:val="22"/>
        </w:rPr>
        <w:t xml:space="preserve">4.  </w:t>
      </w:r>
      <w:r>
        <w:rPr>
          <w:rFonts w:ascii="Calibri" w:cs="Calibri" w:eastAsia="Calibri" w:hAnsi="Calibri"/>
          <w:color w:val="262626"/>
          <w:sz w:val="22"/>
          <w:szCs w:val="22"/>
        </w:rPr>
        <w:t xml:space="preserve">Hybrid Cloud Architecture for a Government Agency</w:t>
      </w:r>
    </w:p>
    <w:p>
      <w:pPr>
        <w:tabs>
          <w:tab w:val="right" w:pos="9350" w:leader="dot"/>
        </w:tabs>
        <w:spacing w:after="120"/>
      </w:pPr>
      <w:r>
        <w:rPr>
          <w:rFonts w:ascii="Calibri" w:cs="Calibri" w:eastAsia="Calibri" w:hAnsi="Calibri"/>
          <w:b/>
          <w:bCs/>
          <w:color w:val="1F3864"/>
          <w:sz w:val="22"/>
          <w:szCs w:val="22"/>
        </w:rPr>
        <w:t xml:space="preserve">5.  </w:t>
      </w:r>
      <w:r>
        <w:rPr>
          <w:rFonts w:ascii="Calibri" w:cs="Calibri" w:eastAsia="Calibri" w:hAnsi="Calibri"/>
          <w:color w:val="262626"/>
          <w:sz w:val="22"/>
          <w:szCs w:val="22"/>
        </w:rPr>
        <w:t xml:space="preserve">Multi-Region High Availability for a SaaS Provider</w:t>
      </w:r>
    </w:p>
    <w:p>
      <w:pPr>
        <w:pStyle w:val="Heading1"/>
        <w:pageBreakBefore/>
        <w:pBdr>
          <w:bottom w:val="single" w:color="0F766E" w:sz="8" w:space="4"/>
        </w:pBdr>
        <w:spacing w:after="160" w:before="320"/>
      </w:pPr>
      <w:r>
        <w:rPr>
          <w:rFonts w:ascii="Calibri" w:cs="Calibri" w:eastAsia="Calibri" w:hAnsi="Calibri"/>
          <w:b/>
          <w:bCs/>
          <w:color w:val="1F3864"/>
          <w:sz w:val="30"/>
          <w:szCs w:val="30"/>
        </w:rPr>
        <w:t xml:space="preserve">Question 1 : Cloud Architecture for a Global Video Streaming Platform</w:t>
      </w:r>
    </w:p>
    <w:p>
      <w:pPr>
        <w:spacing w:after="140" w:line="300"/>
        <w:jc w:val="both"/>
      </w:pPr>
      <w:r>
        <w:rPr>
          <w:rFonts w:ascii="Calibri" w:cs="Calibri" w:eastAsia="Calibri" w:hAnsi="Calibri"/>
          <w:color w:val="262626"/>
          <w:sz w:val="22"/>
          <w:szCs w:val="22"/>
        </w:rPr>
        <w:t xml:space="preserve">A media company migrating its video streaming platform to the cloud needs an architecture that stays smooth under millions of concurrent viewers, because buffering during a popular release is what drives users to a competitor. The design has to combine scalable compute, aggressive caching and cost control from the start rather than being bolted on later.</w:t>
      </w:r>
    </w:p>
    <w:p>
      <w:pPr>
        <w:keepNext/>
        <w:spacing w:after="100" w:before="220"/>
      </w:pPr>
      <w:r>
        <w:rPr>
          <w:rFonts w:ascii="Calibri" w:cs="Calibri" w:eastAsia="Calibri" w:hAnsi="Calibri"/>
          <w:b/>
          <w:bCs/>
          <w:color w:val="0F766E"/>
          <w:sz w:val="24"/>
          <w:szCs w:val="24"/>
        </w:rPr>
        <w:t xml:space="preserve">Architecture Using Scalability and Caching</w:t>
      </w:r>
    </w:p>
    <w:p>
      <w:pPr>
        <w:pStyle w:val="ListParagraph"/>
        <w:numPr>
          <w:ilvl w:val="0"/>
          <w:numId w:val="2"/>
        </w:numPr>
        <w:spacing w:after="90"/>
      </w:pPr>
      <w:r>
        <w:rPr>
          <w:rFonts w:ascii="Calibri" w:cs="Calibri" w:eastAsia="Calibri" w:hAnsi="Calibri"/>
          <w:color w:val="262626"/>
          <w:sz w:val="22"/>
          <w:szCs w:val="22"/>
        </w:rPr>
        <w:t xml:space="preserve">Video files are stored once in object storage and pushed through a Content Delivery Network, so repeat requests for the same title are served from a nearby edge cache instead of hitting the origin every time.</w:t>
      </w:r>
    </w:p>
    <w:p>
      <w:pPr>
        <w:pStyle w:val="ListParagraph"/>
        <w:numPr>
          <w:ilvl w:val="0"/>
          <w:numId w:val="2"/>
        </w:numPr>
        <w:spacing w:after="90"/>
      </w:pPr>
      <w:r>
        <w:rPr>
          <w:rFonts w:ascii="Calibri" w:cs="Calibri" w:eastAsia="Calibri" w:hAnsi="Calibri"/>
          <w:color w:val="262626"/>
          <w:sz w:val="22"/>
          <w:szCs w:val="22"/>
        </w:rPr>
        <w:t xml:space="preserve">The application tier, which handles login, recommendations and playback session logic, runs on an auto-scaling group of stateless instances behind a load balancer, so it can grow or shrink independently of the video delivery path.</w:t>
      </w:r>
    </w:p>
    <w:p>
      <w:pPr>
        <w:pStyle w:val="ListParagraph"/>
        <w:numPr>
          <w:ilvl w:val="0"/>
          <w:numId w:val="2"/>
        </w:numPr>
        <w:spacing w:after="90"/>
      </w:pPr>
      <w:r>
        <w:rPr>
          <w:rFonts w:ascii="Calibri" w:cs="Calibri" w:eastAsia="Calibri" w:hAnsi="Calibri"/>
          <w:color w:val="262626"/>
          <w:sz w:val="22"/>
          <w:szCs w:val="22"/>
        </w:rPr>
        <w:t xml:space="preserve">A distributed in-memory cache, such as Redis, sits in front of the metadata database to absorb repeated reads for popular titles, catalog data and user session state, keeping the database from becoming the bottleneck.</w:t>
      </w:r>
    </w:p>
    <w:p>
      <w:pPr>
        <w:keepNext/>
        <w:spacing w:after="100" w:before="240"/>
        <w:jc w:val="center"/>
      </w:pPr>
      <w:r>
        <w:rPr>
          <w:rFonts w:ascii="Calibri" w:cs="Calibri" w:eastAsia="Calibri" w:hAnsi="Calibri"/>
          <w:b/>
          <w:bCs/>
          <w:i/>
          <w:iCs/>
          <w:color w:val="0F766E"/>
          <w:sz w:val="20"/>
          <w:szCs w:val="20"/>
        </w:rPr>
        <w:t xml:space="preserve">Figure 1.1  Streaming Platform Architecture</w:t>
      </w:r>
    </w:p>
    <w:tbl>
      <w:tblPr>
        <w:tblW w:type="pct" w:w="100%"/>
        <w:jc w:val="center"/>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rPr>
          <w:cantSplit/>
        </w:trPr>
        <w:tc>
          <w:tcPr>
            <w:shd w:fill="FCE9D9" w:color="auto" w:val="clear"/>
            <w:tcMar>
              <w:top w:type="dxa" w:w="120"/>
              <w:left w:type="dxa" w:w="160"/>
              <w:bottom w:type="dxa" w:w="120"/>
              <w:right w:type="dxa" w:w="160"/>
            </w:tcMar>
            <w:vAlign w:val="center"/>
          </w:tcPr>
          <w:p>
            <w:pPr>
              <w:jc w:val="center"/>
            </w:pPr>
            <w:r>
              <w:rPr>
                <w:rFonts w:ascii="Calibri" w:cs="Calibri" w:eastAsia="Calibri" w:hAnsi="Calibri"/>
                <w:b/>
                <w:bCs/>
                <w:color w:val="B45309"/>
                <w:sz w:val="21"/>
                <w:szCs w:val="21"/>
              </w:rPr>
              <w:t xml:space="preserve">Viewer requests a video</w:t>
            </w:r>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rPr>
          <w:cantSplit/>
        </w:trPr>
        <w:tc>
          <w:tcPr>
            <w:shd w:fill="D9F2EE" w:color="auto" w:val="clear"/>
            <w:tcMar>
              <w:top w:type="dxa" w:w="120"/>
              <w:left w:type="dxa" w:w="160"/>
              <w:bottom w:type="dxa" w:w="120"/>
              <w:right w:type="dxa" w:w="160"/>
            </w:tcMar>
            <w:vAlign w:val="center"/>
          </w:tcPr>
          <w:p>
            <w:pPr>
              <w:jc w:val="center"/>
            </w:pPr>
            <w:r>
              <w:rPr>
                <w:rFonts w:ascii="Calibri" w:cs="Calibri" w:eastAsia="Calibri" w:hAnsi="Calibri"/>
                <w:b/>
                <w:bCs/>
                <w:color w:val="0F766E"/>
                <w:sz w:val="21"/>
                <w:szCs w:val="21"/>
              </w:rPr>
              <w:t xml:space="preserve">CDN edge cache serves the video segment if already cached</w:t>
            </w:r>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rPr>
          <w:cantSplit/>
        </w:trPr>
        <w:tc>
          <w:tcPr>
            <w:shd w:fill="DCE6F1" w:color="auto" w:val="clear"/>
            <w:tcMar>
              <w:top w:type="dxa" w:w="120"/>
              <w:left w:type="dxa" w:w="160"/>
              <w:bottom w:type="dxa" w:w="120"/>
              <w:right w:type="dxa" w:w="160"/>
            </w:tcMar>
            <w:vAlign w:val="center"/>
          </w:tcPr>
          <w:p>
            <w:pPr>
              <w:jc w:val="center"/>
            </w:pPr>
            <w:r>
              <w:rPr>
                <w:rFonts w:ascii="Calibri" w:cs="Calibri" w:eastAsia="Calibri" w:hAnsi="Calibri"/>
                <w:b/>
                <w:bCs/>
                <w:color w:val="1F3864"/>
                <w:sz w:val="21"/>
                <w:szCs w:val="21"/>
              </w:rPr>
              <w:t xml:space="preserve">Load balancer routes API and playback session requests</w:t>
            </w:r>
          </w:p>
        </w:tc>
      </w:tr>
    </w:tbl>
    <w:p>
      <w:pPr>
        <w:spacing w:after="20" w:before="20"/>
        <w:jc w:val="center"/>
      </w:pPr>
      <w:r>
        <w:rPr>
          <w:rFonts w:ascii="Calibri" w:cs="Calibri" w:eastAsia="Calibri" w:hAnsi="Calibri"/>
          <w:b/>
          <w:bCs/>
          <w:color w:val="595959"/>
          <w:sz w:val="30"/>
          <w:szCs w:val="30"/>
        </w:rPr>
        <w:t xml:space="preserve">↓</w:t>
      </w:r>
    </w:p>
    <w:tbl>
      <w:tblPr>
        <w:tblW w:type="dxa" w:w="93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rPr>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20"/>
                      <w:szCs w:val="20"/>
                    </w:rPr>
                    <w:t xml:space="preserve">Auto-Scaling App Servers</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20"/>
                      <w:szCs w:val="20"/>
                    </w:rPr>
                    <w:t xml:space="preserve">In-Memory Cache Layer</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20"/>
                      <w:szCs w:val="20"/>
                    </w:rPr>
                    <w:t xml:space="preserve">Origin Storage (cache miss only)</w:t>
                  </w:r>
                </w:p>
              </w:tc>
            </w:tr>
          </w:tbl>
          <w:p/>
        </w:tc>
      </w:tr>
    </w:tbl>
    <w:p>
      <w:pPr>
        <w:spacing w:after="260" w:before="80"/>
        <w:jc w:val="center"/>
      </w:pPr>
      <w:r>
        <w:rPr>
          <w:rFonts w:ascii="Calibri" w:cs="Calibri" w:eastAsia="Calibri" w:hAnsi="Calibri"/>
          <w:i/>
          <w:iCs/>
          <w:color w:val="595959"/>
          <w:sz w:val="19"/>
          <w:szCs w:val="19"/>
        </w:rPr>
        <w:t xml:space="preserve">Most viewer traffic is absorbed at the CDN and cache layers, leaving the origin to handle only cache misses</w:t>
      </w:r>
    </w:p>
    <w:p>
      <w:pPr>
        <w:keepNext/>
        <w:spacing w:after="100" w:before="220"/>
      </w:pPr>
      <w:r>
        <w:rPr>
          <w:rFonts w:ascii="Calibri" w:cs="Calibri" w:eastAsia="Calibri" w:hAnsi="Calibri"/>
          <w:b/>
          <w:bCs/>
          <w:color w:val="0F766E"/>
          <w:sz w:val="24"/>
          <w:szCs w:val="24"/>
        </w:rPr>
        <w:t xml:space="preserve">Load Balancing and Auto-Scaling for Smooth Streaming</w:t>
      </w:r>
    </w:p>
    <w:p>
      <w:pPr>
        <w:spacing w:after="140" w:line="300"/>
        <w:jc w:val="both"/>
      </w:pPr>
      <w:r>
        <w:rPr>
          <w:rFonts w:ascii="Calibri" w:cs="Calibri" w:eastAsia="Calibri" w:hAnsi="Calibri"/>
          <w:color w:val="262626"/>
          <w:sz w:val="22"/>
          <w:szCs w:val="22"/>
        </w:rPr>
        <w:t xml:space="preserve">The load balancer continuously health-checks every application instance and stops routing traffic to any instance that is failing, which prevents a single unhealthy server from degrading the experience for viewers assigned to it. Auto-scaling policies, driven by metrics such as CPU load and concurrent connection count, add instances ahead of a demand surge such as a new episode release, and remove them once viewership settles, so playback stays smooth without permanently over-provisioning capacity.</w:t>
      </w:r>
    </w:p>
    <w:p>
      <w:pPr>
        <w:keepNext/>
        <w:spacing w:after="100" w:before="220"/>
      </w:pPr>
      <w:r>
        <w:rPr>
          <w:rFonts w:ascii="Calibri" w:cs="Calibri" w:eastAsia="Calibri" w:hAnsi="Calibri"/>
          <w:b/>
          <w:bCs/>
          <w:color w:val="0F766E"/>
          <w:sz w:val="24"/>
          <w:szCs w:val="24"/>
        </w:rPr>
        <w:t xml:space="preserve">Cost Optimization Strategies</w:t>
      </w:r>
    </w:p>
    <w:tbl>
      <w:tblPr>
        <w:tblW w:type="dxa" w:w="9350"/>
        <w:jc w:val="center"/>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50"/>
      </w:tblGrid>
      <w:tr>
        <w:trPr>
          <w:cantSplit/>
          <w:tblHeader/>
        </w:trPr>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Strategy</w:t>
            </w:r>
          </w:p>
        </w:tc>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Effect</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CDN caching</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Reduces origin bandwidth and compute cost by serving most requests from the edge.</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Auto-scaling with scale-in</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Pays for peak app server capacity only while the surge is actually happening.</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Storage tiering</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Moves rarely watched titles to a cheaper archival storage tier automatically.</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Spot or reserved instances</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Uses lower-cost compute for predictable baseline load, reserving on-demand for spikes.</w:t>
            </w:r>
          </w:p>
        </w:tc>
      </w:tr>
    </w:tbl>
    <w:p>
      <w:pPr>
        <w:spacing w:after="260" w:before="80"/>
        <w:jc w:val="center"/>
      </w:pPr>
      <w:r>
        <w:rPr>
          <w:rFonts w:ascii="Calibri" w:cs="Calibri" w:eastAsia="Calibri" w:hAnsi="Calibri"/>
          <w:i/>
          <w:iCs/>
          <w:color w:val="595959"/>
          <w:sz w:val="19"/>
          <w:szCs w:val="19"/>
        </w:rPr>
        <w:t xml:space="preserve">Table 1.1  Cost optimization strategies for a high-demand streaming workload</w:t>
      </w:r>
    </w:p>
    <w:p>
      <w:pPr>
        <w:pStyle w:val="Heading1"/>
        <w:pageBreakBefore/>
        <w:pBdr>
          <w:bottom w:val="single" w:color="0F766E" w:sz="8" w:space="4"/>
        </w:pBdr>
        <w:spacing w:after="160" w:before="320"/>
      </w:pPr>
      <w:r>
        <w:rPr>
          <w:rFonts w:ascii="Calibri" w:cs="Calibri" w:eastAsia="Calibri" w:hAnsi="Calibri"/>
          <w:b/>
          <w:bCs/>
          <w:color w:val="1F3864"/>
          <w:sz w:val="30"/>
          <w:szCs w:val="30"/>
        </w:rPr>
        <w:t xml:space="preserve">Question 2 : Multi-Cloud Container Orchestration for a Fintech Startup</w:t>
      </w:r>
    </w:p>
    <w:p>
      <w:pPr>
        <w:spacing w:after="140" w:line="300"/>
        <w:jc w:val="both"/>
      </w:pPr>
      <w:r>
        <w:rPr>
          <w:rFonts w:ascii="Calibri" w:cs="Calibri" w:eastAsia="Calibri" w:hAnsi="Calibri"/>
          <w:color w:val="262626"/>
          <w:sz w:val="22"/>
          <w:szCs w:val="22"/>
        </w:rPr>
        <w:t xml:space="preserve">A fintech startup running containers across multiple cloud providers runs into the same problem repeatedly: an application deployed and configured slightly differently on each provider drifts out of consistency, and tracking deployments across separate consoles becomes unmanageable. Container orchestration paired with a defined multi-cloud strategy addresses both problems directly.</w:t>
      </w:r>
    </w:p>
    <w:p>
      <w:pPr>
        <w:keepNext/>
        <w:spacing w:after="100" w:before="220"/>
      </w:pPr>
      <w:r>
        <w:rPr>
          <w:rFonts w:ascii="Calibri" w:cs="Calibri" w:eastAsia="Calibri" w:hAnsi="Calibri"/>
          <w:b/>
          <w:bCs/>
          <w:color w:val="0F766E"/>
          <w:sz w:val="24"/>
          <w:szCs w:val="24"/>
        </w:rPr>
        <w:t xml:space="preserve">Proposed Solution</w:t>
      </w:r>
    </w:p>
    <w:p>
      <w:pPr>
        <w:pStyle w:val="ListParagraph"/>
        <w:numPr>
          <w:ilvl w:val="0"/>
          <w:numId w:val="2"/>
        </w:numPr>
        <w:spacing w:after="90"/>
      </w:pPr>
      <w:r>
        <w:rPr>
          <w:rFonts w:ascii="Calibri" w:cs="Calibri" w:eastAsia="Calibri" w:hAnsi="Calibri"/>
          <w:color w:val="262626"/>
          <w:sz w:val="22"/>
          <w:szCs w:val="22"/>
        </w:rPr>
        <w:t xml:space="preserve">Standardize every application as a container image built once and deployed unchanged to any provider, removing the environment-specific configuration that causes drift.</w:t>
      </w:r>
    </w:p>
    <w:p>
      <w:pPr>
        <w:pStyle w:val="ListParagraph"/>
        <w:numPr>
          <w:ilvl w:val="0"/>
          <w:numId w:val="2"/>
        </w:numPr>
        <w:spacing w:after="90"/>
      </w:pPr>
      <w:r>
        <w:rPr>
          <w:rFonts w:ascii="Calibri" w:cs="Calibri" w:eastAsia="Calibri" w:hAnsi="Calibri"/>
          <w:color w:val="262626"/>
          <w:sz w:val="22"/>
          <w:szCs w:val="22"/>
        </w:rPr>
        <w:t xml:space="preserve">Run Kubernetes as the orchestration layer on each cloud, so the same deployment manifests, scaling rules and health checks apply identically regardless of which provider is hosting a given cluster.</w:t>
      </w:r>
    </w:p>
    <w:p>
      <w:pPr>
        <w:pStyle w:val="ListParagraph"/>
        <w:numPr>
          <w:ilvl w:val="0"/>
          <w:numId w:val="2"/>
        </w:numPr>
        <w:spacing w:after="90"/>
      </w:pPr>
      <w:r>
        <w:rPr>
          <w:rFonts w:ascii="Calibri" w:cs="Calibri" w:eastAsia="Calibri" w:hAnsi="Calibri"/>
          <w:color w:val="262626"/>
          <w:sz w:val="22"/>
          <w:szCs w:val="22"/>
        </w:rPr>
        <w:t xml:space="preserve">Use a centralized GitOps pipeline, where deployment configuration is stored in one repository and automatically applied to every cluster, so a change is made once and rolled out consistently everywhere.</w:t>
      </w:r>
    </w:p>
    <w:p>
      <w:pPr>
        <w:keepNext/>
        <w:spacing w:after="100" w:before="240"/>
        <w:jc w:val="center"/>
      </w:pPr>
      <w:r>
        <w:rPr>
          <w:rFonts w:ascii="Calibri" w:cs="Calibri" w:eastAsia="Calibri" w:hAnsi="Calibri"/>
          <w:b/>
          <w:bCs/>
          <w:i/>
          <w:iCs/>
          <w:color w:val="0F766E"/>
          <w:sz w:val="20"/>
          <w:szCs w:val="20"/>
        </w:rPr>
        <w:t xml:space="preserve">Figure 2.1  Multi-Cloud Container Orchestration</w:t>
      </w:r>
    </w:p>
    <w:tbl>
      <w:tblPr>
        <w:tblW w:type="pct" w:w="100%"/>
        <w:jc w:val="center"/>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rPr>
          <w:cantSplit/>
        </w:trPr>
        <w:tc>
          <w:tcPr>
            <w:shd w:fill="DCE6F1" w:color="auto" w:val="clear"/>
            <w:tcMar>
              <w:top w:type="dxa" w:w="120"/>
              <w:left w:type="dxa" w:w="160"/>
              <w:bottom w:type="dxa" w:w="120"/>
              <w:right w:type="dxa" w:w="160"/>
            </w:tcMar>
            <w:vAlign w:val="center"/>
          </w:tcPr>
          <w:p>
            <w:pPr>
              <w:jc w:val="center"/>
            </w:pPr>
            <w:r>
              <w:rPr>
                <w:rFonts w:ascii="Calibri" w:cs="Calibri" w:eastAsia="Calibri" w:hAnsi="Calibri"/>
                <w:b/>
                <w:bCs/>
                <w:color w:val="1F3864"/>
                <w:sz w:val="21"/>
                <w:szCs w:val="21"/>
              </w:rPr>
              <w:t xml:space="preserve">Container image built once from a single source pipeline</w:t>
            </w:r>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rPr>
          <w:cantSplit/>
        </w:trPr>
        <w:tc>
          <w:tcPr>
            <w:shd w:fill="D9F2EE" w:color="auto" w:val="clear"/>
            <w:tcMar>
              <w:top w:type="dxa" w:w="120"/>
              <w:left w:type="dxa" w:w="160"/>
              <w:bottom w:type="dxa" w:w="120"/>
              <w:right w:type="dxa" w:w="160"/>
            </w:tcMar>
            <w:vAlign w:val="center"/>
          </w:tcPr>
          <w:p>
            <w:pPr>
              <w:jc w:val="center"/>
            </w:pPr>
            <w:r>
              <w:rPr>
                <w:rFonts w:ascii="Calibri" w:cs="Calibri" w:eastAsia="Calibri" w:hAnsi="Calibri"/>
                <w:b/>
                <w:bCs/>
                <w:color w:val="0F766E"/>
                <w:sz w:val="21"/>
                <w:szCs w:val="21"/>
              </w:rPr>
              <w:t xml:space="preserve">GitOps pipeline applies the same deployment manifest to every cluster</w:t>
            </w:r>
          </w:p>
        </w:tc>
      </w:tr>
    </w:tbl>
    <w:p>
      <w:pPr>
        <w:spacing w:after="20" w:before="20"/>
        <w:jc w:val="center"/>
      </w:pPr>
      <w:r>
        <w:rPr>
          <w:rFonts w:ascii="Calibri" w:cs="Calibri" w:eastAsia="Calibri" w:hAnsi="Calibri"/>
          <w:b/>
          <w:bCs/>
          <w:color w:val="595959"/>
          <w:sz w:val="30"/>
          <w:szCs w:val="30"/>
        </w:rPr>
        <w:t xml:space="preserve">↓</w:t>
      </w:r>
    </w:p>
    <w:tbl>
      <w:tblPr>
        <w:tblW w:type="dxa" w:w="93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rPr>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19"/>
                      <w:szCs w:val="19"/>
                    </w:rPr>
                    <w:t xml:space="preserve">Kubernetes Cluster
Cloud Provider A</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19"/>
                      <w:szCs w:val="19"/>
                    </w:rPr>
                    <w:t xml:space="preserve">Kubernetes Cluster
Cloud Provider B</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19"/>
                      <w:szCs w:val="19"/>
                    </w:rPr>
                    <w:t xml:space="preserve">Kubernetes Cluster
Cloud Provider C</w:t>
                  </w:r>
                </w:p>
              </w:tc>
            </w:tr>
          </w:tbl>
          <w:p/>
        </w:tc>
      </w:tr>
    </w:tbl>
    <w:p>
      <w:pPr>
        <w:spacing w:after="260" w:before="80"/>
        <w:jc w:val="center"/>
      </w:pPr>
      <w:r>
        <w:rPr>
          <w:rFonts w:ascii="Calibri" w:cs="Calibri" w:eastAsia="Calibri" w:hAnsi="Calibri"/>
          <w:i/>
          <w:iCs/>
          <w:color w:val="595959"/>
          <w:sz w:val="19"/>
          <w:szCs w:val="19"/>
        </w:rPr>
        <w:t xml:space="preserve">The same image and manifest reach every provider identically, removing configuration drift</w:t>
      </w:r>
    </w:p>
    <w:p>
      <w:pPr>
        <w:keepNext/>
        <w:spacing w:after="100" w:before="220"/>
      </w:pPr>
      <w:r>
        <w:rPr>
          <w:rFonts w:ascii="Calibri" w:cs="Calibri" w:eastAsia="Calibri" w:hAnsi="Calibri"/>
          <w:b/>
          <w:bCs/>
          <w:color w:val="0F766E"/>
          <w:sz w:val="24"/>
          <w:szCs w:val="24"/>
        </w:rPr>
        <w:t xml:space="preserve">Service Discovery and Scaling</w:t>
      </w:r>
    </w:p>
    <w:p>
      <w:pPr>
        <w:spacing w:after="140" w:line="300"/>
        <w:jc w:val="both"/>
      </w:pPr>
      <w:r>
        <w:rPr>
          <w:rFonts w:ascii="Calibri" w:cs="Calibri" w:eastAsia="Calibri" w:hAnsi="Calibri"/>
          <w:color w:val="262626"/>
          <w:sz w:val="22"/>
          <w:szCs w:val="22"/>
        </w:rPr>
        <w:t xml:space="preserve">Within each cluster, Kubernetes handles service discovery natively, giving every service a stable internal name that other services call regardless of which pod or node is actually serving the request. Across clusters, a service mesh or multi-cluster gateway extends this so a service in one cloud can reach a service in another when needed. Scaling is handled by the Horizontal Pod Autoscaler within each cluster, which adds or removes container replicas based on CPU or custom metrics such as request latency, applied consistently across every provider.</w:t>
      </w:r>
    </w:p>
    <w:p>
      <w:pPr>
        <w:keepNext/>
        <w:spacing w:after="100" w:before="220"/>
      </w:pPr>
      <w:r>
        <w:rPr>
          <w:rFonts w:ascii="Calibri" w:cs="Calibri" w:eastAsia="Calibri" w:hAnsi="Calibri"/>
          <w:b/>
          <w:bCs/>
          <w:color w:val="0F766E"/>
          <w:sz w:val="24"/>
          <w:szCs w:val="24"/>
        </w:rPr>
        <w:t xml:space="preserve">Benefits and Risks of a Multi-Cloud Model</w:t>
      </w:r>
    </w:p>
    <w:tbl>
      <w:tblPr>
        <w:tblW w:type="dxa" w:w="9350"/>
        <w:jc w:val="center"/>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3675"/>
        <w:gridCol w:w="3675"/>
      </w:tblGrid>
      <w:tr>
        <w:trPr>
          <w:cantSplit/>
          <w:tblHeader/>
        </w:trPr>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Aspect</w:t>
            </w:r>
          </w:p>
        </w:tc>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Benefit</w:t>
            </w:r>
          </w:p>
        </w:tc>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Risk</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Vendor dependency</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Avoids being locked into a single provider's pricing or roadmap</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Adds the operational overhead of managing several providers at once</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Resilience</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A regional or provider-wide outage does not take down the whole platform</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Cross-cloud networking and failover must be tested, not assumed to work</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Compliance</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Workloads can be placed in the region or provider that meets a specific regulation</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Data residency rules must be tracked separately for each provider</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Cost</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Workloads can be shifted to whichever provider is cheaper for a given task</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Cross-cloud data transfer charges can offset the savings if not monitored</w:t>
            </w:r>
          </w:p>
        </w:tc>
      </w:tr>
    </w:tbl>
    <w:p>
      <w:pPr>
        <w:spacing w:after="260" w:before="80"/>
        <w:jc w:val="center"/>
      </w:pPr>
      <w:r>
        <w:rPr>
          <w:rFonts w:ascii="Calibri" w:cs="Calibri" w:eastAsia="Calibri" w:hAnsi="Calibri"/>
          <w:i/>
          <w:iCs/>
          <w:color w:val="595959"/>
          <w:sz w:val="19"/>
          <w:szCs w:val="19"/>
        </w:rPr>
        <w:t xml:space="preserve">Table 2.1  Benefits and risks the startup should weigh in a multi-cloud deployment</w:t>
      </w:r>
    </w:p>
    <w:p>
      <w:pPr>
        <w:pStyle w:val="Heading1"/>
        <w:pageBreakBefore/>
        <w:pBdr>
          <w:bottom w:val="single" w:color="0F766E" w:sz="8" w:space="4"/>
        </w:pBdr>
        <w:spacing w:after="160" w:before="320"/>
      </w:pPr>
      <w:r>
        <w:rPr>
          <w:rFonts w:ascii="Calibri" w:cs="Calibri" w:eastAsia="Calibri" w:hAnsi="Calibri"/>
          <w:b/>
          <w:bCs/>
          <w:color w:val="1F3864"/>
          <w:sz w:val="30"/>
          <w:szCs w:val="30"/>
        </w:rPr>
        <w:t xml:space="preserve">Question 3 : Backup and Disaster Recovery for an E-Learning Platform</w:t>
      </w:r>
    </w:p>
    <w:p>
      <w:pPr>
        <w:spacing w:after="140" w:line="300"/>
        <w:jc w:val="both"/>
      </w:pPr>
      <w:r>
        <w:rPr>
          <w:rFonts w:ascii="Calibri" w:cs="Calibri" w:eastAsia="Calibri" w:hAnsi="Calibri"/>
          <w:color w:val="262626"/>
          <w:sz w:val="22"/>
          <w:szCs w:val="22"/>
        </w:rPr>
        <w:t xml:space="preserve">An e-learning platform that loses data to an accidental deletion has a gap between what was protected and what was actually recoverable at the moment it mattered. A cloud-native backup and disaster recovery design closes that gap by making recovery a routine, tested process instead of a scramble.</w:t>
      </w:r>
    </w:p>
    <w:p>
      <w:pPr>
        <w:keepNext/>
        <w:spacing w:after="100" w:before="220"/>
      </w:pPr>
      <w:r>
        <w:rPr>
          <w:rFonts w:ascii="Calibri" w:cs="Calibri" w:eastAsia="Calibri" w:hAnsi="Calibri"/>
          <w:b/>
          <w:bCs/>
          <w:color w:val="0F766E"/>
          <w:sz w:val="24"/>
          <w:szCs w:val="24"/>
        </w:rPr>
        <w:t xml:space="preserve">Solution Design</w:t>
      </w:r>
    </w:p>
    <w:p>
      <w:pPr>
        <w:pStyle w:val="ListParagraph"/>
        <w:numPr>
          <w:ilvl w:val="0"/>
          <w:numId w:val="2"/>
        </w:numPr>
        <w:spacing w:after="90"/>
      </w:pPr>
      <w:r>
        <w:rPr>
          <w:rFonts w:ascii="Calibri" w:cs="Calibri" w:eastAsia="Calibri" w:hAnsi="Calibri"/>
          <w:color w:val="262626"/>
          <w:sz w:val="22"/>
          <w:szCs w:val="22"/>
        </w:rPr>
        <w:t xml:space="preserve">Automated, scheduled snapshots of the databases and file storage that hold course content, student records and progress data, taken frequently enough that a restore loses only a small, acceptable window of activity.</w:t>
      </w:r>
    </w:p>
    <w:p>
      <w:pPr>
        <w:pStyle w:val="ListParagraph"/>
        <w:numPr>
          <w:ilvl w:val="0"/>
          <w:numId w:val="2"/>
        </w:numPr>
        <w:spacing w:after="90"/>
      </w:pPr>
      <w:r>
        <w:rPr>
          <w:rFonts w:ascii="Calibri" w:cs="Calibri" w:eastAsia="Calibri" w:hAnsi="Calibri"/>
          <w:color w:val="262626"/>
          <w:sz w:val="22"/>
          <w:szCs w:val="22"/>
        </w:rPr>
        <w:t xml:space="preserve">Cross-region replication of both the live data and the backups, so a regional outage or a corrupted primary copy does not also take out the only backup.</w:t>
      </w:r>
    </w:p>
    <w:p>
      <w:pPr>
        <w:pStyle w:val="ListParagraph"/>
        <w:numPr>
          <w:ilvl w:val="0"/>
          <w:numId w:val="2"/>
        </w:numPr>
        <w:spacing w:after="90"/>
      </w:pPr>
      <w:r>
        <w:rPr>
          <w:rFonts w:ascii="Calibri" w:cs="Calibri" w:eastAsia="Calibri" w:hAnsi="Calibri"/>
          <w:color w:val="262626"/>
          <w:sz w:val="22"/>
          <w:szCs w:val="22"/>
        </w:rPr>
        <w:t xml:space="preserve">Object versioning enabled on file storage, so an accidental deletion or overwrite can be undone by restoring the previous version directly, without needing a full backup restore for a single file.</w:t>
      </w:r>
    </w:p>
    <w:p>
      <w:pPr>
        <w:pStyle w:val="ListParagraph"/>
        <w:numPr>
          <w:ilvl w:val="0"/>
          <w:numId w:val="2"/>
        </w:numPr>
        <w:spacing w:after="90"/>
      </w:pPr>
      <w:r>
        <w:rPr>
          <w:rFonts w:ascii="Calibri" w:cs="Calibri" w:eastAsia="Calibri" w:hAnsi="Calibri"/>
          <w:color w:val="262626"/>
          <w:sz w:val="22"/>
          <w:szCs w:val="22"/>
        </w:rPr>
        <w:t xml:space="preserve">Soft-delete and a retention window on deletions, so a deleted item remains recoverable for a defined period before it is permanently purged.</w:t>
      </w:r>
    </w:p>
    <w:p>
      <w:pPr>
        <w:keepNext/>
        <w:spacing w:after="100" w:before="240"/>
        <w:jc w:val="center"/>
      </w:pPr>
      <w:r>
        <w:rPr>
          <w:rFonts w:ascii="Calibri" w:cs="Calibri" w:eastAsia="Calibri" w:hAnsi="Calibri"/>
          <w:b/>
          <w:bCs/>
          <w:i/>
          <w:iCs/>
          <w:color w:val="0F766E"/>
          <w:sz w:val="20"/>
          <w:szCs w:val="20"/>
        </w:rPr>
        <w:t xml:space="preserve">Figure 3.1  Cloud-Native Backup and Recovery Flow</w:t>
      </w:r>
    </w:p>
    <w:tbl>
      <w:tblPr>
        <w:tblW w:type="pct" w:w="100%"/>
        <w:jc w:val="center"/>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rPr>
          <w:cantSplit/>
        </w:trPr>
        <w:tc>
          <w:tcPr>
            <w:shd w:fill="DCE6F1" w:color="auto" w:val="clear"/>
            <w:tcMar>
              <w:top w:type="dxa" w:w="120"/>
              <w:left w:type="dxa" w:w="160"/>
              <w:bottom w:type="dxa" w:w="120"/>
              <w:right w:type="dxa" w:w="160"/>
            </w:tcMar>
            <w:vAlign w:val="center"/>
          </w:tcPr>
          <w:p>
            <w:pPr>
              <w:jc w:val="center"/>
            </w:pPr>
            <w:r>
              <w:rPr>
                <w:rFonts w:ascii="Calibri" w:cs="Calibri" w:eastAsia="Calibri" w:hAnsi="Calibri"/>
                <w:b/>
                <w:bCs/>
                <w:color w:val="1F3864"/>
                <w:sz w:val="21"/>
                <w:szCs w:val="21"/>
              </w:rPr>
              <w:t xml:space="preserve">Live data: courses, records, student progress</w:t>
            </w:r>
          </w:p>
        </w:tc>
      </w:tr>
    </w:tbl>
    <w:p>
      <w:pPr>
        <w:spacing w:after="20" w:before="20"/>
        <w:jc w:val="center"/>
      </w:pPr>
      <w:r>
        <w:rPr>
          <w:rFonts w:ascii="Calibri" w:cs="Calibri" w:eastAsia="Calibri" w:hAnsi="Calibri"/>
          <w:b/>
          <w:bCs/>
          <w:color w:val="595959"/>
          <w:sz w:val="30"/>
          <w:szCs w:val="30"/>
        </w:rPr>
        <w:t xml:space="preserve">↓</w:t>
      </w:r>
    </w:p>
    <w:tbl>
      <w:tblPr>
        <w:tblW w:type="dxa" w:w="93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rPr>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rPr>
                <w:cantSplit/>
              </w:trPr>
              <w:tc>
                <w:tcPr>
                  <w:shd w:fill="D9F2EE" w:color="auto" w:val="clear"/>
                  <w:tcMar>
                    <w:top w:type="dxa" w:w="120"/>
                    <w:left w:type="dxa" w:w="160"/>
                    <w:bottom w:type="dxa" w:w="120"/>
                    <w:right w:type="dxa" w:w="160"/>
                  </w:tcMar>
                  <w:vAlign w:val="center"/>
                </w:tcPr>
                <w:p>
                  <w:pPr>
                    <w:jc w:val="center"/>
                  </w:pPr>
                  <w:r>
                    <w:rPr>
                      <w:rFonts w:ascii="Calibri" w:cs="Calibri" w:eastAsia="Calibri" w:hAnsi="Calibri"/>
                      <w:b/>
                      <w:bCs/>
                      <w:color w:val="0F766E"/>
                      <w:sz w:val="20"/>
                      <w:szCs w:val="20"/>
                    </w:rPr>
                    <w:t xml:space="preserve">Scheduled Snapshots</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rPr>
                <w:cantSplit/>
              </w:trPr>
              <w:tc>
                <w:tcPr>
                  <w:shd w:fill="D9F2EE" w:color="auto" w:val="clear"/>
                  <w:tcMar>
                    <w:top w:type="dxa" w:w="120"/>
                    <w:left w:type="dxa" w:w="160"/>
                    <w:bottom w:type="dxa" w:w="120"/>
                    <w:right w:type="dxa" w:w="160"/>
                  </w:tcMar>
                  <w:vAlign w:val="center"/>
                </w:tcPr>
                <w:p>
                  <w:pPr>
                    <w:jc w:val="center"/>
                  </w:pPr>
                  <w:r>
                    <w:rPr>
                      <w:rFonts w:ascii="Calibri" w:cs="Calibri" w:eastAsia="Calibri" w:hAnsi="Calibri"/>
                      <w:b/>
                      <w:bCs/>
                      <w:color w:val="0F766E"/>
                      <w:sz w:val="20"/>
                      <w:szCs w:val="20"/>
                    </w:rPr>
                    <w:t xml:space="preserve">Object Versioning</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rPr>
                <w:cantSplit/>
              </w:trPr>
              <w:tc>
                <w:tcPr>
                  <w:shd w:fill="D9F2EE" w:color="auto" w:val="clear"/>
                  <w:tcMar>
                    <w:top w:type="dxa" w:w="120"/>
                    <w:left w:type="dxa" w:w="160"/>
                    <w:bottom w:type="dxa" w:w="120"/>
                    <w:right w:type="dxa" w:w="160"/>
                  </w:tcMar>
                  <w:vAlign w:val="center"/>
                </w:tcPr>
                <w:p>
                  <w:pPr>
                    <w:jc w:val="center"/>
                  </w:pPr>
                  <w:r>
                    <w:rPr>
                      <w:rFonts w:ascii="Calibri" w:cs="Calibri" w:eastAsia="Calibri" w:hAnsi="Calibri"/>
                      <w:b/>
                      <w:bCs/>
                      <w:color w:val="0F766E"/>
                      <w:sz w:val="20"/>
                      <w:szCs w:val="20"/>
                    </w:rPr>
                    <w:t xml:space="preserve">Cross-Region Replica</w:t>
                  </w:r>
                </w:p>
              </w:tc>
            </w:tr>
          </w:tbl>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21"/>
                <w:szCs w:val="21"/>
              </w:rPr>
              <w:t xml:space="preserve">Restore point selected and data recovered to the last consistent state</w:t>
            </w:r>
          </w:p>
        </w:tc>
      </w:tr>
    </w:tbl>
    <w:p>
      <w:pPr>
        <w:spacing w:after="260" w:before="80"/>
        <w:jc w:val="center"/>
      </w:pPr>
      <w:r>
        <w:rPr>
          <w:rFonts w:ascii="Calibri" w:cs="Calibri" w:eastAsia="Calibri" w:hAnsi="Calibri"/>
          <w:i/>
          <w:iCs/>
          <w:color w:val="595959"/>
          <w:sz w:val="19"/>
          <w:szCs w:val="19"/>
        </w:rPr>
        <w:t xml:space="preserve">Three independent recovery paths cover accidental deletion, corruption and regional outage</w:t>
      </w:r>
    </w:p>
    <w:p>
      <w:pPr>
        <w:keepNext/>
        <w:spacing w:after="100" w:before="220"/>
      </w:pPr>
      <w:r>
        <w:rPr>
          <w:rFonts w:ascii="Calibri" w:cs="Calibri" w:eastAsia="Calibri" w:hAnsi="Calibri"/>
          <w:b/>
          <w:bCs/>
          <w:color w:val="0F766E"/>
          <w:sz w:val="24"/>
          <w:szCs w:val="24"/>
        </w:rPr>
        <w:t xml:space="preserve">Achieving RTO and RPO Targets</w:t>
      </w:r>
    </w:p>
    <w:p>
      <w:pPr>
        <w:spacing w:after="140" w:line="300"/>
        <w:jc w:val="both"/>
      </w:pPr>
      <w:r>
        <w:rPr>
          <w:rFonts w:ascii="Calibri" w:cs="Calibri" w:eastAsia="Calibri" w:hAnsi="Calibri"/>
          <w:color w:val="262626"/>
          <w:sz w:val="22"/>
          <w:szCs w:val="22"/>
        </w:rPr>
        <w:t xml:space="preserve">Recovery Point Objective (RPO) is achieved by setting the snapshot and replication frequency to match how much data the platform can afford to lose, for example a fifteen minute RPO requires snapshots or continuous replication at that interval, not a nightly backup. Recovery Time Objective (RTO) is achieved by keeping a warm standby environment or automated restore scripts ready in advance, so recovery is a matter of triggering a pre-built process rather than provisioning infrastructure from scratch after the failure has already happened.</w:t>
      </w:r>
    </w:p>
    <w:p>
      <w:pPr>
        <w:keepNext/>
        <w:spacing w:after="100" w:before="220"/>
      </w:pPr>
      <w:r>
        <w:rPr>
          <w:rFonts w:ascii="Calibri" w:cs="Calibri" w:eastAsia="Calibri" w:hAnsi="Calibri"/>
          <w:b/>
          <w:bCs/>
          <w:color w:val="0F766E"/>
          <w:sz w:val="24"/>
          <w:szCs w:val="24"/>
        </w:rPr>
        <w:t xml:space="preserve">Steps to Ensure Business Continuity</w:t>
      </w:r>
    </w:p>
    <w:tbl>
      <w:tblPr>
        <w:tblW w:type="dxa" w:w="9350"/>
        <w:jc w:val="center"/>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50"/>
      </w:tblGrid>
      <w:tr>
        <w:trPr>
          <w:cantSplit/>
          <w:tblHeader/>
        </w:trPr>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Step</w:t>
            </w:r>
          </w:p>
        </w:tc>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Purpose</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Define RTO and RPO per data type</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Course content, grades and payment data may need different recovery targets.</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Automate backup and replication</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Removes reliance on a person remembering to run a manual backup.</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Run regular restore drills</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Confirms the backup actually restores successfully before a real incident forces the test.</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Document a recovery runbook</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Gives the team a clear, rehearsed sequence of steps during an actual outage.</w:t>
            </w:r>
          </w:p>
        </w:tc>
      </w:tr>
    </w:tbl>
    <w:p>
      <w:pPr>
        <w:spacing w:after="260" w:before="80"/>
        <w:jc w:val="center"/>
      </w:pPr>
      <w:r>
        <w:rPr>
          <w:rFonts w:ascii="Calibri" w:cs="Calibri" w:eastAsia="Calibri" w:hAnsi="Calibri"/>
          <w:i/>
          <w:iCs/>
          <w:color w:val="595959"/>
          <w:sz w:val="19"/>
          <w:szCs w:val="19"/>
        </w:rPr>
        <w:t xml:space="preserve">Table 3.1  Steps supporting continuous platform availability during a failure</w:t>
      </w:r>
    </w:p>
    <w:p>
      <w:pPr>
        <w:pStyle w:val="Heading1"/>
        <w:pageBreakBefore/>
        <w:pBdr>
          <w:bottom w:val="single" w:color="0F766E" w:sz="8" w:space="4"/>
        </w:pBdr>
        <w:spacing w:after="160" w:before="320"/>
      </w:pPr>
      <w:r>
        <w:rPr>
          <w:rFonts w:ascii="Calibri" w:cs="Calibri" w:eastAsia="Calibri" w:hAnsi="Calibri"/>
          <w:b/>
          <w:bCs/>
          <w:color w:val="1F3864"/>
          <w:sz w:val="30"/>
          <w:szCs w:val="30"/>
        </w:rPr>
        <w:t xml:space="preserve">Question 4 : Hybrid Cloud Architecture for a Government Agency</w:t>
      </w:r>
    </w:p>
    <w:p>
      <w:pPr>
        <w:spacing w:after="140" w:line="300"/>
        <w:jc w:val="both"/>
      </w:pPr>
      <w:r>
        <w:rPr>
          <w:rFonts w:ascii="Calibri" w:cs="Calibri" w:eastAsia="Calibri" w:hAnsi="Calibri"/>
          <w:color w:val="262626"/>
          <w:sz w:val="22"/>
          <w:szCs w:val="22"/>
        </w:rPr>
        <w:t xml:space="preserve">A government agency adopting a hybrid cloud model is drawing a line between data that can move to the cloud and data that compliance rules require to stay on-premises. The architecture has to keep that line firm while still letting the two environments work together as one system.</w:t>
      </w:r>
    </w:p>
    <w:p>
      <w:pPr>
        <w:keepNext/>
        <w:spacing w:after="100" w:before="220"/>
      </w:pPr>
      <w:r>
        <w:rPr>
          <w:rFonts w:ascii="Calibri" w:cs="Calibri" w:eastAsia="Calibri" w:hAnsi="Calibri"/>
          <w:b/>
          <w:bCs/>
          <w:color w:val="0F766E"/>
          <w:sz w:val="24"/>
          <w:szCs w:val="24"/>
        </w:rPr>
        <w:t xml:space="preserve">Hybrid Architecture Design</w:t>
      </w:r>
    </w:p>
    <w:p>
      <w:pPr>
        <w:pStyle w:val="ListParagraph"/>
        <w:numPr>
          <w:ilvl w:val="0"/>
          <w:numId w:val="2"/>
        </w:numPr>
        <w:spacing w:after="90"/>
      </w:pPr>
      <w:r>
        <w:rPr>
          <w:rFonts w:ascii="Calibri" w:cs="Calibri" w:eastAsia="Calibri" w:hAnsi="Calibri"/>
          <w:color w:val="262626"/>
          <w:sz w:val="22"/>
          <w:szCs w:val="22"/>
        </w:rPr>
        <w:t xml:space="preserve">Sensitive workloads and regulated data remain on-premises, where the agency retains full physical and administrative control needed to satisfy compliance requirements.</w:t>
      </w:r>
    </w:p>
    <w:p>
      <w:pPr>
        <w:pStyle w:val="ListParagraph"/>
        <w:numPr>
          <w:ilvl w:val="0"/>
          <w:numId w:val="2"/>
        </w:numPr>
        <w:spacing w:after="90"/>
      </w:pPr>
      <w:r>
        <w:rPr>
          <w:rFonts w:ascii="Calibri" w:cs="Calibri" w:eastAsia="Calibri" w:hAnsi="Calibri"/>
          <w:color w:val="262626"/>
          <w:sz w:val="22"/>
          <w:szCs w:val="22"/>
        </w:rPr>
        <w:t xml:space="preserve">Non-sensitive workloads, such as public-facing citizen services and general compute, run in the cloud, where they benefit from elastic scaling and lower operating cost.</w:t>
      </w:r>
    </w:p>
    <w:p>
      <w:pPr>
        <w:pStyle w:val="ListParagraph"/>
        <w:numPr>
          <w:ilvl w:val="0"/>
          <w:numId w:val="2"/>
        </w:numPr>
        <w:spacing w:after="90"/>
      </w:pPr>
      <w:r>
        <w:rPr>
          <w:rFonts w:ascii="Calibri" w:cs="Calibri" w:eastAsia="Calibri" w:hAnsi="Calibri"/>
          <w:color w:val="262626"/>
          <w:sz w:val="22"/>
          <w:szCs w:val="22"/>
        </w:rPr>
        <w:t xml:space="preserve">A dedicated private connection, such as a site-to-site VPN or a direct interconnect, links the two environments so traffic between them never traverses the public internet unencrypted.</w:t>
      </w:r>
    </w:p>
    <w:p>
      <w:pPr>
        <w:keepNext/>
        <w:spacing w:after="100" w:before="240"/>
        <w:jc w:val="center"/>
      </w:pPr>
      <w:r>
        <w:rPr>
          <w:rFonts w:ascii="Calibri" w:cs="Calibri" w:eastAsia="Calibri" w:hAnsi="Calibri"/>
          <w:b/>
          <w:bCs/>
          <w:i/>
          <w:iCs/>
          <w:color w:val="0F766E"/>
          <w:sz w:val="20"/>
          <w:szCs w:val="20"/>
        </w:rPr>
        <w:t xml:space="preserve">Figure 4.1  Hybrid Cloud Architecture</w:t>
      </w:r>
    </w:p>
    <w:tbl>
      <w:tblPr>
        <w:tblW w:type="dxa" w:w="93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rPr>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B22222" w:sz="4"/>
                <w:left w:val="single" w:color="B22222" w:sz="4"/>
                <w:bottom w:val="single" w:color="B22222" w:sz="4"/>
                <w:right w:val="single" w:color="B22222" w:sz="4"/>
                <w:insideH w:val="none" w:color="FFFFFF" w:sz="0"/>
                <w:insideV w:val="none" w:color="FFFFFF" w:sz="0"/>
              </w:tblBorders>
            </w:tblPr>
            <w:tblGrid>
              <w:gridCol w:w="100"/>
            </w:tblGrid>
            <w:tr>
              <w:trPr>
                <w:cantSplit/>
              </w:trPr>
              <w:tc>
                <w:tcPr>
                  <w:shd w:fill="FBE3E1" w:color="auto" w:val="clear"/>
                  <w:tcMar>
                    <w:top w:type="dxa" w:w="120"/>
                    <w:left w:type="dxa" w:w="160"/>
                    <w:bottom w:type="dxa" w:w="120"/>
                    <w:right w:type="dxa" w:w="160"/>
                  </w:tcMar>
                  <w:vAlign w:val="center"/>
                </w:tcPr>
                <w:p>
                  <w:pPr>
                    <w:jc w:val="center"/>
                  </w:pPr>
                  <w:r>
                    <w:rPr>
                      <w:rFonts w:ascii="Calibri" w:cs="Calibri" w:eastAsia="Calibri" w:hAnsi="Calibri"/>
                      <w:b/>
                      <w:bCs/>
                      <w:color w:val="B22222"/>
                      <w:sz w:val="19"/>
                      <w:szCs w:val="19"/>
                    </w:rPr>
                    <w:t xml:space="preserve">On-Premises
Sensitive Data + Regulated Apps</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rPr>
                <w:cantSplit/>
              </w:trPr>
              <w:tc>
                <w:tcPr>
                  <w:shd w:fill="FCE9D9" w:color="auto" w:val="clear"/>
                  <w:tcMar>
                    <w:top w:type="dxa" w:w="120"/>
                    <w:left w:type="dxa" w:w="160"/>
                    <w:bottom w:type="dxa" w:w="120"/>
                    <w:right w:type="dxa" w:w="160"/>
                  </w:tcMar>
                  <w:vAlign w:val="center"/>
                </w:tcPr>
                <w:p>
                  <w:pPr>
                    <w:jc w:val="center"/>
                  </w:pPr>
                  <w:r>
                    <w:rPr>
                      <w:rFonts w:ascii="Calibri" w:cs="Calibri" w:eastAsia="Calibri" w:hAnsi="Calibri"/>
                      <w:b/>
                      <w:bCs/>
                      <w:color w:val="B45309"/>
                      <w:sz w:val="19"/>
                      <w:szCs w:val="19"/>
                    </w:rPr>
                    <w:t xml:space="preserve">Secure Private Link
(VPN / Direct Connect)</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19"/>
                      <w:szCs w:val="19"/>
                    </w:rPr>
                    <w:t xml:space="preserve">Cloud
Non-Sensitive Workloads</w:t>
                  </w:r>
                </w:p>
              </w:tc>
            </w:tr>
          </w:tbl>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rPr>
          <w:cantSplit/>
        </w:trPr>
        <w:tc>
          <w:tcPr>
            <w:shd w:fill="DCE6F1" w:color="auto" w:val="clear"/>
            <w:tcMar>
              <w:top w:type="dxa" w:w="120"/>
              <w:left w:type="dxa" w:w="160"/>
              <w:bottom w:type="dxa" w:w="120"/>
              <w:right w:type="dxa" w:w="160"/>
            </w:tcMar>
            <w:vAlign w:val="center"/>
          </w:tcPr>
          <w:p>
            <w:pPr>
              <w:jc w:val="center"/>
            </w:pPr>
            <w:r>
              <w:rPr>
                <w:rFonts w:ascii="Calibri" w:cs="Calibri" w:eastAsia="Calibri" w:hAnsi="Calibri"/>
                <w:b/>
                <w:bCs/>
                <w:color w:val="1F3864"/>
                <w:sz w:val="21"/>
                <w:szCs w:val="21"/>
              </w:rPr>
              <w:t xml:space="preserve">Federated identity provider issues a single trusted identity across both environments</w:t>
            </w:r>
          </w:p>
        </w:tc>
      </w:tr>
    </w:tbl>
    <w:p>
      <w:pPr>
        <w:spacing w:after="260" w:before="80"/>
        <w:jc w:val="center"/>
      </w:pPr>
      <w:r>
        <w:rPr>
          <w:rFonts w:ascii="Calibri" w:cs="Calibri" w:eastAsia="Calibri" w:hAnsi="Calibri"/>
          <w:i/>
          <w:iCs/>
          <w:color w:val="595959"/>
          <w:sz w:val="19"/>
          <w:szCs w:val="19"/>
        </w:rPr>
        <w:t xml:space="preserve">Compliance-bound data never leaves the on-premises boundary; the two sides communicate only through the secured link</w:t>
      </w:r>
    </w:p>
    <w:p>
      <w:pPr>
        <w:keepNext/>
        <w:spacing w:after="100" w:before="220"/>
      </w:pPr>
      <w:r>
        <w:rPr>
          <w:rFonts w:ascii="Calibri" w:cs="Calibri" w:eastAsia="Calibri" w:hAnsi="Calibri"/>
          <w:b/>
          <w:bCs/>
          <w:color w:val="0F766E"/>
          <w:sz w:val="24"/>
          <w:szCs w:val="24"/>
        </w:rPr>
        <w:t xml:space="preserve">Identity Management and Encryption</w:t>
      </w:r>
    </w:p>
    <w:p>
      <w:pPr>
        <w:spacing w:after="140" w:line="300"/>
        <w:jc w:val="both"/>
      </w:pPr>
      <w:r>
        <w:rPr>
          <w:rFonts w:ascii="Calibri" w:cs="Calibri" w:eastAsia="Calibri" w:hAnsi="Calibri"/>
          <w:color w:val="262626"/>
          <w:sz w:val="22"/>
          <w:szCs w:val="22"/>
        </w:rPr>
        <w:t xml:space="preserve">Identity management is unified through a federated identity provider, so an employee authenticates once and that identity is trusted on both sides of the hybrid boundary rather than requiring separate accounts and separate audit trails for each environment. Every user and service is granted the least privilege needed for their role, applied consistently regardless of which environment they are accessing. Encryption is applied at rest in both the on-premises systems and the cloud, and in transit across the private link, so data is protected whether it is stored or moving between environments.</w:t>
      </w:r>
    </w:p>
    <w:p>
      <w:pPr>
        <w:keepNext/>
        <w:spacing w:after="100" w:before="220"/>
      </w:pPr>
      <w:r>
        <w:rPr>
          <w:rFonts w:ascii="Calibri" w:cs="Calibri" w:eastAsia="Calibri" w:hAnsi="Calibri"/>
          <w:b/>
          <w:bCs/>
          <w:color w:val="0F766E"/>
          <w:sz w:val="24"/>
          <w:szCs w:val="24"/>
        </w:rPr>
        <w:t xml:space="preserve">Challenges in Managing Hybrid Cloud Environments</w:t>
      </w:r>
    </w:p>
    <w:tbl>
      <w:tblPr>
        <w:tblW w:type="dxa" w:w="9350"/>
        <w:jc w:val="center"/>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50"/>
      </w:tblGrid>
      <w:tr>
        <w:trPr>
          <w:cantSplit/>
          <w:tblHeader/>
        </w:trPr>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Challenge</w:t>
            </w:r>
          </w:p>
        </w:tc>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Description</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Consistent policy enforcement</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Security and access policies must be kept identical on both sides, or gaps appear at the boundary.</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Network complexity</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The private link, firewall rules and routing between environments add operational overhead to maintain.</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Visibility across environments</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Monitoring and logging tools often differ on-premises versus in the cloud, complicating a unified view.</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Latency-sensitive workloads</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Applications that call across the hybrid boundary frequently can suffer from the added network hop.</w:t>
            </w:r>
          </w:p>
        </w:tc>
      </w:tr>
    </w:tbl>
    <w:p>
      <w:pPr>
        <w:spacing w:after="260" w:before="80"/>
        <w:jc w:val="center"/>
      </w:pPr>
      <w:r>
        <w:rPr>
          <w:rFonts w:ascii="Calibri" w:cs="Calibri" w:eastAsia="Calibri" w:hAnsi="Calibri"/>
          <w:i/>
          <w:iCs/>
          <w:color w:val="595959"/>
          <w:sz w:val="19"/>
          <w:szCs w:val="19"/>
        </w:rPr>
        <w:t xml:space="preserve">Table 4.1  Common operational challenges in a hybrid deployment</w:t>
      </w:r>
    </w:p>
    <w:p>
      <w:pPr>
        <w:pStyle w:val="Heading1"/>
        <w:pageBreakBefore/>
        <w:pBdr>
          <w:bottom w:val="single" w:color="0F766E" w:sz="8" w:space="4"/>
        </w:pBdr>
        <w:spacing w:after="160" w:before="320"/>
      </w:pPr>
      <w:r>
        <w:rPr>
          <w:rFonts w:ascii="Calibri" w:cs="Calibri" w:eastAsia="Calibri" w:hAnsi="Calibri"/>
          <w:b/>
          <w:bCs/>
          <w:color w:val="1F3864"/>
          <w:sz w:val="30"/>
          <w:szCs w:val="30"/>
        </w:rPr>
        <w:t xml:space="preserve">Question 5 : Multi-Region High Availability for a SaaS Provider</w:t>
      </w:r>
    </w:p>
    <w:p>
      <w:pPr>
        <w:spacing w:after="140" w:line="300"/>
        <w:jc w:val="both"/>
      </w:pPr>
      <w:r>
        <w:rPr>
          <w:rFonts w:ascii="Calibri" w:cs="Calibri" w:eastAsia="Calibri" w:hAnsi="Calibri"/>
          <w:color w:val="262626"/>
          <w:sz w:val="22"/>
          <w:szCs w:val="22"/>
        </w:rPr>
        <w:t xml:space="preserve">A SaaS provider that needs to survive an entire region going down cannot rely on redundancy within a single region alone, since a regional outage takes every availability zone in that region down with it. The application has to run across multiple regions with a clear, automated failover path between them.</w:t>
      </w:r>
    </w:p>
    <w:p>
      <w:pPr>
        <w:keepNext/>
        <w:spacing w:after="100" w:before="220"/>
      </w:pPr>
      <w:r>
        <w:rPr>
          <w:rFonts w:ascii="Calibri" w:cs="Calibri" w:eastAsia="Calibri" w:hAnsi="Calibri"/>
          <w:b/>
          <w:bCs/>
          <w:color w:val="0F766E"/>
          <w:sz w:val="24"/>
          <w:szCs w:val="24"/>
        </w:rPr>
        <w:t xml:space="preserve">Multi-Region Deployment Strategy</w:t>
      </w:r>
    </w:p>
    <w:p>
      <w:pPr>
        <w:pStyle w:val="ListParagraph"/>
        <w:numPr>
          <w:ilvl w:val="0"/>
          <w:numId w:val="2"/>
        </w:numPr>
        <w:spacing w:after="90"/>
      </w:pPr>
      <w:r>
        <w:rPr>
          <w:rFonts w:ascii="Calibri" w:cs="Calibri" w:eastAsia="Calibri" w:hAnsi="Calibri"/>
          <w:color w:val="262626"/>
          <w:sz w:val="22"/>
          <w:szCs w:val="22"/>
        </w:rPr>
        <w:t xml:space="preserve">Deploy the full application stack in at least two geographically separate regions, with one designated primary and one or more standing by as secondary.</w:t>
      </w:r>
    </w:p>
    <w:p>
      <w:pPr>
        <w:pStyle w:val="ListParagraph"/>
        <w:numPr>
          <w:ilvl w:val="0"/>
          <w:numId w:val="2"/>
        </w:numPr>
        <w:spacing w:after="90"/>
      </w:pPr>
      <w:r>
        <w:rPr>
          <w:rFonts w:ascii="Calibri" w:cs="Calibri" w:eastAsia="Calibri" w:hAnsi="Calibri"/>
          <w:color w:val="262626"/>
          <w:sz w:val="22"/>
          <w:szCs w:val="22"/>
        </w:rPr>
        <w:t xml:space="preserve">Keep both regions running current application code at all times, so a failover does not also require an emergency deployment under pressure.</w:t>
      </w:r>
    </w:p>
    <w:p>
      <w:pPr>
        <w:pStyle w:val="ListParagraph"/>
        <w:numPr>
          <w:ilvl w:val="0"/>
          <w:numId w:val="2"/>
        </w:numPr>
        <w:spacing w:after="90"/>
      </w:pPr>
      <w:r>
        <w:rPr>
          <w:rFonts w:ascii="Calibri" w:cs="Calibri" w:eastAsia="Calibri" w:hAnsi="Calibri"/>
          <w:color w:val="262626"/>
          <w:sz w:val="22"/>
          <w:szCs w:val="22"/>
        </w:rPr>
        <w:t xml:space="preserve">Route users through a global DNS or traffic manager that can redirect traffic to a healthy region automatically once the primary is detected as down.</w:t>
      </w:r>
    </w:p>
    <w:p>
      <w:pPr>
        <w:keepNext/>
        <w:spacing w:after="100" w:before="240"/>
        <w:jc w:val="center"/>
      </w:pPr>
      <w:r>
        <w:rPr>
          <w:rFonts w:ascii="Calibri" w:cs="Calibri" w:eastAsia="Calibri" w:hAnsi="Calibri"/>
          <w:b/>
          <w:bCs/>
          <w:i/>
          <w:iCs/>
          <w:color w:val="0F766E"/>
          <w:sz w:val="20"/>
          <w:szCs w:val="20"/>
        </w:rPr>
        <w:t xml:space="preserve">Figure 5.1  Multi-Region Failover Architecture</w:t>
      </w:r>
    </w:p>
    <w:tbl>
      <w:tblPr>
        <w:tblW w:type="pct" w:w="100%"/>
        <w:jc w:val="center"/>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rPr>
          <w:cantSplit/>
        </w:trPr>
        <w:tc>
          <w:tcPr>
            <w:shd w:fill="DCE6F1" w:color="auto" w:val="clear"/>
            <w:tcMar>
              <w:top w:type="dxa" w:w="120"/>
              <w:left w:type="dxa" w:w="160"/>
              <w:bottom w:type="dxa" w:w="120"/>
              <w:right w:type="dxa" w:w="160"/>
            </w:tcMar>
            <w:vAlign w:val="center"/>
          </w:tcPr>
          <w:p>
            <w:pPr>
              <w:jc w:val="center"/>
            </w:pPr>
            <w:r>
              <w:rPr>
                <w:rFonts w:ascii="Calibri" w:cs="Calibri" w:eastAsia="Calibri" w:hAnsi="Calibri"/>
                <w:b/>
                <w:bCs/>
                <w:color w:val="1F3864"/>
                <w:sz w:val="21"/>
                <w:szCs w:val="21"/>
              </w:rPr>
              <w:t xml:space="preserve">Global DNS / Traffic Manager with continuous health checks</w:t>
            </w:r>
          </w:p>
        </w:tc>
      </w:tr>
    </w:tbl>
    <w:p>
      <w:pPr>
        <w:spacing w:after="20" w:before="20"/>
        <w:jc w:val="center"/>
      </w:pPr>
      <w:r>
        <w:rPr>
          <w:rFonts w:ascii="Calibri" w:cs="Calibri" w:eastAsia="Calibri" w:hAnsi="Calibri"/>
          <w:b/>
          <w:bCs/>
          <w:color w:val="595959"/>
          <w:sz w:val="30"/>
          <w:szCs w:val="30"/>
        </w:rPr>
        <w:t xml:space="preserve">↓</w:t>
      </w:r>
    </w:p>
    <w:tbl>
      <w:tblPr>
        <w:tblW w:type="dxa" w:w="93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dxa" w:w="4675"/>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19"/>
                      <w:szCs w:val="19"/>
                    </w:rPr>
                    <w:t xml:space="preserve">Primary Region
Active, serving traffic</w:t>
                  </w:r>
                </w:p>
              </w:tc>
            </w:tr>
          </w:tbl>
          <w:p/>
        </w:tc>
        <w:tc>
          <w:tcPr>
            <w:tcW w:type="dxa" w:w="4675"/>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rPr>
                <w:cantSplit/>
              </w:trPr>
              <w:tc>
                <w:tcPr>
                  <w:shd w:fill="FCE9D9" w:color="auto" w:val="clear"/>
                  <w:tcMar>
                    <w:top w:type="dxa" w:w="120"/>
                    <w:left w:type="dxa" w:w="160"/>
                    <w:bottom w:type="dxa" w:w="120"/>
                    <w:right w:type="dxa" w:w="160"/>
                  </w:tcMar>
                  <w:vAlign w:val="center"/>
                </w:tcPr>
                <w:p>
                  <w:pPr>
                    <w:jc w:val="center"/>
                  </w:pPr>
                  <w:r>
                    <w:rPr>
                      <w:rFonts w:ascii="Calibri" w:cs="Calibri" w:eastAsia="Calibri" w:hAnsi="Calibri"/>
                      <w:b/>
                      <w:bCs/>
                      <w:color w:val="B45309"/>
                      <w:sz w:val="19"/>
                      <w:szCs w:val="19"/>
                    </w:rPr>
                    <w:t xml:space="preserve">Secondary Region
Standby, kept in sync</w:t>
                  </w:r>
                </w:p>
              </w:tc>
            </w:tr>
          </w:tbl>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B22222" w:sz="4"/>
          <w:left w:val="single" w:color="B22222" w:sz="4"/>
          <w:bottom w:val="single" w:color="B22222" w:sz="4"/>
          <w:right w:val="single" w:color="B22222" w:sz="4"/>
          <w:insideH w:val="none" w:color="FFFFFF" w:sz="0"/>
          <w:insideV w:val="none" w:color="FFFFFF" w:sz="0"/>
        </w:tblBorders>
      </w:tblPr>
      <w:tblGrid>
        <w:gridCol w:w="100"/>
      </w:tblGrid>
      <w:tr>
        <w:trPr>
          <w:cantSplit/>
        </w:trPr>
        <w:tc>
          <w:tcPr>
            <w:shd w:fill="FBE3E1" w:color="auto" w:val="clear"/>
            <w:tcMar>
              <w:top w:type="dxa" w:w="120"/>
              <w:left w:type="dxa" w:w="160"/>
              <w:bottom w:type="dxa" w:w="120"/>
              <w:right w:type="dxa" w:w="160"/>
            </w:tcMar>
            <w:vAlign w:val="center"/>
          </w:tcPr>
          <w:p>
            <w:pPr>
              <w:jc w:val="center"/>
            </w:pPr>
            <w:r>
              <w:rPr>
                <w:rFonts w:ascii="Calibri" w:cs="Calibri" w:eastAsia="Calibri" w:hAnsi="Calibri"/>
                <w:b/>
                <w:bCs/>
                <w:color w:val="B22222"/>
                <w:sz w:val="21"/>
                <w:szCs w:val="21"/>
              </w:rPr>
              <w:t xml:space="preserve">On primary failure, traffic manager redirects users to the secondary region</w:t>
            </w:r>
          </w:p>
        </w:tc>
      </w:tr>
    </w:tbl>
    <w:p>
      <w:pPr>
        <w:spacing w:after="260" w:before="80"/>
        <w:jc w:val="center"/>
      </w:pPr>
      <w:r>
        <w:rPr>
          <w:rFonts w:ascii="Calibri" w:cs="Calibri" w:eastAsia="Calibri" w:hAnsi="Calibri"/>
          <w:i/>
          <w:iCs/>
          <w:color w:val="595959"/>
          <w:sz w:val="19"/>
          <w:szCs w:val="19"/>
        </w:rPr>
        <w:t xml:space="preserve">Health checks drive an automatic switch, so failover does not depend on a person noticing the outage first</w:t>
      </w:r>
    </w:p>
    <w:p>
      <w:pPr>
        <w:keepNext/>
        <w:spacing w:after="100" w:before="220"/>
      </w:pPr>
      <w:r>
        <w:rPr>
          <w:rFonts w:ascii="Calibri" w:cs="Calibri" w:eastAsia="Calibri" w:hAnsi="Calibri"/>
          <w:b/>
          <w:bCs/>
          <w:color w:val="0F766E"/>
          <w:sz w:val="24"/>
          <w:szCs w:val="24"/>
        </w:rPr>
        <w:t xml:space="preserve">Data Replication and Failover Configuration</w:t>
      </w:r>
    </w:p>
    <w:p>
      <w:pPr>
        <w:spacing w:after="140" w:line="300"/>
        <w:jc w:val="both"/>
      </w:pPr>
      <w:r>
        <w:rPr>
          <w:rFonts w:ascii="Calibri" w:cs="Calibri" w:eastAsia="Calibri" w:hAnsi="Calibri"/>
          <w:color w:val="262626"/>
          <w:sz w:val="22"/>
          <w:szCs w:val="22"/>
        </w:rPr>
        <w:t xml:space="preserve">The database layer uses cross-region replication, either active-active so both regions accept writes, or active-passive so the secondary continuously applies changes from the primary and can be promoted on failover. The replication lag directly determines how much data could be lost in a failover, so it should be monitored against the platform's recovery point target. Failover itself is automated: health checks on the primary region trigger the traffic manager to redirect DNS resolution to the secondary, and if active-passive replication is used, a promotion step turns the secondary's database from read replica into the new primary.</w:t>
      </w:r>
    </w:p>
    <w:p>
      <w:pPr>
        <w:keepNext/>
        <w:spacing w:after="100" w:before="220"/>
      </w:pPr>
      <w:r>
        <w:rPr>
          <w:rFonts w:ascii="Calibri" w:cs="Calibri" w:eastAsia="Calibri" w:hAnsi="Calibri"/>
          <w:b/>
          <w:bCs/>
          <w:color w:val="0F766E"/>
          <w:sz w:val="24"/>
          <w:szCs w:val="24"/>
        </w:rPr>
        <w:t xml:space="preserve">Monitoring and Alerting for Proactive Detection</w:t>
      </w:r>
    </w:p>
    <w:tbl>
      <w:tblPr>
        <w:tblW w:type="dxa" w:w="9350"/>
        <w:jc w:val="center"/>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3675"/>
        <w:gridCol w:w="3675"/>
      </w:tblGrid>
      <w:tr>
        <w:trPr>
          <w:cantSplit/>
          <w:tblHeader/>
        </w:trPr>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Layer</w:t>
            </w:r>
          </w:p>
        </w:tc>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What Is Monitored</w:t>
            </w:r>
          </w:p>
        </w:tc>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Why It Matters</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Application health</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Response time, error rate, request success rate</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Catches degradation before users file complaints</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Infrastructure health</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Instance and node status, resource utilization</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Flags a failing component before it causes an outage</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Replication lag</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Time delay between primary writes and secondary sync</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Confirms the secondary is actually recoverable, not just present</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Regional health check</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Synthetic transactions against each region</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Provides the signal the traffic manager uses to trigger failover</w:t>
            </w:r>
          </w:p>
        </w:tc>
      </w:tr>
    </w:tbl>
    <w:p>
      <w:pPr>
        <w:spacing w:after="260" w:before="80"/>
        <w:jc w:val="center"/>
      </w:pPr>
      <w:r>
        <w:rPr>
          <w:rFonts w:ascii="Calibri" w:cs="Calibri" w:eastAsia="Calibri" w:hAnsi="Calibri"/>
          <w:i/>
          <w:iCs/>
          <w:color w:val="595959"/>
          <w:sz w:val="19"/>
          <w:szCs w:val="19"/>
        </w:rPr>
        <w:t xml:space="preserve">Table 5.1  Monitoring layers that support proactive detection ahead of a full outage</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Vino Aldrin E   |   192511481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CSA1516  |  Cloud Computing and Big Data Analytics  |  Assessment Tool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2026-08-10T02:43:29.103Z</dcterms:created>
  <dcterms:modified xsi:type="dcterms:W3CDTF">2026-08-10T02:43:29.118Z</dcterms:modified>
</cp:coreProperties>
</file>

<file path=docProps/custom.xml><?xml version="1.0" encoding="utf-8"?>
<Properties xmlns="http://schemas.openxmlformats.org/officeDocument/2006/custom-properties" xmlns:vt="http://schemas.openxmlformats.org/officeDocument/2006/docPropsVTypes"/>
</file>