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595959"/>
          <w:sz w:val="20"/>
          <w:szCs w:val="20"/>
        </w:rPr>
        <w:t xml:space="preserve">SAVEETHA SCHOOL OF ENGINEERING</w:t>
      </w:r>
    </w:p>
    <w:p>
      <w:pPr>
        <w:spacing w:after="260"/>
        <w:jc w:val="center"/>
      </w:pPr>
      <w:r>
        <w:rPr>
          <w:rFonts w:ascii="Calibri" w:cs="Calibri" w:eastAsia="Calibri" w:hAnsi="Calibri"/>
          <w:b/>
          <w:bCs/>
          <w:color w:val="595959"/>
          <w:sz w:val="20"/>
          <w:szCs w:val="20"/>
        </w:rPr>
        <w:t xml:space="preserve">(SIMATS), CHENNAI</w:t>
      </w:r>
    </w:p>
    <w:p>
      <w:pPr>
        <w:spacing w:after="60" w:before="300"/>
        <w:jc w:val="center"/>
      </w:pPr>
      <w:r>
        <w:rPr>
          <w:rFonts w:ascii="Calibri" w:cs="Calibri" w:eastAsia="Calibri" w:hAnsi="Calibri"/>
          <w:b/>
          <w:bCs/>
          <w:color w:val="1F3864"/>
          <w:sz w:val="44"/>
          <w:szCs w:val="44"/>
        </w:rPr>
        <w:t xml:space="preserve">SIMATS ENGINEERING</w:t>
      </w:r>
    </w:p>
    <w:p>
      <w:pPr>
        <w:pBdr>
          <w:bottom w:val="single" w:color="0F766E" w:sz="10" w:space="10"/>
        </w:pBdr>
        <w:spacing w:after="400"/>
        <w:jc w:val="center"/>
      </w:pPr>
      <w:r>
        <w:rPr>
          <w:rFonts w:ascii="Calibri" w:cs="Calibri" w:eastAsia="Calibri" w:hAnsi="Calibri"/>
          <w:b/>
          <w:bCs/>
          <w:color w:val="0F766E"/>
          <w:sz w:val="26"/>
          <w:szCs w:val="26"/>
        </w:rPr>
        <w:t xml:space="preserve">ASSESSMENT TOOL 2 : APPLICATION BASED QUESTIONS</w:t>
      </w:r>
    </w:p>
    <w:p>
      <w:pPr>
        <w:spacing w:after="200"/>
      </w:pPr>
    </w:p>
    <w:tbl>
      <w:tblPr>
        <w:tblW w:type="dxa" w:w="6500"/>
        <w:jc w:val="center"/>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4"/>
                <w:szCs w:val="24"/>
              </w:rPr>
              <w:t xml:space="preserve">APPLICATION BASED QUESTIONS</w:t>
            </w:r>
          </w:p>
        </w:tc>
      </w:tr>
    </w:tbl>
    <w:p>
      <w:pPr>
        <w:spacing w:after="300"/>
      </w:pP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Field</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Details</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Course Name</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Cloud Computing and Big Data Analytics</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Course Code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CSA1516</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Course Faculty</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Dr. Santhiya Lakshmi Kumaravel</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Student Name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Vino Aldrin E</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Registration No.</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192511481</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Assessment Type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Application Based Questions</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Question Count</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5</w:t>
            </w:r>
          </w:p>
        </w:tc>
      </w:tr>
    </w:tbl>
    <w:p>
      <w:pPr>
        <w:spacing w:after="500"/>
      </w:pPr>
    </w:p>
    <w:p>
      <w:pPr>
        <w:jc w:val="center"/>
      </w:pPr>
      <w:r>
        <w:rPr>
          <w:rFonts w:ascii="Calibri" w:cs="Calibri" w:eastAsia="Calibri" w:hAnsi="Calibri"/>
          <w:i/>
          <w:iCs/>
          <w:color w:val="595959"/>
          <w:sz w:val="20"/>
          <w:szCs w:val="20"/>
        </w:rPr>
        <w:t xml:space="preserve">Submitted as a soft copy for evaluation</w:t>
      </w:r>
    </w:p>
    <w:p>
      <w:pPr>
        <w:sectPr>
          <w:pgSz w:w="12240" w:h="15840" w:orient="portrait"/>
          <w:pgMar w:top="1100" w:right="1100" w:bottom="1100" w:left="1100" w:header="708" w:footer="708" w:gutter="0"/>
          <w:pgNumType/>
          <w:docGrid w:linePitch="360"/>
        </w:sectPr>
      </w:pP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Contents</w:t>
      </w:r>
    </w:p>
    <w:p>
      <w:pPr>
        <w:tabs>
          <w:tab w:val="right" w:pos="9350" w:leader="dot"/>
        </w:tabs>
        <w:spacing w:after="120"/>
      </w:pPr>
      <w:r>
        <w:rPr>
          <w:rFonts w:ascii="Calibri" w:cs="Calibri" w:eastAsia="Calibri" w:hAnsi="Calibri"/>
          <w:b/>
          <w:bCs/>
          <w:color w:val="1F3864"/>
          <w:sz w:val="22"/>
          <w:szCs w:val="22"/>
        </w:rPr>
        <w:t xml:space="preserve">1.  </w:t>
      </w:r>
      <w:r>
        <w:rPr>
          <w:rFonts w:ascii="Calibri" w:cs="Calibri" w:eastAsia="Calibri" w:hAnsi="Calibri"/>
          <w:color w:val="262626"/>
          <w:sz w:val="22"/>
          <w:szCs w:val="22"/>
        </w:rPr>
        <w:t xml:space="preserve">Auto-Scaling and Load Balancing for Seasonal Traffic Spikes</w:t>
      </w:r>
    </w:p>
    <w:p>
      <w:pPr>
        <w:tabs>
          <w:tab w:val="right" w:pos="9350" w:leader="dot"/>
        </w:tabs>
        <w:spacing w:after="120"/>
      </w:pPr>
      <w:r>
        <w:rPr>
          <w:rFonts w:ascii="Calibri" w:cs="Calibri" w:eastAsia="Calibri" w:hAnsi="Calibri"/>
          <w:b/>
          <w:bCs/>
          <w:color w:val="1F3864"/>
          <w:sz w:val="22"/>
          <w:szCs w:val="22"/>
        </w:rPr>
        <w:t xml:space="preserve">2.  </w:t>
      </w:r>
      <w:r>
        <w:rPr>
          <w:rFonts w:ascii="Calibri" w:cs="Calibri" w:eastAsia="Calibri" w:hAnsi="Calibri"/>
          <w:color w:val="262626"/>
          <w:sz w:val="22"/>
          <w:szCs w:val="22"/>
        </w:rPr>
        <w:t xml:space="preserve">Secure and Durable Cloud Backup Storage</w:t>
      </w:r>
    </w:p>
    <w:p>
      <w:pPr>
        <w:tabs>
          <w:tab w:val="right" w:pos="9350" w:leader="dot"/>
        </w:tabs>
        <w:spacing w:after="120"/>
      </w:pPr>
      <w:r>
        <w:rPr>
          <w:rFonts w:ascii="Calibri" w:cs="Calibri" w:eastAsia="Calibri" w:hAnsi="Calibri"/>
          <w:b/>
          <w:bCs/>
          <w:color w:val="1F3864"/>
          <w:sz w:val="22"/>
          <w:szCs w:val="22"/>
        </w:rPr>
        <w:t xml:space="preserve">3.  </w:t>
      </w:r>
      <w:r>
        <w:rPr>
          <w:rFonts w:ascii="Calibri" w:cs="Calibri" w:eastAsia="Calibri" w:hAnsi="Calibri"/>
          <w:color w:val="262626"/>
          <w:sz w:val="22"/>
          <w:szCs w:val="22"/>
        </w:rPr>
        <w:t xml:space="preserve">Content Delivery Networks for Global Application Deployment</w:t>
      </w:r>
    </w:p>
    <w:p>
      <w:pPr>
        <w:tabs>
          <w:tab w:val="right" w:pos="9350" w:leader="dot"/>
        </w:tabs>
        <w:spacing w:after="120"/>
      </w:pPr>
      <w:r>
        <w:rPr>
          <w:rFonts w:ascii="Calibri" w:cs="Calibri" w:eastAsia="Calibri" w:hAnsi="Calibri"/>
          <w:b/>
          <w:bCs/>
          <w:color w:val="1F3864"/>
          <w:sz w:val="22"/>
          <w:szCs w:val="22"/>
        </w:rPr>
        <w:t xml:space="preserve">4.  </w:t>
      </w:r>
      <w:r>
        <w:rPr>
          <w:rFonts w:ascii="Calibri" w:cs="Calibri" w:eastAsia="Calibri" w:hAnsi="Calibri"/>
          <w:color w:val="262626"/>
          <w:sz w:val="22"/>
          <w:szCs w:val="22"/>
        </w:rPr>
        <w:t xml:space="preserve">Regulatory Compliance and Data Security in Financial Cloud Usage</w:t>
      </w:r>
    </w:p>
    <w:p>
      <w:pPr>
        <w:tabs>
          <w:tab w:val="right" w:pos="9350" w:leader="dot"/>
        </w:tabs>
        <w:spacing w:after="120"/>
      </w:pPr>
      <w:r>
        <w:rPr>
          <w:rFonts w:ascii="Calibri" w:cs="Calibri" w:eastAsia="Calibri" w:hAnsi="Calibri"/>
          <w:b/>
          <w:bCs/>
          <w:color w:val="1F3864"/>
          <w:sz w:val="22"/>
          <w:szCs w:val="22"/>
        </w:rPr>
        <w:t xml:space="preserve">5.  </w:t>
      </w:r>
      <w:r>
        <w:rPr>
          <w:rFonts w:ascii="Calibri" w:cs="Calibri" w:eastAsia="Calibri" w:hAnsi="Calibri"/>
          <w:color w:val="262626"/>
          <w:sz w:val="22"/>
          <w:szCs w:val="22"/>
        </w:rPr>
        <w:t xml:space="preserve">Containerization and Orchestration for Application Deployment</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1 : Handling Seasonal Traffic Spikes with Auto-Scaling and Load Balancing</w:t>
      </w:r>
    </w:p>
    <w:p>
      <w:pPr>
        <w:spacing w:after="140" w:line="300"/>
        <w:jc w:val="both"/>
      </w:pPr>
      <w:r>
        <w:rPr>
          <w:rFonts w:ascii="Calibri" w:cs="Calibri" w:eastAsia="Calibri" w:hAnsi="Calibri"/>
          <w:color w:val="262626"/>
          <w:sz w:val="22"/>
          <w:szCs w:val="22"/>
        </w:rPr>
        <w:t xml:space="preserve">A company that sees unpredictable traffic spikes during seasonal sales cannot size its infrastructure for the average day, because that would collapse under peak load, and sizing it for the peak day wastes money the rest of the year. Cloud auto-scaling and load balancing solve this by matching capacity to demand in near real time instead of relying on a fixed number of servers.</w:t>
      </w:r>
    </w:p>
    <w:p>
      <w:pPr>
        <w:keepNext/>
        <w:spacing w:after="100" w:before="220"/>
      </w:pPr>
      <w:r>
        <w:rPr>
          <w:rFonts w:ascii="Calibri" w:cs="Calibri" w:eastAsia="Calibri" w:hAnsi="Calibri"/>
          <w:b/>
          <w:bCs/>
          <w:color w:val="0F766E"/>
          <w:sz w:val="24"/>
          <w:szCs w:val="24"/>
        </w:rPr>
        <w:t xml:space="preserve">How Auto-Scaling and Load Balancing Work Together</w:t>
      </w:r>
    </w:p>
    <w:p>
      <w:pPr>
        <w:pStyle w:val="ListParagraph"/>
        <w:numPr>
          <w:ilvl w:val="0"/>
          <w:numId w:val="2"/>
        </w:numPr>
        <w:spacing w:after="90"/>
      </w:pPr>
      <w:r>
        <w:rPr>
          <w:rFonts w:ascii="Calibri" w:cs="Calibri" w:eastAsia="Calibri" w:hAnsi="Calibri"/>
          <w:color w:val="262626"/>
          <w:sz w:val="22"/>
          <w:szCs w:val="22"/>
        </w:rPr>
        <w:t xml:space="preserve">Auto-scaling watches metrics such as CPU utilization, request count or queue length, and automatically adds compute instances when demand rises and removes them when it falls, so capacity tracks the actual sales traffic rather than a fixed provisioning guess.</w:t>
      </w:r>
    </w:p>
    <w:p>
      <w:pPr>
        <w:pStyle w:val="ListParagraph"/>
        <w:numPr>
          <w:ilvl w:val="0"/>
          <w:numId w:val="2"/>
        </w:numPr>
        <w:spacing w:after="90"/>
      </w:pPr>
      <w:r>
        <w:rPr>
          <w:rFonts w:ascii="Calibri" w:cs="Calibri" w:eastAsia="Calibri" w:hAnsi="Calibri"/>
          <w:color w:val="262626"/>
          <w:sz w:val="22"/>
          <w:szCs w:val="22"/>
        </w:rPr>
        <w:t xml:space="preserve">The load balancer sits in front of this changing pool of instances and distributes incoming requests evenly, so no single server is overwhelmed while others sit idle, and it also stops sending traffic to any instance that fails a health check.</w:t>
      </w:r>
    </w:p>
    <w:p>
      <w:pPr>
        <w:pStyle w:val="ListParagraph"/>
        <w:numPr>
          <w:ilvl w:val="0"/>
          <w:numId w:val="2"/>
        </w:numPr>
        <w:spacing w:after="90"/>
      </w:pPr>
      <w:r>
        <w:rPr>
          <w:rFonts w:ascii="Calibri" w:cs="Calibri" w:eastAsia="Calibri" w:hAnsi="Calibri"/>
          <w:color w:val="262626"/>
          <w:sz w:val="22"/>
          <w:szCs w:val="22"/>
        </w:rPr>
        <w:t xml:space="preserve">Together they turn a fixed-capacity system into an elastic one: when a flash sale starts, new instances come online within minutes and are immediately absorbed into the load balancer's pool.</w:t>
      </w:r>
    </w:p>
    <w:p>
      <w:pPr>
        <w:keepNext/>
        <w:spacing w:after="100" w:before="240"/>
        <w:jc w:val="center"/>
      </w:pPr>
      <w:r>
        <w:rPr>
          <w:rFonts w:ascii="Calibri" w:cs="Calibri" w:eastAsia="Calibri" w:hAnsi="Calibri"/>
          <w:b/>
          <w:bCs/>
          <w:i/>
          <w:iCs/>
          <w:color w:val="0F766E"/>
          <w:sz w:val="20"/>
          <w:szCs w:val="20"/>
        </w:rPr>
        <w:t xml:space="preserve">Figure 1.1  Elastic Response to a Traffic Spike</w:t>
      </w:r>
    </w:p>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1"/>
                <w:szCs w:val="21"/>
              </w:rPr>
              <w:t xml:space="preserve">Traffic spike detected during seasonal sale</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Auto-scaling group launches additional instances</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1"/>
                <w:szCs w:val="21"/>
              </w:rPr>
              <w:t xml:space="preserve">Load balancer distributes requests across all healthy instances</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1"/>
                <w:szCs w:val="21"/>
              </w:rPr>
              <w:t xml:space="preserve">Monitoring tools track load and trigger scale-in once demand drops</w:t>
            </w:r>
          </w:p>
        </w:tc>
      </w:tr>
    </w:tbl>
    <w:p>
      <w:pPr>
        <w:spacing w:after="260" w:before="80"/>
        <w:jc w:val="center"/>
      </w:pPr>
      <w:r>
        <w:rPr>
          <w:rFonts w:ascii="Calibri" w:cs="Calibri" w:eastAsia="Calibri" w:hAnsi="Calibri"/>
          <w:i/>
          <w:iCs/>
          <w:color w:val="595959"/>
          <w:sz w:val="19"/>
          <w:szCs w:val="19"/>
        </w:rPr>
        <w:t xml:space="preserve">A closed feedback loop keeps capacity aligned with real demand throughout the sale</w:t>
      </w:r>
    </w:p>
    <w:p>
      <w:pPr>
        <w:keepNext/>
        <w:spacing w:after="100" w:before="220"/>
      </w:pPr>
      <w:r>
        <w:rPr>
          <w:rFonts w:ascii="Calibri" w:cs="Calibri" w:eastAsia="Calibri" w:hAnsi="Calibri"/>
          <w:b/>
          <w:bCs/>
          <w:color w:val="0F766E"/>
          <w:sz w:val="24"/>
          <w:szCs w:val="24"/>
        </w:rPr>
        <w:t xml:space="preserve">Effect on Downtime and User Experience</w:t>
      </w:r>
    </w:p>
    <w:p>
      <w:pPr>
        <w:spacing w:after="140" w:line="300"/>
        <w:jc w:val="both"/>
      </w:pPr>
      <w:r>
        <w:rPr>
          <w:rFonts w:ascii="Calibri" w:cs="Calibri" w:eastAsia="Calibri" w:hAnsi="Calibri"/>
          <w:color w:val="262626"/>
          <w:sz w:val="22"/>
          <w:szCs w:val="22"/>
        </w:rPr>
        <w:t xml:space="preserve">Because new capacity is added before the existing servers are exhausted, requests keep getting served instead of timing out, which directly reduces downtime. Users experience consistent page load times and successful checkouts even during a surge, which matters most at the exact moment a company is trying to capture seasonal revenue.</w:t>
      </w:r>
    </w:p>
    <w:p>
      <w:pPr>
        <w:keepNext/>
        <w:spacing w:after="100" w:before="220"/>
      </w:pPr>
      <w:r>
        <w:rPr>
          <w:rFonts w:ascii="Calibri" w:cs="Calibri" w:eastAsia="Calibri" w:hAnsi="Calibri"/>
          <w:b/>
          <w:bCs/>
          <w:color w:val="0F766E"/>
          <w:sz w:val="24"/>
          <w:szCs w:val="24"/>
        </w:rPr>
        <w:t xml:space="preserve">Role of Monitoring Tools</w:t>
      </w:r>
    </w:p>
    <w:p>
      <w:pPr>
        <w:spacing w:after="140" w:line="300"/>
        <w:jc w:val="both"/>
      </w:pPr>
      <w:r>
        <w:rPr>
          <w:rFonts w:ascii="Calibri" w:cs="Calibri" w:eastAsia="Calibri" w:hAnsi="Calibri"/>
          <w:color w:val="262626"/>
          <w:sz w:val="22"/>
          <w:szCs w:val="22"/>
        </w:rPr>
        <w:t xml:space="preserve">Monitoring tools such as Amazon CloudWatch, Azure Monitor or Google Cloud Operations are what make the scaling decision possible in the first place. They collect real-time metrics, evaluate them against defined thresholds, and fire the alarms that trigger auto-scaling policies. They also give operators visibility into whether the scaling response was fast enough and whether the load balancer is distributing traffic evenly, which is essential for tuning thresholds before the next sale.</w:t>
      </w:r>
    </w:p>
    <w:p>
      <w:pPr>
        <w:keepNext/>
        <w:spacing w:after="100" w:before="220"/>
      </w:pPr>
      <w:r>
        <w:rPr>
          <w:rFonts w:ascii="Calibri" w:cs="Calibri" w:eastAsia="Calibri" w:hAnsi="Calibri"/>
          <w:b/>
          <w:bCs/>
          <w:color w:val="0F766E"/>
          <w:sz w:val="24"/>
          <w:szCs w:val="24"/>
        </w:rPr>
        <w:t xml:space="preserve">Real-World E-Commerce Scenario</w:t>
      </w:r>
    </w:p>
    <w:p>
      <w:pPr>
        <w:spacing w:after="140" w:line="300"/>
        <w:jc w:val="both"/>
      </w:pPr>
      <w:r>
        <w:rPr>
          <w:rFonts w:ascii="Calibri" w:cs="Calibri" w:eastAsia="Calibri" w:hAnsi="Calibri"/>
          <w:color w:val="262626"/>
          <w:sz w:val="22"/>
          <w:szCs w:val="22"/>
        </w:rPr>
        <w:t xml:space="preserve">An online retailer running a Black Friday sale might see traffic jump to ten times its normal level within minutes of the sale opening. With auto-scaling and load balancing in place, the platform detects the surge through monitoring metrics, launches additional web and application server instances automatically, and the load balancer routes shoppers across this expanded pool. Once the sale traffic subsides late in the day, the auto-scaling group removes the extra instances, so the retailer only pays for the burst capacity while it was actually needed.</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2 : Secure and Durable Cloud Backup Storage</w:t>
      </w:r>
    </w:p>
    <w:p>
      <w:pPr>
        <w:spacing w:after="140" w:line="300"/>
        <w:jc w:val="both"/>
      </w:pPr>
      <w:r>
        <w:rPr>
          <w:rFonts w:ascii="Calibri" w:cs="Calibri" w:eastAsia="Calibri" w:hAnsi="Calibri"/>
          <w:color w:val="262626"/>
          <w:sz w:val="22"/>
          <w:szCs w:val="22"/>
        </w:rPr>
        <w:t xml:space="preserve">An organization storing large volumes of backup data in the cloud is really asking two questions at once: will the data survive hardware failure, and will it stay confidential while it does. Cloud storage services are built to answer both, through redundancy for durability and layered controls for security.</w:t>
      </w:r>
    </w:p>
    <w:p>
      <w:pPr>
        <w:keepNext/>
        <w:spacing w:after="100" w:before="220"/>
      </w:pPr>
      <w:r>
        <w:rPr>
          <w:rFonts w:ascii="Calibri" w:cs="Calibri" w:eastAsia="Calibri" w:hAnsi="Calibri"/>
          <w:b/>
          <w:bCs/>
          <w:color w:val="0F766E"/>
          <w:sz w:val="24"/>
          <w:szCs w:val="24"/>
        </w:rPr>
        <w:t xml:space="preserve">Durability and Data Redundancy</w:t>
      </w:r>
    </w:p>
    <w:p>
      <w:pPr>
        <w:pStyle w:val="ListParagraph"/>
        <w:numPr>
          <w:ilvl w:val="0"/>
          <w:numId w:val="2"/>
        </w:numPr>
        <w:spacing w:after="90"/>
      </w:pPr>
      <w:r>
        <w:rPr>
          <w:rFonts w:ascii="Calibri" w:cs="Calibri" w:eastAsia="Calibri" w:hAnsi="Calibri"/>
          <w:color w:val="262626"/>
          <w:sz w:val="22"/>
          <w:szCs w:val="22"/>
        </w:rPr>
        <w:t xml:space="preserve">Data written to cloud storage is automatically replicated across multiple physical disks within a datacenter, so the loss of a single drive does not lose customer data.</w:t>
      </w:r>
    </w:p>
    <w:p>
      <w:pPr>
        <w:pStyle w:val="ListParagraph"/>
        <w:numPr>
          <w:ilvl w:val="0"/>
          <w:numId w:val="2"/>
        </w:numPr>
        <w:spacing w:after="90"/>
      </w:pPr>
      <w:r>
        <w:rPr>
          <w:rFonts w:ascii="Calibri" w:cs="Calibri" w:eastAsia="Calibri" w:hAnsi="Calibri"/>
          <w:color w:val="262626"/>
          <w:sz w:val="22"/>
          <w:szCs w:val="22"/>
        </w:rPr>
        <w:t xml:space="preserve">Most providers also replicate across separate availability zones, and optionally across regions, so an entire datacenter outage still leaves the data recoverable elsewhere.</w:t>
      </w:r>
    </w:p>
    <w:p>
      <w:pPr>
        <w:pStyle w:val="ListParagraph"/>
        <w:numPr>
          <w:ilvl w:val="0"/>
          <w:numId w:val="2"/>
        </w:numPr>
        <w:spacing w:after="90"/>
      </w:pPr>
      <w:r>
        <w:rPr>
          <w:rFonts w:ascii="Calibri" w:cs="Calibri" w:eastAsia="Calibri" w:hAnsi="Calibri"/>
          <w:color w:val="262626"/>
          <w:sz w:val="22"/>
          <w:szCs w:val="22"/>
        </w:rPr>
        <w:t xml:space="preserve">Object storage services commonly advertise durability figures such as 99.999999999 percent over a year, which is achieved through this multi-copy, multi-location replication rather than any single piece of hardware.</w:t>
      </w:r>
    </w:p>
    <w:p>
      <w:pPr>
        <w:keepNext/>
        <w:spacing w:after="100" w:before="240"/>
        <w:jc w:val="center"/>
      </w:pPr>
      <w:r>
        <w:rPr>
          <w:rFonts w:ascii="Calibri" w:cs="Calibri" w:eastAsia="Calibri" w:hAnsi="Calibri"/>
          <w:b/>
          <w:bCs/>
          <w:i/>
          <w:iCs/>
          <w:color w:val="0F766E"/>
          <w:sz w:val="20"/>
          <w:szCs w:val="20"/>
        </w:rPr>
        <w:t xml:space="preserve">Figure 2.1  Redundant Backup Architecture</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Backup data uploaded from the organization</w:t>
            </w:r>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Copy 1
Availability Zone A</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Copy 2
Availability Zone B</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Copy 3
Remote Region</w:t>
                  </w:r>
                </w:p>
              </w:tc>
            </w:tr>
          </w:tbl>
          <w:p/>
        </w:tc>
      </w:tr>
    </w:tbl>
    <w:p>
      <w:pPr>
        <w:spacing w:after="260" w:before="80"/>
        <w:jc w:val="center"/>
      </w:pPr>
      <w:r>
        <w:rPr>
          <w:rFonts w:ascii="Calibri" w:cs="Calibri" w:eastAsia="Calibri" w:hAnsi="Calibri"/>
          <w:i/>
          <w:iCs/>
          <w:color w:val="595959"/>
          <w:sz w:val="19"/>
          <w:szCs w:val="19"/>
        </w:rPr>
        <w:t xml:space="preserve">A single logical backup is stored as multiple physical copies so no single failure causes data loss</w:t>
      </w:r>
    </w:p>
    <w:p>
      <w:pPr>
        <w:keepNext/>
        <w:spacing w:after="100" w:before="220"/>
      </w:pPr>
      <w:r>
        <w:rPr>
          <w:rFonts w:ascii="Calibri" w:cs="Calibri" w:eastAsia="Calibri" w:hAnsi="Calibri"/>
          <w:b/>
          <w:bCs/>
          <w:color w:val="0F766E"/>
          <w:sz w:val="24"/>
          <w:szCs w:val="24"/>
        </w:rPr>
        <w:t xml:space="preserve">Protecting Sensitive Backup Data</w:t>
      </w:r>
    </w:p>
    <w:p>
      <w:pPr>
        <w:spacing w:after="140" w:line="300"/>
        <w:jc w:val="both"/>
      </w:pPr>
      <w:r>
        <w:rPr>
          <w:rFonts w:ascii="Calibri" w:cs="Calibri" w:eastAsia="Calibri" w:hAnsi="Calibri"/>
          <w:color w:val="262626"/>
          <w:sz w:val="22"/>
          <w:szCs w:val="22"/>
        </w:rPr>
        <w:t xml:space="preserve">Encryption and access control are what keep durability from becoming a liability. Data is encrypted at rest using provider-managed or customer-managed keys, so a copy of the storage media on its own is unreadable. Data is also encrypted in transit using TLS while it moves between the organization and the cloud. Access control, enforced through identity and access management policies, restricts who and what can read, write or delete the backup, and multi-factor authentication and object-level permissions add further layers so a stolen credential alone cannot expose the data.</w:t>
      </w:r>
    </w:p>
    <w:p>
      <w:pPr>
        <w:keepNext/>
        <w:spacing w:after="100" w:before="220"/>
      </w:pPr>
      <w:r>
        <w:rPr>
          <w:rFonts w:ascii="Calibri" w:cs="Calibri" w:eastAsia="Calibri" w:hAnsi="Calibri"/>
          <w:b/>
          <w:bCs/>
          <w:color w:val="0F766E"/>
          <w:sz w:val="24"/>
          <w:szCs w:val="24"/>
        </w:rPr>
        <w:t xml:space="preserve">Cost Advantages over Traditional Storage</w:t>
      </w:r>
    </w:p>
    <w:p>
      <w:pPr>
        <w:spacing w:after="140" w:line="300"/>
        <w:jc w:val="both"/>
      </w:pPr>
      <w:r>
        <w:rPr>
          <w:rFonts w:ascii="Calibri" w:cs="Calibri" w:eastAsia="Calibri" w:hAnsi="Calibri"/>
          <w:color w:val="262626"/>
          <w:sz w:val="22"/>
          <w:szCs w:val="22"/>
        </w:rPr>
        <w:t xml:space="preserve">Traditional backup storage requires the organization to buy tape libraries or disk arrays sized for peak future capacity, along with a facility to house them and staff to maintain them. Cloud storage removes that upfront capital cost and bills only for the capacity actually used, with lower-cost tiers available for backups that are accessed rarely. The provider also absorbs the cost of replacing failed hardware and maintaining the redundancy described above, which the organization would otherwise have to fund and manage itself.</w:t>
      </w:r>
    </w:p>
    <w:p>
      <w:pPr>
        <w:keepNext/>
        <w:spacing w:after="100" w:before="220"/>
      </w:pPr>
      <w:r>
        <w:rPr>
          <w:rFonts w:ascii="Calibri" w:cs="Calibri" w:eastAsia="Calibri" w:hAnsi="Calibri"/>
          <w:b/>
          <w:bCs/>
          <w:color w:val="0F766E"/>
          <w:sz w:val="24"/>
          <w:szCs w:val="24"/>
        </w:rPr>
        <w:t xml:space="preserve">Disaster Recovery Use Case</w:t>
      </w:r>
    </w:p>
    <w:p>
      <w:pPr>
        <w:spacing w:after="140" w:line="300"/>
        <w:jc w:val="both"/>
      </w:pPr>
      <w:r>
        <w:rPr>
          <w:rFonts w:ascii="Calibri" w:cs="Calibri" w:eastAsia="Calibri" w:hAnsi="Calibri"/>
          <w:color w:val="262626"/>
          <w:sz w:val="22"/>
          <w:szCs w:val="22"/>
        </w:rPr>
        <w:t xml:space="preserve">A hospital chain backing up its patient records system to the cloud can configure cross-region replication so that if the primary region suffers an outage, whether from a natural disaster or a large-scale infrastructure failure, the backup in the secondary region can be restored to bring the records system back online without the data itself ever having been lost.</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3 : Content Delivery Networks for Global Application Deployment</w:t>
      </w:r>
    </w:p>
    <w:p>
      <w:pPr>
        <w:spacing w:after="140" w:line="300"/>
        <w:jc w:val="both"/>
      </w:pPr>
      <w:r>
        <w:rPr>
          <w:rFonts w:ascii="Calibri" w:cs="Calibri" w:eastAsia="Calibri" w:hAnsi="Calibri"/>
          <w:color w:val="262626"/>
          <w:sz w:val="22"/>
          <w:szCs w:val="22"/>
        </w:rPr>
        <w:t xml:space="preserve">When a mobile app company deploys globally, users in different regions are all making requests to what would otherwise be one central server, so the users farthest from that server experience the most delay. A Content Delivery Network (CDN) solves this by placing copies of content closer to the user instead of making every request travel back to a single origin.</w:t>
      </w:r>
    </w:p>
    <w:p>
      <w:pPr>
        <w:keepNext/>
        <w:spacing w:after="100" w:before="220"/>
      </w:pPr>
      <w:r>
        <w:rPr>
          <w:rFonts w:ascii="Calibri" w:cs="Calibri" w:eastAsia="Calibri" w:hAnsi="Calibri"/>
          <w:b/>
          <w:bCs/>
          <w:color w:val="0F766E"/>
          <w:sz w:val="24"/>
          <w:szCs w:val="24"/>
        </w:rPr>
        <w:t xml:space="preserve">How CDNs Improve Performance and Reduce Latency</w:t>
      </w:r>
    </w:p>
    <w:p>
      <w:pPr>
        <w:pStyle w:val="ListParagraph"/>
        <w:numPr>
          <w:ilvl w:val="0"/>
          <w:numId w:val="2"/>
        </w:numPr>
        <w:spacing w:after="90"/>
      </w:pPr>
      <w:r>
        <w:rPr>
          <w:rFonts w:ascii="Calibri" w:cs="Calibri" w:eastAsia="Calibri" w:hAnsi="Calibri"/>
          <w:color w:val="262626"/>
          <w:sz w:val="22"/>
          <w:szCs w:val="22"/>
        </w:rPr>
        <w:t xml:space="preserve">A CDN operates a network of edge locations spread across many geographic regions, each capable of serving cached copies of static content such as images, video segments, scripts and app assets.</w:t>
      </w:r>
    </w:p>
    <w:p>
      <w:pPr>
        <w:pStyle w:val="ListParagraph"/>
        <w:numPr>
          <w:ilvl w:val="0"/>
          <w:numId w:val="2"/>
        </w:numPr>
        <w:spacing w:after="90"/>
      </w:pPr>
      <w:r>
        <w:rPr>
          <w:rFonts w:ascii="Calibri" w:cs="Calibri" w:eastAsia="Calibri" w:hAnsi="Calibri"/>
          <w:color w:val="262626"/>
          <w:sz w:val="22"/>
          <w:szCs w:val="22"/>
        </w:rPr>
        <w:t xml:space="preserve">When a user makes a request, it is routed to the nearest edge location instead of the origin server, which cuts the physical distance the data has to travel and therefore cuts latency.</w:t>
      </w:r>
    </w:p>
    <w:p>
      <w:pPr>
        <w:pStyle w:val="ListParagraph"/>
        <w:numPr>
          <w:ilvl w:val="0"/>
          <w:numId w:val="2"/>
        </w:numPr>
        <w:spacing w:after="90"/>
      </w:pPr>
      <w:r>
        <w:rPr>
          <w:rFonts w:ascii="Calibri" w:cs="Calibri" w:eastAsia="Calibri" w:hAnsi="Calibri"/>
          <w:color w:val="262626"/>
          <w:sz w:val="22"/>
          <w:szCs w:val="22"/>
        </w:rPr>
        <w:t xml:space="preserve">Only a cache miss, meaning content the edge location does not already have, needs to travel back to the origin, after which it is cached at the edge for subsequent users in that region.</w:t>
      </w:r>
    </w:p>
    <w:p>
      <w:pPr>
        <w:keepNext/>
        <w:spacing w:after="100" w:before="240"/>
        <w:jc w:val="center"/>
      </w:pPr>
      <w:r>
        <w:rPr>
          <w:rFonts w:ascii="Calibri" w:cs="Calibri" w:eastAsia="Calibri" w:hAnsi="Calibri"/>
          <w:b/>
          <w:bCs/>
          <w:i/>
          <w:iCs/>
          <w:color w:val="0F766E"/>
          <w:sz w:val="20"/>
          <w:szCs w:val="20"/>
        </w:rPr>
        <w:t xml:space="preserve">Figure 3.1  Edge Delivery versus Origin Delivery</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0"/>
                      <w:szCs w:val="20"/>
                    </w:rPr>
                    <w:t xml:space="preserve">User in Asia</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0"/>
                      <w:szCs w:val="20"/>
                    </w:rPr>
                    <w:t xml:space="preserve">User in Europe</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0"/>
                      <w:szCs w:val="20"/>
                    </w:rPr>
                    <w:t xml:space="preserve">User in North America</w:t>
                  </w:r>
                </w:p>
              </w:tc>
            </w:tr>
          </w:tbl>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0"/>
                      <w:szCs w:val="20"/>
                    </w:rPr>
                    <w:t xml:space="preserve">Nearest Edge Server</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0"/>
                      <w:szCs w:val="20"/>
                    </w:rPr>
                    <w:t xml:space="preserve">Nearest Edge Server</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0"/>
                      <w:szCs w:val="20"/>
                    </w:rPr>
                    <w:t xml:space="preserve">Nearest Edge Server</w:t>
                  </w:r>
                </w:p>
              </w:tc>
            </w:tr>
          </w:tbl>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Origin server, contacted only on a cache miss</w:t>
            </w:r>
          </w:p>
        </w:tc>
      </w:tr>
    </w:tbl>
    <w:p>
      <w:pPr>
        <w:spacing w:after="260" w:before="80"/>
        <w:jc w:val="center"/>
      </w:pPr>
      <w:r>
        <w:rPr>
          <w:rFonts w:ascii="Calibri" w:cs="Calibri" w:eastAsia="Calibri" w:hAnsi="Calibri"/>
          <w:i/>
          <w:iCs/>
          <w:color w:val="595959"/>
          <w:sz w:val="19"/>
          <w:szCs w:val="19"/>
        </w:rPr>
        <w:t xml:space="preserve">Each region is served locally, and only uncached requests travel back to the origin</w:t>
      </w:r>
    </w:p>
    <w:p>
      <w:pPr>
        <w:keepNext/>
        <w:spacing w:after="100" w:before="220"/>
      </w:pPr>
      <w:r>
        <w:rPr>
          <w:rFonts w:ascii="Calibri" w:cs="Calibri" w:eastAsia="Calibri" w:hAnsi="Calibri"/>
          <w:b/>
          <w:bCs/>
          <w:color w:val="0F766E"/>
          <w:sz w:val="24"/>
          <w:szCs w:val="24"/>
        </w:rPr>
        <w:t xml:space="preserve">Role of Edge Servers in User Experience</w:t>
      </w:r>
    </w:p>
    <w:p>
      <w:pPr>
        <w:spacing w:after="140" w:line="300"/>
        <w:jc w:val="both"/>
      </w:pPr>
      <w:r>
        <w:rPr>
          <w:rFonts w:ascii="Calibri" w:cs="Calibri" w:eastAsia="Calibri" w:hAnsi="Calibri"/>
          <w:color w:val="262626"/>
          <w:sz w:val="22"/>
          <w:szCs w:val="22"/>
        </w:rPr>
        <w:t xml:space="preserve">Edge servers do more than cache static files. Many CDNs now run edge compute functions that can personalize responses, enforce security rules, or perform SSL termination close to the user, which removes additional round trips to the origin. This keeps app load times and API response times consistent regardless of which region a user is connecting from, instead of the experience degrading sharply for users far from wherever the origin happens to be hosted.</w:t>
      </w:r>
    </w:p>
    <w:p>
      <w:pPr>
        <w:keepNext/>
        <w:spacing w:after="100" w:before="220"/>
      </w:pPr>
      <w:r>
        <w:rPr>
          <w:rFonts w:ascii="Calibri" w:cs="Calibri" w:eastAsia="Calibri" w:hAnsi="Calibri"/>
          <w:b/>
          <w:bCs/>
          <w:color w:val="0F766E"/>
          <w:sz w:val="24"/>
          <w:szCs w:val="24"/>
        </w:rPr>
        <w:t xml:space="preserve">How Cloud Providers Support Global Availability</w:t>
      </w:r>
    </w:p>
    <w:p>
      <w:pPr>
        <w:spacing w:after="140" w:line="300"/>
        <w:jc w:val="both"/>
      </w:pPr>
      <w:r>
        <w:rPr>
          <w:rFonts w:ascii="Calibri" w:cs="Calibri" w:eastAsia="Calibri" w:hAnsi="Calibri"/>
          <w:color w:val="262626"/>
          <w:sz w:val="22"/>
          <w:szCs w:val="22"/>
        </w:rPr>
        <w:t xml:space="preserve">Cloud providers pair CDNs with globally distributed regions and availability zones, DNS-based routing that sends users to the nearest healthy endpoint, and autoscaling at the origin so backend services can absorb traffic that does reach them. Together this lets an application be deployed once and served consistently worldwide, rather than the company having to build and operate its own infrastructure in every country it wants to reach.</w:t>
      </w:r>
    </w:p>
    <w:p>
      <w:pPr>
        <w:keepNext/>
        <w:spacing w:after="100" w:before="220"/>
      </w:pPr>
      <w:r>
        <w:rPr>
          <w:rFonts w:ascii="Calibri" w:cs="Calibri" w:eastAsia="Calibri" w:hAnsi="Calibri"/>
          <w:b/>
          <w:bCs/>
          <w:color w:val="0F766E"/>
          <w:sz w:val="24"/>
          <w:szCs w:val="24"/>
        </w:rPr>
        <w:t xml:space="preserve">Real-Time Streaming or Gaming Example</w:t>
      </w:r>
    </w:p>
    <w:p>
      <w:pPr>
        <w:spacing w:after="140" w:line="300"/>
        <w:jc w:val="both"/>
      </w:pPr>
      <w:r>
        <w:rPr>
          <w:rFonts w:ascii="Calibri" w:cs="Calibri" w:eastAsia="Calibri" w:hAnsi="Calibri"/>
          <w:color w:val="262626"/>
          <w:sz w:val="22"/>
          <w:szCs w:val="22"/>
        </w:rPr>
        <w:t xml:space="preserve">A live video streaming platform broadcasting a global event uses edge servers to cache and deliver video segments close to viewers in each region, keeping buffering low and playback smooth even during peak concurrent viewership, while a multiplayer gaming platform uses edge locations to reduce the round-trip time between a player and the nearest game server, which is what keeps real-time gameplay feeling responsive instead of laggy.</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4 : Regulatory Compliance and Data Security in Financial Cloud Usage</w:t>
      </w:r>
    </w:p>
    <w:p>
      <w:pPr>
        <w:spacing w:after="140" w:line="300"/>
        <w:jc w:val="both"/>
      </w:pPr>
      <w:r>
        <w:rPr>
          <w:rFonts w:ascii="Calibri" w:cs="Calibri" w:eastAsia="Calibri" w:hAnsi="Calibri"/>
          <w:color w:val="262626"/>
          <w:sz w:val="22"/>
          <w:szCs w:val="22"/>
        </w:rPr>
        <w:t xml:space="preserve">A financial institution moving to the cloud has to prove, not just claim, that customer data is protected and that every access to it can be accounted for. Cloud providers support this through compliance certifications, built-in audit capabilities, and security controls that the institution configures on top of the provider's infrastructure.</w:t>
      </w:r>
    </w:p>
    <w:p>
      <w:pPr>
        <w:keepNext/>
        <w:spacing w:after="100" w:before="220"/>
      </w:pPr>
      <w:r>
        <w:rPr>
          <w:rFonts w:ascii="Calibri" w:cs="Calibri" w:eastAsia="Calibri" w:hAnsi="Calibri"/>
          <w:b/>
          <w:bCs/>
          <w:color w:val="0F766E"/>
          <w:sz w:val="24"/>
          <w:szCs w:val="24"/>
        </w:rPr>
        <w:t xml:space="preserve">How Cloud Providers Support Compliance and Auditing</w:t>
      </w:r>
    </w:p>
    <w:p>
      <w:pPr>
        <w:pStyle w:val="ListParagraph"/>
        <w:numPr>
          <w:ilvl w:val="0"/>
          <w:numId w:val="2"/>
        </w:numPr>
        <w:spacing w:after="90"/>
      </w:pPr>
      <w:r>
        <w:rPr>
          <w:rFonts w:ascii="Calibri" w:cs="Calibri" w:eastAsia="Calibri" w:hAnsi="Calibri"/>
          <w:color w:val="262626"/>
          <w:sz w:val="22"/>
          <w:szCs w:val="22"/>
        </w:rPr>
        <w:t xml:space="preserve">Major providers maintain independently audited certifications such as ISO 27001, SOC 2 and PCI DSS, and publish compliance reports the institution can use as evidence during its own regulatory audits.</w:t>
      </w:r>
    </w:p>
    <w:p>
      <w:pPr>
        <w:pStyle w:val="ListParagraph"/>
        <w:numPr>
          <w:ilvl w:val="0"/>
          <w:numId w:val="2"/>
        </w:numPr>
        <w:spacing w:after="90"/>
      </w:pPr>
      <w:r>
        <w:rPr>
          <w:rFonts w:ascii="Calibri" w:cs="Calibri" w:eastAsia="Calibri" w:hAnsi="Calibri"/>
          <w:color w:val="262626"/>
          <w:sz w:val="22"/>
          <w:szCs w:val="22"/>
        </w:rPr>
        <w:t xml:space="preserve">Built-in audit services record every API call and console action, including who accessed what resource and when, creating an immutable trail that examiners can review.</w:t>
      </w:r>
    </w:p>
    <w:p>
      <w:pPr>
        <w:pStyle w:val="ListParagraph"/>
        <w:numPr>
          <w:ilvl w:val="0"/>
          <w:numId w:val="2"/>
        </w:numPr>
        <w:spacing w:after="90"/>
      </w:pPr>
      <w:r>
        <w:rPr>
          <w:rFonts w:ascii="Calibri" w:cs="Calibri" w:eastAsia="Calibri" w:hAnsi="Calibri"/>
          <w:color w:val="262626"/>
          <w:sz w:val="22"/>
          <w:szCs w:val="22"/>
        </w:rPr>
        <w:t xml:space="preserve">Compliance dashboards and policy engines continuously check the institution's configuration against a chosen regulatory framework and flag drift automatically, rather than relying on periodic manual review.</w:t>
      </w:r>
    </w:p>
    <w:p>
      <w:pPr>
        <w:keepNext/>
        <w:spacing w:after="100" w:before="220"/>
      </w:pPr>
      <w:r>
        <w:rPr>
          <w:rFonts w:ascii="Calibri" w:cs="Calibri" w:eastAsia="Calibri" w:hAnsi="Calibri"/>
          <w:b/>
          <w:bCs/>
          <w:color w:val="0F766E"/>
          <w:sz w:val="24"/>
          <w:szCs w:val="24"/>
        </w:rPr>
        <w:t xml:space="preserve">Role of Logging, Monitoring and Encryption</w:t>
      </w:r>
    </w:p>
    <w:p>
      <w:pPr>
        <w:spacing w:after="140" w:line="300"/>
        <w:jc w:val="both"/>
      </w:pPr>
      <w:r>
        <w:rPr>
          <w:rFonts w:ascii="Calibri" w:cs="Calibri" w:eastAsia="Calibri" w:hAnsi="Calibri"/>
          <w:color w:val="262626"/>
          <w:sz w:val="22"/>
          <w:szCs w:val="22"/>
        </w:rPr>
        <w:t xml:space="preserve">Logging captures a record of every action taken on financial data and infrastructure, which is the raw evidence an auditor or investigator relies on. Monitoring analyzes that log data in near real time to detect unusual access patterns, such as a login from an unexpected location or a spike in data export volume, and can trigger an alert before a small anomaly becomes a breach. Encryption, applied both at rest and in transit, ensures that even if data were accessed outside an authorized path, it would remain unreadable without the corresponding keys, which are themselves access-controlled and rotated on a schedule.</w:t>
      </w:r>
    </w:p>
    <w:p>
      <w:pPr>
        <w:keepNext/>
        <w:spacing w:after="100" w:before="240"/>
        <w:jc w:val="center"/>
      </w:pPr>
      <w:r>
        <w:rPr>
          <w:rFonts w:ascii="Calibri" w:cs="Calibri" w:eastAsia="Calibri" w:hAnsi="Calibri"/>
          <w:b/>
          <w:bCs/>
          <w:i/>
          <w:iCs/>
          <w:color w:val="0F766E"/>
          <w:sz w:val="20"/>
          <w:szCs w:val="20"/>
        </w:rPr>
        <w:t xml:space="preserve">Figure 4.1  Compliance Control Chain</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Financial transaction data generated</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1"/>
                <w:szCs w:val="21"/>
              </w:rPr>
              <w:t xml:space="preserve">Encrypted at rest and in transit</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1"/>
                <w:szCs w:val="21"/>
              </w:rPr>
              <w:t xml:space="preserve">Every access logged with identity, time and action</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1"/>
                <w:szCs w:val="21"/>
              </w:rPr>
              <w:t xml:space="preserve">Monitoring flags anomalies in real time</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1"/>
                <w:szCs w:val="21"/>
              </w:rPr>
              <w:t xml:space="preserve">Audit trail available for regulatory review</w:t>
            </w:r>
          </w:p>
        </w:tc>
      </w:tr>
    </w:tbl>
    <w:p>
      <w:pPr>
        <w:spacing w:after="260" w:before="80"/>
        <w:jc w:val="center"/>
      </w:pPr>
      <w:r>
        <w:rPr>
          <w:rFonts w:ascii="Calibri" w:cs="Calibri" w:eastAsia="Calibri" w:hAnsi="Calibri"/>
          <w:i/>
          <w:iCs/>
          <w:color w:val="595959"/>
          <w:sz w:val="19"/>
          <w:szCs w:val="19"/>
        </w:rPr>
        <w:t xml:space="preserve">Each stage produces evidence the institution can present to a regulator on demand</w:t>
      </w:r>
    </w:p>
    <w:p>
      <w:pPr>
        <w:keepNext/>
        <w:spacing w:after="100" w:before="220"/>
      </w:pPr>
      <w:r>
        <w:rPr>
          <w:rFonts w:ascii="Calibri" w:cs="Calibri" w:eastAsia="Calibri" w:hAnsi="Calibri"/>
          <w:b/>
          <w:bCs/>
          <w:color w:val="0F766E"/>
          <w:sz w:val="24"/>
          <w:szCs w:val="24"/>
        </w:rPr>
        <w:t xml:space="preserve">Meeting Data Sovereignty Requirements</w:t>
      </w:r>
    </w:p>
    <w:p>
      <w:pPr>
        <w:spacing w:after="140" w:line="300"/>
        <w:jc w:val="both"/>
      </w:pPr>
      <w:r>
        <w:rPr>
          <w:rFonts w:ascii="Calibri" w:cs="Calibri" w:eastAsia="Calibri" w:hAnsi="Calibri"/>
          <w:color w:val="262626"/>
          <w:sz w:val="22"/>
          <w:szCs w:val="22"/>
        </w:rPr>
        <w:t xml:space="preserve">Data sovereignty rules typically require that certain financial data stay within a specific country or region's legal jurisdiction. The institution meets this by selecting cloud regions located within the required jurisdiction, using the provider's region-locking and data residency controls to prevent data or backups from replicating outside that boundary, and confirming through the provider's compliance documentation that support and operational access to that region are similarly restricted.</w:t>
      </w:r>
    </w:p>
    <w:p>
      <w:pPr>
        <w:keepNext/>
        <w:spacing w:after="100" w:before="220"/>
      </w:pPr>
      <w:r>
        <w:rPr>
          <w:rFonts w:ascii="Calibri" w:cs="Calibri" w:eastAsia="Calibri" w:hAnsi="Calibri"/>
          <w:b/>
          <w:bCs/>
          <w:color w:val="0F766E"/>
          <w:sz w:val="24"/>
          <w:szCs w:val="24"/>
        </w:rPr>
        <w:t xml:space="preserve">Sensitive Financial Transaction Example</w:t>
      </w:r>
    </w:p>
    <w:p>
      <w:pPr>
        <w:spacing w:after="140" w:line="300"/>
        <w:jc w:val="both"/>
      </w:pPr>
      <w:r>
        <w:rPr>
          <w:rFonts w:ascii="Calibri" w:cs="Calibri" w:eastAsia="Calibri" w:hAnsi="Calibri"/>
          <w:color w:val="262626"/>
          <w:sz w:val="22"/>
          <w:szCs w:val="22"/>
        </w:rPr>
        <w:t xml:space="preserve">A bank processing card payments can keep transaction records encrypted at rest within its chosen region, log every read and write against those records with the identity of the service or employee involved, and let monitoring tools flag an unusual pattern such as a bulk export of account numbers outside business hours. If a regulator later asks for evidence of who accessed a specific customer's data and when, the audit log provides that answer directly instead of the bank having to reconstruct it after the fact.</w:t>
      </w:r>
    </w:p>
    <w:p>
      <w:pPr>
        <w:pStyle w:val="Heading1"/>
        <w:pageBreakBefore/>
        <w:pBdr>
          <w:bottom w:val="single" w:color="0F766E" w:sz="8" w:space="4"/>
        </w:pBdr>
        <w:spacing w:after="160" w:before="320"/>
      </w:pPr>
      <w:r>
        <w:rPr>
          <w:rFonts w:ascii="Calibri" w:cs="Calibri" w:eastAsia="Calibri" w:hAnsi="Calibri"/>
          <w:b/>
          <w:bCs/>
          <w:color w:val="1F3864"/>
          <w:sz w:val="30"/>
          <w:szCs w:val="30"/>
        </w:rPr>
        <w:t xml:space="preserve">Question 5 : Containerization and Orchestration for Application Deployment</w:t>
      </w:r>
    </w:p>
    <w:p>
      <w:pPr>
        <w:spacing w:after="140" w:line="300"/>
        <w:jc w:val="both"/>
      </w:pPr>
      <w:r>
        <w:rPr>
          <w:rFonts w:ascii="Calibri" w:cs="Calibri" w:eastAsia="Calibri" w:hAnsi="Calibri"/>
          <w:color w:val="262626"/>
          <w:sz w:val="22"/>
          <w:szCs w:val="22"/>
        </w:rPr>
        <w:t xml:space="preserve">A development team choosing between virtual machines and containers is really choosing how much of the operating system they want to carry with every deployed unit. That choice affects performance, resource usage, and how easily the application moves between environments.</w:t>
      </w:r>
    </w:p>
    <w:p>
      <w:pPr>
        <w:keepNext/>
        <w:spacing w:after="100" w:before="220"/>
      </w:pPr>
      <w:r>
        <w:rPr>
          <w:rFonts w:ascii="Calibri" w:cs="Calibri" w:eastAsia="Calibri" w:hAnsi="Calibri"/>
          <w:b/>
          <w:bCs/>
          <w:color w:val="0F766E"/>
          <w:sz w:val="24"/>
          <w:szCs w:val="24"/>
        </w:rPr>
        <w:t xml:space="preserve">Containers versus Virtual Machines</w:t>
      </w:r>
    </w:p>
    <w:tbl>
      <w:tblPr>
        <w:tblW w:type="dxa" w:w="9350"/>
        <w:jc w:val="center"/>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575"/>
        <w:gridCol w:w="3575"/>
      </w:tblGrid>
      <w:tr>
        <w:trPr>
          <w:cantSplit/>
          <w:tblHeader/>
        </w:trPr>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Aspect</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Virtual Machine</w:t>
            </w:r>
          </w:p>
        </w:tc>
        <w:tc>
          <w:tcPr>
            <w:tcW w:type="dxa" w:w="0"/>
            <w:shd w:fill="1F3864" w:color="auto"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Container</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What it includes</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Full guest operating system plus the application</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Application and its dependencies only, shares host OS kernel</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Startup time</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Minutes, a full OS boot is required</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Seconds, no OS boot required</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Resource usage</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Heavier, each VM duplicates OS overhead</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Lighter, many containers share one OS kernel</w:t>
            </w:r>
          </w:p>
        </w:tc>
      </w:tr>
      <w:tr>
        <w:trPr>
          <w:cantSplit/>
        </w:trPr>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Density per host</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Lower, limited by per-VM OS overhead</w:t>
            </w:r>
          </w:p>
        </w:tc>
        <w:tc>
          <w:tcPr>
            <w:tcW w:type="dxa" w:w="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Higher, more containers fit on the same hardware</w:t>
            </w:r>
          </w:p>
        </w:tc>
      </w:tr>
      <w:tr>
        <w:trPr>
          <w:cantSplit/>
        </w:trPr>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bCs/>
                <w:color w:val="262626"/>
                <w:sz w:val="20"/>
                <w:szCs w:val="20"/>
              </w:rPr>
              <w:t xml:space="preserve">Isolation strength</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Strong, hardware-level separation</w:t>
            </w:r>
          </w:p>
        </w:tc>
        <w:tc>
          <w:tcPr>
            <w:tcW w:type="dxa" w:w="0"/>
            <w:shd w:fill="F2F2F2"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262626"/>
                <w:sz w:val="20"/>
                <w:szCs w:val="20"/>
              </w:rPr>
              <w:t xml:space="preserve">Process-level, lighter but less isolated than a VM</w:t>
            </w:r>
          </w:p>
        </w:tc>
      </w:tr>
    </w:tbl>
    <w:p>
      <w:pPr>
        <w:spacing w:after="260" w:before="80"/>
        <w:jc w:val="center"/>
      </w:pPr>
      <w:r>
        <w:rPr>
          <w:rFonts w:ascii="Calibri" w:cs="Calibri" w:eastAsia="Calibri" w:hAnsi="Calibri"/>
          <w:i/>
          <w:iCs/>
          <w:color w:val="595959"/>
          <w:sz w:val="19"/>
          <w:szCs w:val="19"/>
        </w:rPr>
        <w:t xml:space="preserve">Table 5.1  Performance and resource usage comparison between containers and virtual machines</w:t>
      </w:r>
    </w:p>
    <w:p>
      <w:pPr>
        <w:keepNext/>
        <w:spacing w:after="100" w:before="220"/>
      </w:pPr>
      <w:r>
        <w:rPr>
          <w:rFonts w:ascii="Calibri" w:cs="Calibri" w:eastAsia="Calibri" w:hAnsi="Calibri"/>
          <w:b/>
          <w:bCs/>
          <w:color w:val="0F766E"/>
          <w:sz w:val="24"/>
          <w:szCs w:val="24"/>
        </w:rPr>
        <w:t xml:space="preserve">How Orchestration Simplifies Deployment and Scaling</w:t>
      </w:r>
    </w:p>
    <w:p>
      <w:pPr>
        <w:spacing w:after="140" w:line="300"/>
        <w:jc w:val="both"/>
      </w:pPr>
      <w:r>
        <w:rPr>
          <w:rFonts w:ascii="Calibri" w:cs="Calibri" w:eastAsia="Calibri" w:hAnsi="Calibri"/>
          <w:color w:val="262626"/>
          <w:sz w:val="22"/>
          <w:szCs w:val="22"/>
        </w:rPr>
        <w:t xml:space="preserve">Running a handful of containers by hand is manageable, but a production application made of many microservices needs something to decide where each container runs, restart it if it crashes, and scale it up or down with demand. Kubernetes provides exactly this. It schedules containers onto available cluster nodes based on resource needs, continuously checks container health and replaces failed instances automatically, and scales the number of running replicas up or down based on load, all driven by a declarative configuration rather than manual commands.</w:t>
      </w:r>
    </w:p>
    <w:p>
      <w:pPr>
        <w:keepNext/>
        <w:spacing w:after="100" w:before="240"/>
        <w:jc w:val="center"/>
      </w:pPr>
      <w:r>
        <w:rPr>
          <w:rFonts w:ascii="Calibri" w:cs="Calibri" w:eastAsia="Calibri" w:hAnsi="Calibri"/>
          <w:b/>
          <w:bCs/>
          <w:i/>
          <w:iCs/>
          <w:color w:val="0F766E"/>
          <w:sz w:val="20"/>
          <w:szCs w:val="20"/>
        </w:rPr>
        <w:t xml:space="preserve">Figure 5.1  Kubernetes Orchestration Flow</w:t>
      </w:r>
    </w:p>
    <w:tbl>
      <w:tblPr>
        <w:tblW w:type="pct" w:w="100%"/>
        <w:jc w:val="center"/>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rPr>
          <w:cantSplit/>
        </w:trPr>
        <w:tc>
          <w:tcPr>
            <w:shd w:fill="DCE6F1" w:color="auto" w:val="clear"/>
            <w:tcMar>
              <w:top w:type="dxa" w:w="120"/>
              <w:left w:type="dxa" w:w="160"/>
              <w:bottom w:type="dxa" w:w="120"/>
              <w:right w:type="dxa" w:w="160"/>
            </w:tcMar>
            <w:vAlign w:val="center"/>
          </w:tcPr>
          <w:p>
            <w:pPr>
              <w:jc w:val="center"/>
            </w:pPr>
            <w:r>
              <w:rPr>
                <w:rFonts w:ascii="Calibri" w:cs="Calibri" w:eastAsia="Calibri" w:hAnsi="Calibri"/>
                <w:b/>
                <w:bCs/>
                <w:color w:val="1F3864"/>
                <w:sz w:val="21"/>
                <w:szCs w:val="21"/>
              </w:rPr>
              <w:t xml:space="preserve">Developer defines desired state (replicas, resources, image)</w:t>
            </w:r>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rPr>
          <w:cantSplit/>
        </w:trPr>
        <w:tc>
          <w:tcPr>
            <w:shd w:fill="D9F2EE" w:color="auto" w:val="clear"/>
            <w:tcMar>
              <w:top w:type="dxa" w:w="120"/>
              <w:left w:type="dxa" w:w="160"/>
              <w:bottom w:type="dxa" w:w="120"/>
              <w:right w:type="dxa" w:w="160"/>
            </w:tcMar>
            <w:vAlign w:val="center"/>
          </w:tcPr>
          <w:p>
            <w:pPr>
              <w:jc w:val="center"/>
            </w:pPr>
            <w:r>
              <w:rPr>
                <w:rFonts w:ascii="Calibri" w:cs="Calibri" w:eastAsia="Calibri" w:hAnsi="Calibri"/>
                <w:b/>
                <w:bCs/>
                <w:color w:val="0F766E"/>
                <w:sz w:val="21"/>
                <w:szCs w:val="21"/>
              </w:rPr>
              <w:t xml:space="preserve">Kubernetes scheduler places containers across cluster nodes</w:t>
            </w:r>
          </w:p>
        </w:tc>
      </w:tr>
    </w:tbl>
    <w:p>
      <w:pPr>
        <w:spacing w:after="20" w:before="20"/>
        <w:jc w:val="center"/>
      </w:pPr>
      <w:r>
        <w:rPr>
          <w:rFonts w:ascii="Calibri" w:cs="Calibri" w:eastAsia="Calibri" w:hAnsi="Calibri"/>
          <w:b/>
          <w:bCs/>
          <w:color w:val="595959"/>
          <w:sz w:val="30"/>
          <w:szCs w:val="30"/>
        </w:rPr>
        <w:t xml:space="preserve">↓</w:t>
      </w:r>
    </w:p>
    <w:tbl>
      <w:tblPr>
        <w:tblW w:type="dxa" w:w="93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rPr>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Node 1
Containers</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Node 2
Containers</w:t>
                  </w:r>
                </w:p>
              </w:tc>
            </w:tr>
          </w:tbl>
          <w:p/>
        </w:tc>
        <w:tc>
          <w:tcPr>
            <w:tcW w:type="dxa" w:w="3116"/>
            <w:tcBorders>
              <w:top w:val="none" w:color="FFFFFF" w:sz="0"/>
              <w:left w:val="none" w:color="FFFFFF" w:sz="0"/>
              <w:bottom w:val="none" w:color="FFFFFF" w:sz="0"/>
              <w:right w:val="none" w:color="FFFFFF" w:sz="0"/>
            </w:tcBorders>
            <w:tcMar>
              <w:left w:type="dxa" w:w="80"/>
              <w:right w:type="dxa" w:w="80"/>
            </w:tcMar>
          </w:tcPr>
          <w:tbl>
            <w:tblPr>
              <w:tblW w:type="pct" w:w="100%"/>
              <w:jc w:val="center"/>
              <w:tblBorders>
                <w:top w:val="single" w:color="375623" w:sz="4"/>
                <w:left w:val="single" w:color="375623" w:sz="4"/>
                <w:bottom w:val="single" w:color="375623" w:sz="4"/>
                <w:right w:val="single" w:color="375623" w:sz="4"/>
                <w:insideH w:val="none" w:color="FFFFFF" w:sz="0"/>
                <w:insideV w:val="none" w:color="FFFFFF" w:sz="0"/>
              </w:tblBorders>
            </w:tblPr>
            <w:tblGrid>
              <w:gridCol w:w="100"/>
            </w:tblGrid>
            <w:tr>
              <w:trPr>
                <w:cantSplit/>
              </w:trPr>
              <w:tc>
                <w:tcPr>
                  <w:shd w:fill="E5F0E3" w:color="auto" w:val="clear"/>
                  <w:tcMar>
                    <w:top w:type="dxa" w:w="120"/>
                    <w:left w:type="dxa" w:w="160"/>
                    <w:bottom w:type="dxa" w:w="120"/>
                    <w:right w:type="dxa" w:w="160"/>
                  </w:tcMar>
                  <w:vAlign w:val="center"/>
                </w:tcPr>
                <w:p>
                  <w:pPr>
                    <w:jc w:val="center"/>
                  </w:pPr>
                  <w:r>
                    <w:rPr>
                      <w:rFonts w:ascii="Calibri" w:cs="Calibri" w:eastAsia="Calibri" w:hAnsi="Calibri"/>
                      <w:b/>
                      <w:bCs/>
                      <w:color w:val="375623"/>
                      <w:sz w:val="20"/>
                      <w:szCs w:val="20"/>
                    </w:rPr>
                    <w:t xml:space="preserve">Node 3
Containers</w:t>
                  </w:r>
                </w:p>
              </w:tc>
            </w:tr>
          </w:tbl>
          <w:p/>
        </w:tc>
      </w:tr>
    </w:tbl>
    <w:p>
      <w:pPr>
        <w:spacing w:after="20" w:before="20"/>
        <w:jc w:val="center"/>
      </w:pPr>
      <w:r>
        <w:rPr>
          <w:rFonts w:ascii="Calibri" w:cs="Calibri" w:eastAsia="Calibri" w:hAnsi="Calibri"/>
          <w:b/>
          <w:bCs/>
          <w:color w:val="595959"/>
          <w:sz w:val="30"/>
          <w:szCs w:val="30"/>
        </w:rPr>
        <w:t xml:space="preserve">↓</w:t>
      </w:r>
    </w:p>
    <w:tbl>
      <w:tblPr>
        <w:tblW w:type="pct" w:w="100%"/>
        <w:jc w:val="center"/>
        <w:tblBorders>
          <w:top w:val="single" w:color="B45309" w:sz="4"/>
          <w:left w:val="single" w:color="B45309" w:sz="4"/>
          <w:bottom w:val="single" w:color="B45309" w:sz="4"/>
          <w:right w:val="single" w:color="B45309" w:sz="4"/>
          <w:insideH w:val="none" w:color="FFFFFF" w:sz="0"/>
          <w:insideV w:val="none" w:color="FFFFFF" w:sz="0"/>
        </w:tblBorders>
      </w:tblPr>
      <w:tblGrid>
        <w:gridCol w:w="100"/>
      </w:tblGrid>
      <w:tr>
        <w:trPr>
          <w:cantSplit/>
        </w:trPr>
        <w:tc>
          <w:tcPr>
            <w:shd w:fill="FCE9D9" w:color="auto" w:val="clear"/>
            <w:tcMar>
              <w:top w:type="dxa" w:w="120"/>
              <w:left w:type="dxa" w:w="160"/>
              <w:bottom w:type="dxa" w:w="120"/>
              <w:right w:type="dxa" w:w="160"/>
            </w:tcMar>
            <w:vAlign w:val="center"/>
          </w:tcPr>
          <w:p>
            <w:pPr>
              <w:jc w:val="center"/>
            </w:pPr>
            <w:r>
              <w:rPr>
                <w:rFonts w:ascii="Calibri" w:cs="Calibri" w:eastAsia="Calibri" w:hAnsi="Calibri"/>
                <w:b/>
                <w:bCs/>
                <w:color w:val="B45309"/>
                <w:sz w:val="21"/>
                <w:szCs w:val="21"/>
              </w:rPr>
              <w:t xml:space="preserve">Kubernetes continuously reconciles actual state with desired state</w:t>
            </w:r>
          </w:p>
        </w:tc>
      </w:tr>
    </w:tbl>
    <w:p>
      <w:pPr>
        <w:spacing w:after="260" w:before="80"/>
        <w:jc w:val="center"/>
      </w:pPr>
      <w:r>
        <w:rPr>
          <w:rFonts w:ascii="Calibri" w:cs="Calibri" w:eastAsia="Calibri" w:hAnsi="Calibri"/>
          <w:i/>
          <w:iCs/>
          <w:color w:val="595959"/>
          <w:sz w:val="19"/>
          <w:szCs w:val="19"/>
        </w:rPr>
        <w:t xml:space="preserve">Kubernetes keeps replacing, rescheduling and scaling containers so the running cluster always matches what was declared</w:t>
      </w:r>
    </w:p>
    <w:p>
      <w:pPr>
        <w:keepNext/>
        <w:spacing w:after="100" w:before="220"/>
      </w:pPr>
      <w:r>
        <w:rPr>
          <w:rFonts w:ascii="Calibri" w:cs="Calibri" w:eastAsia="Calibri" w:hAnsi="Calibri"/>
          <w:b/>
          <w:bCs/>
          <w:color w:val="0F766E"/>
          <w:sz w:val="24"/>
          <w:szCs w:val="24"/>
        </w:rPr>
        <w:t xml:space="preserve">Portability Across Cloud Environments</w:t>
      </w:r>
    </w:p>
    <w:p>
      <w:pPr>
        <w:spacing w:after="140" w:line="300"/>
        <w:jc w:val="both"/>
      </w:pPr>
      <w:r>
        <w:rPr>
          <w:rFonts w:ascii="Calibri" w:cs="Calibri" w:eastAsia="Calibri" w:hAnsi="Calibri"/>
          <w:color w:val="262626"/>
          <w:sz w:val="22"/>
          <w:szCs w:val="22"/>
        </w:rPr>
        <w:t xml:space="preserve">Because a container packages the application with its exact dependencies rather than relying on whatever is installed on the host, the same container image runs identically on a developer laptop, an on-premises cluster, or any major cloud provider. Kubernetes itself is available as a managed service on every major cloud, so the same deployment configuration can be pointed at a different provider with minimal change, which avoids being locked into one vendor's infrastructure.</w:t>
      </w:r>
    </w:p>
    <w:p>
      <w:pPr>
        <w:keepNext/>
        <w:spacing w:after="100" w:before="220"/>
      </w:pPr>
      <w:r>
        <w:rPr>
          <w:rFonts w:ascii="Calibri" w:cs="Calibri" w:eastAsia="Calibri" w:hAnsi="Calibri"/>
          <w:b/>
          <w:bCs/>
          <w:color w:val="0F766E"/>
          <w:sz w:val="24"/>
          <w:szCs w:val="24"/>
        </w:rPr>
        <w:t xml:space="preserve">Microservices-Based Application Example</w:t>
      </w:r>
    </w:p>
    <w:p>
      <w:pPr>
        <w:spacing w:after="140" w:line="300"/>
        <w:jc w:val="both"/>
      </w:pPr>
      <w:r>
        <w:rPr>
          <w:rFonts w:ascii="Calibri" w:cs="Calibri" w:eastAsia="Calibri" w:hAnsi="Calibri"/>
          <w:color w:val="262626"/>
          <w:sz w:val="22"/>
          <w:szCs w:val="22"/>
        </w:rPr>
        <w:t xml:space="preserve">An online food delivery platform can split its system into separate services for order placement, payment processing, restaurant menus and delivery tracking, each packaged as its own container. Kubernetes can then scale just the order placement service during a lunch-hour surge without needing to scale the entire application, and if the payment service needs a security patch, only that container image is rebuilt and redeployed, leaving the rest of the platform untouched.</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Vino Aldrin E   |   192511481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CSA1516  |  Cloud Computing and Big Data Analytics  |  Assessment Tool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2026-08-10T02:38:52.098Z</dcterms:created>
  <dcterms:modified xsi:type="dcterms:W3CDTF">2026-08-10T02:38:52.101Z</dcterms:modified>
</cp:coreProperties>
</file>

<file path=docProps/custom.xml><?xml version="1.0" encoding="utf-8"?>
<Properties xmlns="http://schemas.openxmlformats.org/officeDocument/2006/custom-properties" xmlns:vt="http://schemas.openxmlformats.org/officeDocument/2006/docPropsVTypes"/>
</file>