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Revision de rendimiento INVENTFARM</w:t>
      </w:r>
    </w:p>
    <w:p>
      <w:r>
        <w:rPr>
          <w:b/>
        </w:rPr>
        <w:t xml:space="preserve">Conclusión. </w:t>
      </w:r>
      <w:r>
        <w:t>La base de datos responde con rapidez en el estado actual. La percepción de lentitud se concentra en la cantidad de contenido enviado al navegador, especialmente en los inventarios, y en las librerías cargadas al abrir Reportes. Este documento reúne las mediciones locales y el orden recomendado para corregirlas antes de producción.</w:t>
      </w:r>
    </w:p>
    <w:p>
      <w:pPr>
        <w:pStyle w:val="Heading1"/>
      </w:pPr>
      <w:r>
        <w:t>Alcance de la revisión</w:t>
      </w:r>
    </w:p>
    <w:p>
      <w:r>
        <w:t>Se midieron vistas y servicios reales con una cuenta administradora sobre la base de datos local. Los tiempos corresponden al procesamiento de la vista, sus consultas y el renderizado del HTML; no incluyen latencia de red, descarga de recursos externos ni el tiempo de dibujo del navegador.</w:t>
      </w:r>
    </w:p>
    <w:p>
      <w:pPr>
        <w:pStyle w:val="Heading1"/>
      </w:pPr>
      <w:r>
        <w:t>Mediciones principales</w:t>
      </w:r>
    </w:p>
    <w:tbl>
      <w:tblPr>
        <w:tblW w:type="auto" w:w="0"/>
        <w:jc w:val="center"/>
        <w:tblLayout w:type="fixed"/>
        <w:tblLook w:firstColumn="1" w:firstRow="1" w:lastColumn="0" w:lastRow="0" w:noHBand="0" w:noVBand="1" w:val="04A0"/>
      </w:tblPr>
      <w:tblGrid>
        <w:gridCol w:w="3744"/>
        <w:gridCol w:w="1440"/>
        <w:gridCol w:w="1296"/>
        <w:gridCol w:w="2088"/>
      </w:tblGrid>
      <w:tr>
        <w:tc>
          <w:tcPr>
            <w:tcW w:type="dxa" w:w="3744"/>
            <w:shd w:fill="10312B"/>
            <w:vAlign w:val="center"/>
            <w:tcBorders>
              <w:top w:val="single" w:sz="6" w:color="D9D9D9"/>
              <w:left w:val="single" w:sz="6" w:color="D9D9D9"/>
              <w:bottom w:val="single" w:sz="6" w:color="D9D9D9"/>
              <w:right w:val="single" w:sz="6" w:color="D9D9D9"/>
            </w:tcBorders>
          </w:tcPr>
          <w:p>
            <w:pPr>
              <w:spacing w:after="40"/>
              <w:jc w:val="center"/>
            </w:pPr>
            <w:r/>
            <w:r>
              <w:rPr>
                <w:rFonts w:ascii="Aptos" w:hAnsi="Aptos"/>
                <w:b/>
                <w:color w:val="FFFFFF"/>
                <w:sz w:val="18"/>
              </w:rPr>
              <w:t>Pantalla o servicio</w:t>
            </w:r>
          </w:p>
        </w:tc>
        <w:tc>
          <w:tcPr>
            <w:tcW w:type="dxa" w:w="1440"/>
            <w:shd w:fill="10312B"/>
            <w:vAlign w:val="center"/>
            <w:tcBorders>
              <w:top w:val="single" w:sz="6" w:color="D9D9D9"/>
              <w:left w:val="single" w:sz="6" w:color="D9D9D9"/>
              <w:bottom w:val="single" w:sz="6" w:color="D9D9D9"/>
              <w:right w:val="single" w:sz="6" w:color="D9D9D9"/>
            </w:tcBorders>
          </w:tcPr>
          <w:p>
            <w:pPr>
              <w:spacing w:after="40"/>
              <w:jc w:val="center"/>
            </w:pPr>
            <w:r/>
            <w:r>
              <w:rPr>
                <w:rFonts w:ascii="Aptos" w:hAnsi="Aptos"/>
                <w:b/>
                <w:color w:val="FFFFFF"/>
                <w:sz w:val="18"/>
              </w:rPr>
              <w:t>Tiempo local</w:t>
            </w:r>
          </w:p>
        </w:tc>
        <w:tc>
          <w:tcPr>
            <w:tcW w:type="dxa" w:w="1296"/>
            <w:shd w:fill="10312B"/>
            <w:vAlign w:val="center"/>
            <w:tcBorders>
              <w:top w:val="single" w:sz="6" w:color="D9D9D9"/>
              <w:left w:val="single" w:sz="6" w:color="D9D9D9"/>
              <w:bottom w:val="single" w:sz="6" w:color="D9D9D9"/>
              <w:right w:val="single" w:sz="6" w:color="D9D9D9"/>
            </w:tcBorders>
          </w:tcPr>
          <w:p>
            <w:pPr>
              <w:spacing w:after="40"/>
              <w:jc w:val="center"/>
            </w:pPr>
            <w:r/>
            <w:r>
              <w:rPr>
                <w:rFonts w:ascii="Aptos" w:hAnsi="Aptos"/>
                <w:b/>
                <w:color w:val="FFFFFF"/>
                <w:sz w:val="18"/>
              </w:rPr>
              <w:t>Consultas</w:t>
            </w:r>
          </w:p>
        </w:tc>
        <w:tc>
          <w:tcPr>
            <w:tcW w:type="dxa" w:w="2088"/>
            <w:shd w:fill="10312B"/>
            <w:vAlign w:val="center"/>
            <w:tcBorders>
              <w:top w:val="single" w:sz="6" w:color="D9D9D9"/>
              <w:left w:val="single" w:sz="6" w:color="D9D9D9"/>
              <w:bottom w:val="single" w:sz="6" w:color="D9D9D9"/>
              <w:right w:val="single" w:sz="6" w:color="D9D9D9"/>
            </w:tcBorders>
          </w:tcPr>
          <w:p>
            <w:pPr>
              <w:spacing w:after="40"/>
              <w:jc w:val="center"/>
            </w:pPr>
            <w:r/>
            <w:r>
              <w:rPr>
                <w:rFonts w:ascii="Aptos" w:hAnsi="Aptos"/>
                <w:b/>
                <w:color w:val="FFFFFF"/>
                <w:sz w:val="18"/>
              </w:rPr>
              <w:t>Contenido generado</w:t>
            </w:r>
          </w:p>
        </w:tc>
      </w:tr>
      <w:tr>
        <w:tc>
          <w:tcPr>
            <w:tcW w:type="dxa" w:w="3744"/>
            <w:shd w:fill="F3F7F5"/>
            <w:vAlign w:val="center"/>
            <w:tcBorders>
              <w:top w:val="single" w:sz="6" w:color="D9D9D9"/>
              <w:left w:val="single" w:sz="6" w:color="D9D9D9"/>
              <w:bottom w:val="single" w:sz="6" w:color="D9D9D9"/>
              <w:right w:val="single" w:sz="6" w:color="D9D9D9"/>
            </w:tcBorders>
          </w:tcPr>
          <w:p>
            <w:pPr>
              <w:spacing w:after="40"/>
              <w:jc w:val="left"/>
            </w:pPr>
            <w:r/>
            <w:r>
              <w:rPr>
                <w:rFonts w:ascii="Aptos" w:hAnsi="Aptos"/>
                <w:b w:val="0"/>
                <w:sz w:val="18"/>
              </w:rPr>
              <w:t>Inventario general</w:t>
            </w:r>
          </w:p>
        </w:tc>
        <w:tc>
          <w:tcPr>
            <w:tcW w:type="dxa" w:w="1440"/>
            <w:shd w:fill="F3F7F5"/>
            <w:vAlign w:val="center"/>
            <w:tcBorders>
              <w:top w:val="single" w:sz="6" w:color="D9D9D9"/>
              <w:left w:val="single" w:sz="6" w:color="D9D9D9"/>
              <w:bottom w:val="single" w:sz="6" w:color="D9D9D9"/>
              <w:right w:val="single" w:sz="6" w:color="D9D9D9"/>
            </w:tcBorders>
          </w:tcPr>
          <w:p>
            <w:pPr>
              <w:spacing w:after="40"/>
              <w:jc w:val="center"/>
            </w:pPr>
            <w:r/>
            <w:r>
              <w:rPr>
                <w:rFonts w:ascii="Aptos" w:hAnsi="Aptos"/>
                <w:b w:val="0"/>
                <w:sz w:val="18"/>
              </w:rPr>
              <w:t>136 ms</w:t>
            </w:r>
          </w:p>
        </w:tc>
        <w:tc>
          <w:tcPr>
            <w:tcW w:type="dxa" w:w="1296"/>
            <w:shd w:fill="F3F7F5"/>
            <w:vAlign w:val="center"/>
            <w:tcBorders>
              <w:top w:val="single" w:sz="6" w:color="D9D9D9"/>
              <w:left w:val="single" w:sz="6" w:color="D9D9D9"/>
              <w:bottom w:val="single" w:sz="6" w:color="D9D9D9"/>
              <w:right w:val="single" w:sz="6" w:color="D9D9D9"/>
            </w:tcBorders>
          </w:tcPr>
          <w:p>
            <w:pPr>
              <w:spacing w:after="40"/>
              <w:jc w:val="center"/>
            </w:pPr>
            <w:r/>
            <w:r>
              <w:rPr>
                <w:rFonts w:ascii="Aptos" w:hAnsi="Aptos"/>
                <w:b w:val="0"/>
                <w:sz w:val="18"/>
              </w:rPr>
              <w:t>1</w:t>
            </w:r>
          </w:p>
        </w:tc>
        <w:tc>
          <w:tcPr>
            <w:tcW w:type="dxa" w:w="2088"/>
            <w:shd w:fill="F3F7F5"/>
            <w:vAlign w:val="center"/>
            <w:tcBorders>
              <w:top w:val="single" w:sz="6" w:color="D9D9D9"/>
              <w:left w:val="single" w:sz="6" w:color="D9D9D9"/>
              <w:bottom w:val="single" w:sz="6" w:color="D9D9D9"/>
              <w:right w:val="single" w:sz="6" w:color="D9D9D9"/>
            </w:tcBorders>
          </w:tcPr>
          <w:p>
            <w:pPr>
              <w:spacing w:after="40"/>
              <w:jc w:val="center"/>
            </w:pPr>
            <w:r/>
            <w:r>
              <w:rPr>
                <w:rFonts w:ascii="Aptos" w:hAnsi="Aptos"/>
                <w:b w:val="0"/>
                <w:sz w:val="18"/>
              </w:rPr>
              <w:t>2.38 MB</w:t>
            </w:r>
          </w:p>
        </w:tc>
      </w:tr>
      <w:tr>
        <w:tc>
          <w:tcPr>
            <w:tcW w:type="dxa" w:w="3744"/>
            <w:shd w:fill="FFFFFF"/>
            <w:vAlign w:val="center"/>
            <w:tcBorders>
              <w:top w:val="single" w:sz="6" w:color="D9D9D9"/>
              <w:left w:val="single" w:sz="6" w:color="D9D9D9"/>
              <w:bottom w:val="single" w:sz="6" w:color="D9D9D9"/>
              <w:right w:val="single" w:sz="6" w:color="D9D9D9"/>
            </w:tcBorders>
          </w:tcPr>
          <w:p>
            <w:pPr>
              <w:spacing w:after="40"/>
              <w:jc w:val="left"/>
            </w:pPr>
            <w:r/>
            <w:r>
              <w:rPr>
                <w:rFonts w:ascii="Aptos" w:hAnsi="Aptos"/>
                <w:b w:val="0"/>
                <w:sz w:val="18"/>
              </w:rPr>
              <w:t>Inventario por lotes</w:t>
            </w:r>
          </w:p>
        </w:tc>
        <w:tc>
          <w:tcPr>
            <w:tcW w:type="dxa" w:w="1440"/>
            <w:shd w:fill="FFFFFF"/>
            <w:vAlign w:val="center"/>
            <w:tcBorders>
              <w:top w:val="single" w:sz="6" w:color="D9D9D9"/>
              <w:left w:val="single" w:sz="6" w:color="D9D9D9"/>
              <w:bottom w:val="single" w:sz="6" w:color="D9D9D9"/>
              <w:right w:val="single" w:sz="6" w:color="D9D9D9"/>
            </w:tcBorders>
          </w:tcPr>
          <w:p>
            <w:pPr>
              <w:spacing w:after="40"/>
              <w:jc w:val="center"/>
            </w:pPr>
            <w:r/>
            <w:r>
              <w:rPr>
                <w:rFonts w:ascii="Aptos" w:hAnsi="Aptos"/>
                <w:b w:val="0"/>
                <w:sz w:val="18"/>
              </w:rPr>
              <w:t>368 ms</w:t>
            </w:r>
          </w:p>
        </w:tc>
        <w:tc>
          <w:tcPr>
            <w:tcW w:type="dxa" w:w="1296"/>
            <w:shd w:fill="FFFFFF"/>
            <w:vAlign w:val="center"/>
            <w:tcBorders>
              <w:top w:val="single" w:sz="6" w:color="D9D9D9"/>
              <w:left w:val="single" w:sz="6" w:color="D9D9D9"/>
              <w:bottom w:val="single" w:sz="6" w:color="D9D9D9"/>
              <w:right w:val="single" w:sz="6" w:color="D9D9D9"/>
            </w:tcBorders>
          </w:tcPr>
          <w:p>
            <w:pPr>
              <w:spacing w:after="40"/>
              <w:jc w:val="center"/>
            </w:pPr>
            <w:r/>
            <w:r>
              <w:rPr>
                <w:rFonts w:ascii="Aptos" w:hAnsi="Aptos"/>
                <w:b w:val="0"/>
                <w:sz w:val="18"/>
              </w:rPr>
              <w:t>2</w:t>
            </w:r>
          </w:p>
        </w:tc>
        <w:tc>
          <w:tcPr>
            <w:tcW w:type="dxa" w:w="2088"/>
            <w:shd w:fill="FFFFFF"/>
            <w:vAlign w:val="center"/>
            <w:tcBorders>
              <w:top w:val="single" w:sz="6" w:color="D9D9D9"/>
              <w:left w:val="single" w:sz="6" w:color="D9D9D9"/>
              <w:bottom w:val="single" w:sz="6" w:color="D9D9D9"/>
              <w:right w:val="single" w:sz="6" w:color="D9D9D9"/>
            </w:tcBorders>
          </w:tcPr>
          <w:p>
            <w:pPr>
              <w:spacing w:after="40"/>
              <w:jc w:val="center"/>
            </w:pPr>
            <w:r/>
            <w:r>
              <w:rPr>
                <w:rFonts w:ascii="Aptos" w:hAnsi="Aptos"/>
                <w:b w:val="0"/>
                <w:sz w:val="18"/>
              </w:rPr>
              <w:t>6.41 MB</w:t>
            </w:r>
          </w:p>
        </w:tc>
      </w:tr>
      <w:tr>
        <w:tc>
          <w:tcPr>
            <w:tcW w:type="dxa" w:w="3744"/>
            <w:shd w:fill="F3F7F5"/>
            <w:vAlign w:val="center"/>
            <w:tcBorders>
              <w:top w:val="single" w:sz="6" w:color="D9D9D9"/>
              <w:left w:val="single" w:sz="6" w:color="D9D9D9"/>
              <w:bottom w:val="single" w:sz="6" w:color="D9D9D9"/>
              <w:right w:val="single" w:sz="6" w:color="D9D9D9"/>
            </w:tcBorders>
          </w:tcPr>
          <w:p>
            <w:pPr>
              <w:spacing w:after="40"/>
              <w:jc w:val="left"/>
            </w:pPr>
            <w:r/>
            <w:r>
              <w:rPr>
                <w:rFonts w:ascii="Aptos" w:hAnsi="Aptos"/>
                <w:b w:val="0"/>
                <w:sz w:val="18"/>
              </w:rPr>
              <w:t>Reportes HTML</w:t>
            </w:r>
          </w:p>
        </w:tc>
        <w:tc>
          <w:tcPr>
            <w:tcW w:type="dxa" w:w="1440"/>
            <w:shd w:fill="F3F7F5"/>
            <w:vAlign w:val="center"/>
            <w:tcBorders>
              <w:top w:val="single" w:sz="6" w:color="D9D9D9"/>
              <w:left w:val="single" w:sz="6" w:color="D9D9D9"/>
              <w:bottom w:val="single" w:sz="6" w:color="D9D9D9"/>
              <w:right w:val="single" w:sz="6" w:color="D9D9D9"/>
            </w:tcBorders>
          </w:tcPr>
          <w:p>
            <w:pPr>
              <w:spacing w:after="40"/>
              <w:jc w:val="center"/>
            </w:pPr>
            <w:r/>
            <w:r>
              <w:rPr>
                <w:rFonts w:ascii="Aptos" w:hAnsi="Aptos"/>
                <w:b w:val="0"/>
                <w:sz w:val="18"/>
              </w:rPr>
              <w:t>57 ms</w:t>
            </w:r>
          </w:p>
        </w:tc>
        <w:tc>
          <w:tcPr>
            <w:tcW w:type="dxa" w:w="1296"/>
            <w:shd w:fill="F3F7F5"/>
            <w:vAlign w:val="center"/>
            <w:tcBorders>
              <w:top w:val="single" w:sz="6" w:color="D9D9D9"/>
              <w:left w:val="single" w:sz="6" w:color="D9D9D9"/>
              <w:bottom w:val="single" w:sz="6" w:color="D9D9D9"/>
              <w:right w:val="single" w:sz="6" w:color="D9D9D9"/>
            </w:tcBorders>
          </w:tcPr>
          <w:p>
            <w:pPr>
              <w:spacing w:after="40"/>
              <w:jc w:val="center"/>
            </w:pPr>
            <w:r/>
            <w:r>
              <w:rPr>
                <w:rFonts w:ascii="Aptos" w:hAnsi="Aptos"/>
                <w:b w:val="0"/>
                <w:sz w:val="18"/>
              </w:rPr>
              <w:t>0</w:t>
            </w:r>
          </w:p>
        </w:tc>
        <w:tc>
          <w:tcPr>
            <w:tcW w:type="dxa" w:w="2088"/>
            <w:shd w:fill="F3F7F5"/>
            <w:vAlign w:val="center"/>
            <w:tcBorders>
              <w:top w:val="single" w:sz="6" w:color="D9D9D9"/>
              <w:left w:val="single" w:sz="6" w:color="D9D9D9"/>
              <w:bottom w:val="single" w:sz="6" w:color="D9D9D9"/>
              <w:right w:val="single" w:sz="6" w:color="D9D9D9"/>
            </w:tcBorders>
          </w:tcPr>
          <w:p>
            <w:pPr>
              <w:spacing w:after="40"/>
              <w:jc w:val="center"/>
            </w:pPr>
            <w:r/>
            <w:r>
              <w:rPr>
                <w:rFonts w:ascii="Aptos" w:hAnsi="Aptos"/>
                <w:b w:val="0"/>
                <w:sz w:val="18"/>
              </w:rPr>
              <w:t>24 KB</w:t>
            </w:r>
          </w:p>
        </w:tc>
      </w:tr>
      <w:tr>
        <w:tc>
          <w:tcPr>
            <w:tcW w:type="dxa" w:w="3744"/>
            <w:shd w:fill="FFFFFF"/>
            <w:vAlign w:val="center"/>
            <w:tcBorders>
              <w:top w:val="single" w:sz="6" w:color="D9D9D9"/>
              <w:left w:val="single" w:sz="6" w:color="D9D9D9"/>
              <w:bottom w:val="single" w:sz="6" w:color="D9D9D9"/>
              <w:right w:val="single" w:sz="6" w:color="D9D9D9"/>
            </w:tcBorders>
          </w:tcPr>
          <w:p>
            <w:pPr>
              <w:spacing w:after="40"/>
              <w:jc w:val="left"/>
            </w:pPr>
            <w:r/>
            <w:r>
              <w:rPr>
                <w:rFonts w:ascii="Aptos" w:hAnsi="Aptos"/>
                <w:b w:val="0"/>
                <w:sz w:val="18"/>
              </w:rPr>
              <w:t>KPIs de reportes</w:t>
            </w:r>
          </w:p>
        </w:tc>
        <w:tc>
          <w:tcPr>
            <w:tcW w:type="dxa" w:w="1440"/>
            <w:shd w:fill="FFFFFF"/>
            <w:vAlign w:val="center"/>
            <w:tcBorders>
              <w:top w:val="single" w:sz="6" w:color="D9D9D9"/>
              <w:left w:val="single" w:sz="6" w:color="D9D9D9"/>
              <w:bottom w:val="single" w:sz="6" w:color="D9D9D9"/>
              <w:right w:val="single" w:sz="6" w:color="D9D9D9"/>
            </w:tcBorders>
          </w:tcPr>
          <w:p>
            <w:pPr>
              <w:spacing w:after="40"/>
              <w:jc w:val="center"/>
            </w:pPr>
            <w:r/>
            <w:r>
              <w:rPr>
                <w:rFonts w:ascii="Aptos" w:hAnsi="Aptos"/>
                <w:b w:val="0"/>
                <w:sz w:val="18"/>
              </w:rPr>
              <w:t>17 ms</w:t>
            </w:r>
          </w:p>
        </w:tc>
        <w:tc>
          <w:tcPr>
            <w:tcW w:type="dxa" w:w="1296"/>
            <w:shd w:fill="FFFFFF"/>
            <w:vAlign w:val="center"/>
            <w:tcBorders>
              <w:top w:val="single" w:sz="6" w:color="D9D9D9"/>
              <w:left w:val="single" w:sz="6" w:color="D9D9D9"/>
              <w:bottom w:val="single" w:sz="6" w:color="D9D9D9"/>
              <w:right w:val="single" w:sz="6" w:color="D9D9D9"/>
            </w:tcBorders>
          </w:tcPr>
          <w:p>
            <w:pPr>
              <w:spacing w:after="40"/>
              <w:jc w:val="center"/>
            </w:pPr>
            <w:r/>
            <w:r>
              <w:rPr>
                <w:rFonts w:ascii="Aptos" w:hAnsi="Aptos"/>
                <w:b w:val="0"/>
                <w:sz w:val="18"/>
              </w:rPr>
              <w:t>8</w:t>
            </w:r>
          </w:p>
        </w:tc>
        <w:tc>
          <w:tcPr>
            <w:tcW w:type="dxa" w:w="2088"/>
            <w:shd w:fill="FFFFFF"/>
            <w:vAlign w:val="center"/>
            <w:tcBorders>
              <w:top w:val="single" w:sz="6" w:color="D9D9D9"/>
              <w:left w:val="single" w:sz="6" w:color="D9D9D9"/>
              <w:bottom w:val="single" w:sz="6" w:color="D9D9D9"/>
              <w:right w:val="single" w:sz="6" w:color="D9D9D9"/>
            </w:tcBorders>
          </w:tcPr>
          <w:p>
            <w:pPr>
              <w:spacing w:after="40"/>
              <w:jc w:val="center"/>
            </w:pPr>
            <w:r/>
            <w:r>
              <w:rPr>
                <w:rFonts w:ascii="Aptos" w:hAnsi="Aptos"/>
                <w:b w:val="0"/>
                <w:sz w:val="18"/>
              </w:rPr>
              <w:t>148 B</w:t>
            </w:r>
          </w:p>
        </w:tc>
      </w:tr>
      <w:tr>
        <w:tc>
          <w:tcPr>
            <w:tcW w:type="dxa" w:w="3744"/>
            <w:shd w:fill="F3F7F5"/>
            <w:vAlign w:val="center"/>
            <w:tcBorders>
              <w:top w:val="single" w:sz="6" w:color="D9D9D9"/>
              <w:left w:val="single" w:sz="6" w:color="D9D9D9"/>
              <w:bottom w:val="single" w:sz="6" w:color="D9D9D9"/>
              <w:right w:val="single" w:sz="6" w:color="D9D9D9"/>
            </w:tcBorders>
          </w:tcPr>
          <w:p>
            <w:pPr>
              <w:spacing w:after="40"/>
              <w:jc w:val="left"/>
            </w:pPr>
            <w:r/>
            <w:r>
              <w:rPr>
                <w:rFonts w:ascii="Aptos" w:hAnsi="Aptos"/>
                <w:b w:val="0"/>
                <w:sz w:val="18"/>
              </w:rPr>
              <w:t>Salidas de reportes</w:t>
            </w:r>
          </w:p>
        </w:tc>
        <w:tc>
          <w:tcPr>
            <w:tcW w:type="dxa" w:w="1440"/>
            <w:shd w:fill="F3F7F5"/>
            <w:vAlign w:val="center"/>
            <w:tcBorders>
              <w:top w:val="single" w:sz="6" w:color="D9D9D9"/>
              <w:left w:val="single" w:sz="6" w:color="D9D9D9"/>
              <w:bottom w:val="single" w:sz="6" w:color="D9D9D9"/>
              <w:right w:val="single" w:sz="6" w:color="D9D9D9"/>
            </w:tcBorders>
          </w:tcPr>
          <w:p>
            <w:pPr>
              <w:spacing w:after="40"/>
              <w:jc w:val="center"/>
            </w:pPr>
            <w:r/>
            <w:r>
              <w:rPr>
                <w:rFonts w:ascii="Aptos" w:hAnsi="Aptos"/>
                <w:b w:val="0"/>
                <w:sz w:val="18"/>
              </w:rPr>
              <w:t>16 ms</w:t>
            </w:r>
          </w:p>
        </w:tc>
        <w:tc>
          <w:tcPr>
            <w:tcW w:type="dxa" w:w="1296"/>
            <w:shd w:fill="F3F7F5"/>
            <w:vAlign w:val="center"/>
            <w:tcBorders>
              <w:top w:val="single" w:sz="6" w:color="D9D9D9"/>
              <w:left w:val="single" w:sz="6" w:color="D9D9D9"/>
              <w:bottom w:val="single" w:sz="6" w:color="D9D9D9"/>
              <w:right w:val="single" w:sz="6" w:color="D9D9D9"/>
            </w:tcBorders>
          </w:tcPr>
          <w:p>
            <w:pPr>
              <w:spacing w:after="40"/>
              <w:jc w:val="center"/>
            </w:pPr>
            <w:r/>
            <w:r>
              <w:rPr>
                <w:rFonts w:ascii="Aptos" w:hAnsi="Aptos"/>
                <w:b w:val="0"/>
                <w:sz w:val="18"/>
              </w:rPr>
              <w:t>2</w:t>
            </w:r>
          </w:p>
        </w:tc>
        <w:tc>
          <w:tcPr>
            <w:tcW w:type="dxa" w:w="2088"/>
            <w:shd w:fill="F3F7F5"/>
            <w:vAlign w:val="center"/>
            <w:tcBorders>
              <w:top w:val="single" w:sz="6" w:color="D9D9D9"/>
              <w:left w:val="single" w:sz="6" w:color="D9D9D9"/>
              <w:bottom w:val="single" w:sz="6" w:color="D9D9D9"/>
              <w:right w:val="single" w:sz="6" w:color="D9D9D9"/>
            </w:tcBorders>
          </w:tcPr>
          <w:p>
            <w:pPr>
              <w:spacing w:after="40"/>
              <w:jc w:val="center"/>
            </w:pPr>
            <w:r/>
            <w:r>
              <w:rPr>
                <w:rFonts w:ascii="Aptos" w:hAnsi="Aptos"/>
                <w:b w:val="0"/>
                <w:sz w:val="18"/>
              </w:rPr>
              <w:t>31 KB</w:t>
            </w:r>
          </w:p>
        </w:tc>
      </w:tr>
      <w:tr>
        <w:tc>
          <w:tcPr>
            <w:tcW w:type="dxa" w:w="3744"/>
            <w:shd w:fill="FFFFFF"/>
            <w:vAlign w:val="center"/>
            <w:tcBorders>
              <w:top w:val="single" w:sz="6" w:color="D9D9D9"/>
              <w:left w:val="single" w:sz="6" w:color="D9D9D9"/>
              <w:bottom w:val="single" w:sz="6" w:color="D9D9D9"/>
              <w:right w:val="single" w:sz="6" w:color="D9D9D9"/>
            </w:tcBorders>
          </w:tcPr>
          <w:p>
            <w:pPr>
              <w:spacing w:after="40"/>
              <w:jc w:val="left"/>
            </w:pPr>
            <w:r/>
            <w:r>
              <w:rPr>
                <w:rFonts w:ascii="Aptos" w:hAnsi="Aptos"/>
                <w:b w:val="0"/>
                <w:sz w:val="18"/>
              </w:rPr>
              <w:t>Inventario de antibioticos</w:t>
            </w:r>
          </w:p>
        </w:tc>
        <w:tc>
          <w:tcPr>
            <w:tcW w:type="dxa" w:w="1440"/>
            <w:shd w:fill="FFFFFF"/>
            <w:vAlign w:val="center"/>
            <w:tcBorders>
              <w:top w:val="single" w:sz="6" w:color="D9D9D9"/>
              <w:left w:val="single" w:sz="6" w:color="D9D9D9"/>
              <w:bottom w:val="single" w:sz="6" w:color="D9D9D9"/>
              <w:right w:val="single" w:sz="6" w:color="D9D9D9"/>
            </w:tcBorders>
          </w:tcPr>
          <w:p>
            <w:pPr>
              <w:spacing w:after="40"/>
              <w:jc w:val="center"/>
            </w:pPr>
            <w:r/>
            <w:r>
              <w:rPr>
                <w:rFonts w:ascii="Aptos" w:hAnsi="Aptos"/>
                <w:b w:val="0"/>
                <w:sz w:val="18"/>
              </w:rPr>
              <w:t>8 ms</w:t>
            </w:r>
          </w:p>
        </w:tc>
        <w:tc>
          <w:tcPr>
            <w:tcW w:type="dxa" w:w="1296"/>
            <w:shd w:fill="FFFFFF"/>
            <w:vAlign w:val="center"/>
            <w:tcBorders>
              <w:top w:val="single" w:sz="6" w:color="D9D9D9"/>
              <w:left w:val="single" w:sz="6" w:color="D9D9D9"/>
              <w:bottom w:val="single" w:sz="6" w:color="D9D9D9"/>
              <w:right w:val="single" w:sz="6" w:color="D9D9D9"/>
            </w:tcBorders>
          </w:tcPr>
          <w:p>
            <w:pPr>
              <w:spacing w:after="40"/>
              <w:jc w:val="center"/>
            </w:pPr>
            <w:r/>
            <w:r>
              <w:rPr>
                <w:rFonts w:ascii="Aptos" w:hAnsi="Aptos"/>
                <w:b w:val="0"/>
                <w:sz w:val="18"/>
              </w:rPr>
              <w:t>2</w:t>
            </w:r>
          </w:p>
        </w:tc>
        <w:tc>
          <w:tcPr>
            <w:tcW w:type="dxa" w:w="2088"/>
            <w:shd w:fill="FFFFFF"/>
            <w:vAlign w:val="center"/>
            <w:tcBorders>
              <w:top w:val="single" w:sz="6" w:color="D9D9D9"/>
              <w:left w:val="single" w:sz="6" w:color="D9D9D9"/>
              <w:bottom w:val="single" w:sz="6" w:color="D9D9D9"/>
              <w:right w:val="single" w:sz="6" w:color="D9D9D9"/>
            </w:tcBorders>
          </w:tcPr>
          <w:p>
            <w:pPr>
              <w:spacing w:after="40"/>
              <w:jc w:val="center"/>
            </w:pPr>
            <w:r/>
            <w:r>
              <w:rPr>
                <w:rFonts w:ascii="Aptos" w:hAnsi="Aptos"/>
                <w:b w:val="0"/>
                <w:sz w:val="18"/>
              </w:rPr>
              <w:t>40 KB</w:t>
            </w:r>
          </w:p>
        </w:tc>
      </w:tr>
      <w:tr>
        <w:tc>
          <w:tcPr>
            <w:tcW w:type="dxa" w:w="3744"/>
            <w:shd w:fill="F3F7F5"/>
            <w:vAlign w:val="center"/>
            <w:tcBorders>
              <w:top w:val="single" w:sz="6" w:color="D9D9D9"/>
              <w:left w:val="single" w:sz="6" w:color="D9D9D9"/>
              <w:bottom w:val="single" w:sz="6" w:color="D9D9D9"/>
              <w:right w:val="single" w:sz="6" w:color="D9D9D9"/>
            </w:tcBorders>
          </w:tcPr>
          <w:p>
            <w:pPr>
              <w:spacing w:after="40"/>
              <w:jc w:val="left"/>
            </w:pPr>
            <w:r/>
            <w:r>
              <w:rPr>
                <w:rFonts w:ascii="Aptos" w:hAnsi="Aptos"/>
                <w:b w:val="0"/>
                <w:sz w:val="18"/>
              </w:rPr>
              <w:t>Colectivos de farmacia</w:t>
            </w:r>
          </w:p>
        </w:tc>
        <w:tc>
          <w:tcPr>
            <w:tcW w:type="dxa" w:w="1440"/>
            <w:shd w:fill="F3F7F5"/>
            <w:vAlign w:val="center"/>
            <w:tcBorders>
              <w:top w:val="single" w:sz="6" w:color="D9D9D9"/>
              <w:left w:val="single" w:sz="6" w:color="D9D9D9"/>
              <w:bottom w:val="single" w:sz="6" w:color="D9D9D9"/>
              <w:right w:val="single" w:sz="6" w:color="D9D9D9"/>
            </w:tcBorders>
          </w:tcPr>
          <w:p>
            <w:pPr>
              <w:spacing w:after="40"/>
              <w:jc w:val="center"/>
            </w:pPr>
            <w:r/>
            <w:r>
              <w:rPr>
                <w:rFonts w:ascii="Aptos" w:hAnsi="Aptos"/>
                <w:b w:val="0"/>
                <w:sz w:val="18"/>
              </w:rPr>
              <w:t>34 ms</w:t>
            </w:r>
          </w:p>
        </w:tc>
        <w:tc>
          <w:tcPr>
            <w:tcW w:type="dxa" w:w="1296"/>
            <w:shd w:fill="F3F7F5"/>
            <w:vAlign w:val="center"/>
            <w:tcBorders>
              <w:top w:val="single" w:sz="6" w:color="D9D9D9"/>
              <w:left w:val="single" w:sz="6" w:color="D9D9D9"/>
              <w:bottom w:val="single" w:sz="6" w:color="D9D9D9"/>
              <w:right w:val="single" w:sz="6" w:color="D9D9D9"/>
            </w:tcBorders>
          </w:tcPr>
          <w:p>
            <w:pPr>
              <w:spacing w:after="40"/>
              <w:jc w:val="center"/>
            </w:pPr>
            <w:r/>
            <w:r>
              <w:rPr>
                <w:rFonts w:ascii="Aptos" w:hAnsi="Aptos"/>
                <w:b w:val="0"/>
                <w:sz w:val="18"/>
              </w:rPr>
              <w:t>24</w:t>
            </w:r>
          </w:p>
        </w:tc>
        <w:tc>
          <w:tcPr>
            <w:tcW w:type="dxa" w:w="2088"/>
            <w:shd w:fill="F3F7F5"/>
            <w:vAlign w:val="center"/>
            <w:tcBorders>
              <w:top w:val="single" w:sz="6" w:color="D9D9D9"/>
              <w:left w:val="single" w:sz="6" w:color="D9D9D9"/>
              <w:bottom w:val="single" w:sz="6" w:color="D9D9D9"/>
              <w:right w:val="single" w:sz="6" w:color="D9D9D9"/>
            </w:tcBorders>
          </w:tcPr>
          <w:p>
            <w:pPr>
              <w:spacing w:after="40"/>
              <w:jc w:val="center"/>
            </w:pPr>
            <w:r/>
            <w:r>
              <w:rPr>
                <w:rFonts w:ascii="Aptos" w:hAnsi="Aptos"/>
                <w:b w:val="0"/>
                <w:sz w:val="18"/>
              </w:rPr>
              <w:t>27 KB</w:t>
            </w:r>
          </w:p>
        </w:tc>
      </w:tr>
    </w:tbl>
    <w:p>
      <w:pPr>
        <w:pStyle w:val="Heading1"/>
      </w:pPr>
      <w:r>
        <w:t>Hallazgos prioritarios</w:t>
      </w:r>
    </w:p>
    <w:p>
      <w:pPr>
        <w:pStyle w:val="Heading2"/>
      </w:pPr>
      <w:r>
        <w:t>Inventario por lotes</w:t>
      </w:r>
    </w:p>
    <w:p>
      <w:r>
        <w:t>Se generan los 981 lotes completos en una sola respuesta. El navegador recibe 6.41 MB de HTML, debe crear todas las filas y ejecutar filtros del lado del cliente.</w:t>
      </w:r>
    </w:p>
    <w:p>
      <w:pPr>
        <w:pStyle w:val="Heading2"/>
      </w:pPr>
      <w:r>
        <w:t>Inventario general</w:t>
      </w:r>
    </w:p>
    <w:p>
      <w:r>
        <w:t>Entrega los 487 medicamentos completos en una sola carga, con 2.38 MB de HTML. El impacto aumentará conforme crezca el inventario.</w:t>
      </w:r>
    </w:p>
    <w:p>
      <w:pPr>
        <w:pStyle w:val="Heading2"/>
      </w:pPr>
      <w:r>
        <w:t>Reportes</w:t>
      </w:r>
    </w:p>
    <w:p>
      <w:r>
        <w:t>Carga desde el inicio librerías para gráficas, PDF, Excel y captura HTML. El archivo local de fuente para PDF mide aproximadamente 1.95 MB aunque solo se requiere al exportar.</w:t>
      </w:r>
    </w:p>
    <w:p>
      <w:pPr>
        <w:pStyle w:val="Heading2"/>
      </w:pPr>
      <w:r>
        <w:t>Colectivos</w:t>
      </w:r>
    </w:p>
    <w:p>
      <w:r>
        <w:t>La lista ejecuta una consulta adicional para contar medicamentos de cada colectivo. Con 18 colectivos se observaron 24 consultas; el costo crece al aumentar la lista.</w:t>
      </w:r>
    </w:p>
    <w:p>
      <w:pPr>
        <w:pStyle w:val="Heading2"/>
      </w:pPr>
      <w:r>
        <w:t>Consultas por fecha</w:t>
      </w:r>
    </w:p>
    <w:p>
      <w:r>
        <w:t>Las consultas de recetas y transferencias fueron rápidas con los datos actuales, pero los planes muestran escaneos completos por fecha. Antes de producción conviene indexar esos campos.</w:t>
      </w:r>
    </w:p>
    <w:p>
      <w:pPr>
        <w:pStyle w:val="Heading2"/>
      </w:pPr>
      <w:r>
        <w:t>Configuracion de ejecucion</w:t>
      </w:r>
    </w:p>
    <w:p>
      <w:r>
        <w:t>DEBUG esta activo por defecto. En ese modo no se habilita la estrategia prevista de archivos estaticos comprimidos y versionados. La sesion tambien se guarda en cada solicitud autenticada.</w:t>
      </w:r>
    </w:p>
    <w:p>
      <w:pPr>
        <w:pStyle w:val="Heading1"/>
      </w:pPr>
      <w:r>
        <w:t>Orden recomendado de acciones</w:t>
      </w:r>
    </w:p>
    <w:p>
      <w:pPr>
        <w:pStyle w:val="ListNumber"/>
      </w:pPr>
      <w:r>
        <w:t>Paginar o cargar bajo demanda los inventarios general y por lotes desde el servidor.</w:t>
      </w:r>
    </w:p>
    <w:p>
      <w:pPr>
        <w:pStyle w:val="ListNumber"/>
      </w:pPr>
      <w:r>
        <w:t>Cargar las librerías de exportación de Reportes solo cuando el usuario solicite exportar.</w:t>
      </w:r>
    </w:p>
    <w:p>
      <w:pPr>
        <w:pStyle w:val="ListNumber"/>
      </w:pPr>
      <w:r>
        <w:t>Eliminar las consultas repetidas de colectivos mediante un conteo preparado en la consulta principal.</w:t>
      </w:r>
    </w:p>
    <w:p>
      <w:pPr>
        <w:pStyle w:val="ListNumber"/>
      </w:pPr>
      <w:r>
        <w:t>Concentrar las consultas de KPIs y corregir el armado de transferencias dentro del servicio de salidas.</w:t>
      </w:r>
    </w:p>
    <w:p>
      <w:pPr>
        <w:pStyle w:val="ListNumber"/>
      </w:pPr>
      <w:r>
        <w:t>Agregar índices controlados para las fechas de recetas y transferencias mediante migración.</w:t>
      </w:r>
    </w:p>
    <w:p>
      <w:pPr>
        <w:pStyle w:val="ListNumber"/>
      </w:pPr>
      <w:r>
        <w:t>Definir la configuración de producción: DEBUG desactivado, estáticos comprimidos y revisión selectiva de sesión y caché sin afectar la seguridad.</w:t>
      </w:r>
    </w:p>
    <w:p>
      <w:pPr>
        <w:pStyle w:val="Heading1"/>
      </w:pPr>
      <w:r>
        <w:t>Nota técnica</w:t>
      </w:r>
    </w:p>
    <w:p>
      <w:r>
        <w:t>En el servicio de salidas de Reportes, la construcción de la consulta de transferencias está dentro del ciclo de recetas. No multiplicó consultas en la medición por la evaluación diferida de Django, pero puede fallar si no hay recetas y debe corregirse junto con la optimización del servicio.</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